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Georgia" w:hAnsi="Georgia"/>
          <w:b/>
          <w:color w:val="1A3C2A"/>
          <w:sz w:val="52"/>
        </w:rPr>
        <w:t>HEYER LIVIN</w:t>
      </w:r>
    </w:p>
    <w:p>
      <w:pPr>
        <w:spacing w:after="40" w:before="0"/>
      </w:pPr>
      <w:r>
        <w:rPr>
          <w:rFonts w:ascii="Georgia" w:hAnsi="Georgia"/>
          <w:i/>
          <w:color w:val="2C5F2D"/>
          <w:sz w:val="24"/>
        </w:rPr>
        <w:t>Cultural Intelligence, Research, and System Design</w:t>
      </w:r>
    </w:p>
    <w:p>
      <w:pPr>
        <w:spacing w:after="160" w:before="80"/>
        <w:pBdr>
          <w:bottom w:val="single" w:sz="6" w:space="1" w:color="C9A852"/>
        </w:pBdr>
      </w:pPr>
    </w:p>
    <w:p>
      <w:pPr>
        <w:spacing w:after="200" w:before="0"/>
      </w:pPr>
      <w:r>
        <w:rPr>
          <w:rFonts w:ascii="Calibri" w:hAnsi="Calibri"/>
          <w:b/>
          <w:i/>
          <w:color w:val="2C5F2D"/>
          <w:sz w:val="22"/>
        </w:rPr>
        <w:t>A cross-domain cultural intelligence system that translates human interaction, observed change, and symbolic meaning into structured records, usable frameworks, and public-facing knowledge.</w:t>
      </w:r>
    </w:p>
    <w:p>
      <w:pPr>
        <w:spacing w:before="160" w:after="80"/>
        <w:jc w:val="left"/>
      </w:pPr>
      <w:r>
        <w:rPr>
          <w:rFonts w:ascii="Georgia" w:hAnsi="Georgia"/>
          <w:b/>
          <w:color w:val="1A3C2A"/>
          <w:sz w:val="26"/>
        </w:rPr>
        <w:t>What Heyer Livin Is</w:t>
      </w:r>
    </w:p>
    <w:p>
      <w:pPr>
        <w:spacing w:after="160" w:before="0"/>
      </w:pPr>
      <w:r>
        <w:rPr>
          <w:rFonts w:ascii="Calibri" w:hAnsi="Calibri"/>
          <w:b w:val="0"/>
          <w:i w:val="0"/>
          <w:color w:val="333333"/>
          <w:sz w:val="21"/>
        </w:rPr>
        <w:t>Heyer Livin is an original research and system design platform developed to study how meaning is formed, how change becomes legible, and how lived interaction can be recorded in a repeatable way. At its center is a simple but rigorous proposition: Self plus Interaction equals Reality. In this framework, the self is the prior state, interaction is the event, and reality is the new information produced by that exchange. From that foundation, the system converts experience into structured cultural memory and usable pattern intelligence.</w:t>
      </w:r>
    </w:p>
    <w:p>
      <w:pPr>
        <w:spacing w:before="160" w:after="80"/>
        <w:jc w:val="left"/>
      </w:pPr>
      <w:r>
        <w:rPr>
          <w:rFonts w:ascii="Georgia" w:hAnsi="Georgia"/>
          <w:b/>
          <w:color w:val="1A3C2A"/>
          <w:sz w:val="26"/>
        </w:rPr>
        <w:t>What Makes It Original</w:t>
      </w:r>
    </w:p>
    <w:p>
      <w:pPr>
        <w:spacing w:after="160" w:before="0"/>
      </w:pPr>
      <w:r>
        <w:rPr>
          <w:rFonts w:ascii="Calibri" w:hAnsi="Calibri"/>
          <w:b w:val="0"/>
          <w:i w:val="0"/>
          <w:color w:val="333333"/>
          <w:sz w:val="21"/>
        </w:rPr>
        <w:t>The system does not remain at the level of theory. Heyer Livin uses a standardized event architecture called a glyph event record. One record equals one measured event cycle. Each record contains a cycle definition, an irreversible event, derived metrics, routing or status, snapshot versioning, relations, and notes. The system’s most distinctive feature is its method for identifying an irreversible state change within a cycle, measuring where that change occurs, converting it into a comparable ratio, and storing it in a structured form that can be used across domains. This makes Heyer Livin an original methodological framework and a strong provisional filing candidate because it presents a repeatable system design rather than an abstract idea alone.</w:t>
      </w:r>
    </w:p>
    <w:p>
      <w:pPr>
        <w:spacing w:before="160" w:after="80"/>
        <w:jc w:val="left"/>
      </w:pPr>
      <w:r>
        <w:rPr>
          <w:rFonts w:ascii="Georgia" w:hAnsi="Georgia"/>
          <w:b/>
          <w:color w:val="1A3C2A"/>
          <w:sz w:val="26"/>
        </w:rPr>
        <w:t>Why It Matters Now</w:t>
      </w:r>
    </w:p>
    <w:p>
      <w:pPr>
        <w:spacing w:after="160" w:before="0"/>
      </w:pPr>
      <w:r>
        <w:rPr>
          <w:rFonts w:ascii="Calibri" w:hAnsi="Calibri"/>
          <w:b w:val="0"/>
          <w:i w:val="0"/>
          <w:color w:val="333333"/>
          <w:sz w:val="21"/>
        </w:rPr>
        <w:t>Many of the systems that shape public life can measure volume, speed, and output, but not the deeper structure of interaction, meaning, and transition. Heyer Livin addresses that gap by offering a human-centered framework for recording how change happens, how significance is recognized, and how culture can be interpreted without being flattened into generic analytics. It bridges culture, cognition, observation, and structured recording in a way that is both intellectually ambitious and practically organized.</w:t>
      </w:r>
    </w:p>
    <w:p>
      <w:pPr>
        <w:spacing w:before="160" w:after="80"/>
        <w:jc w:val="left"/>
      </w:pPr>
      <w:r>
        <w:rPr>
          <w:rFonts w:ascii="Georgia" w:hAnsi="Georgia"/>
          <w:b/>
          <w:color w:val="1A3C2A"/>
          <w:sz w:val="26"/>
        </w:rPr>
        <w:t>Core Novel Features</w:t>
      </w:r>
    </w:p>
    <w:p>
      <w:pPr>
        <w:pStyle w:val="ListBullet"/>
        <w:spacing w:after="60" w:before="20"/>
      </w:pPr>
      <w:r>
        <w:rPr>
          <w:rFonts w:ascii="Calibri" w:hAnsi="Calibri"/>
          <w:color w:val="333333"/>
          <w:sz w:val="20"/>
        </w:rPr>
        <w:t>Foundational cultural intelligence model: Self plus Interaction equals Reality as a structural account of how new information is generated through lived exchange.</w:t>
      </w:r>
    </w:p>
    <w:p>
      <w:pPr>
        <w:pStyle w:val="ListBullet"/>
        <w:spacing w:after="60" w:before="20"/>
      </w:pPr>
      <w:r>
        <w:rPr>
          <w:rFonts w:ascii="Calibri" w:hAnsi="Calibri"/>
          <w:color w:val="333333"/>
          <w:sz w:val="20"/>
        </w:rPr>
        <w:t>Standardized glyph event record: Each event cycle is captured through a consistent record architecture, allowing observation to become structured and reviewable rather than anecdotal.</w:t>
      </w:r>
    </w:p>
    <w:p>
      <w:pPr>
        <w:pStyle w:val="ListBullet"/>
        <w:spacing w:after="60" w:before="20"/>
      </w:pPr>
      <w:r>
        <w:rPr>
          <w:rFonts w:ascii="Calibri" w:hAnsi="Calibri"/>
          <w:color w:val="333333"/>
          <w:sz w:val="20"/>
        </w:rPr>
        <w:t>Irreversible-event measurement logic: The framework identifies a decisive state change within a cycle and treats that moment as measurable, comparable, and central to interpretation.</w:t>
      </w:r>
    </w:p>
    <w:p>
      <w:pPr>
        <w:pStyle w:val="ListBullet"/>
        <w:spacing w:after="60" w:before="20"/>
      </w:pPr>
      <w:r>
        <w:rPr>
          <w:rFonts w:ascii="Calibri" w:hAnsi="Calibri"/>
          <w:color w:val="333333"/>
          <w:sz w:val="20"/>
        </w:rPr>
        <w:t>Cross-domain comparability: The same event logic can be applied across research, language, art, simulations, and site or system environments, making the framework portable rather than domain-bound.</w:t>
      </w:r>
    </w:p>
    <w:p>
      <w:pPr>
        <w:pStyle w:val="ListBullet"/>
        <w:spacing w:after="60" w:before="20"/>
      </w:pPr>
      <w:r>
        <w:rPr>
          <w:rFonts w:ascii="Calibri" w:hAnsi="Calibri"/>
          <w:color w:val="333333"/>
          <w:sz w:val="20"/>
        </w:rPr>
        <w:t>Cultural memory as system output: The goal is not only classification, but the creation of structured cultural memory that can support reflection, pattern recognition, and future design.</w:t>
      </w:r>
    </w:p>
    <w:p>
      <w:pPr>
        <w:pStyle w:val="ListBullet"/>
        <w:spacing w:after="60" w:before="20"/>
      </w:pPr>
      <w:r>
        <w:rPr>
          <w:rFonts w:ascii="Calibri" w:hAnsi="Calibri"/>
          <w:color w:val="333333"/>
          <w:sz w:val="20"/>
        </w:rPr>
        <w:t>Method over isolated result: The value of the system lies in the architecture of recording, interpretation, and comparison, not in any single output, example, or isolated observation.</w:t>
      </w:r>
    </w:p>
    <w:p>
      <w:pPr>
        <w:spacing w:before="200" w:after="80"/>
        <w:jc w:val="left"/>
      </w:pPr>
      <w:r>
        <w:rPr>
          <w:rFonts w:ascii="Georgia" w:hAnsi="Georgia"/>
          <w:b/>
          <w:color w:val="1A3C2A"/>
          <w:sz w:val="26"/>
        </w:rPr>
        <w:t>Areas of Application</w:t>
      </w:r>
    </w:p>
    <w:p>
      <w:pPr>
        <w:spacing w:after="160" w:before="0"/>
      </w:pPr>
      <w:r>
        <w:rPr>
          <w:rFonts w:ascii="Calibri" w:hAnsi="Calibri"/>
          <w:b w:val="0"/>
          <w:i w:val="0"/>
          <w:color w:val="333333"/>
          <w:sz w:val="21"/>
        </w:rPr>
        <w:t>The framework is designed for use in research, education, design, language analysis, symbolic interpretation, and broader site or system environments wherever meaningful change must be observed and recorded with consistency.</w:t>
      </w:r>
    </w:p>
    <w:p>
      <w:pPr>
        <w:spacing w:before="160" w:after="80"/>
        <w:jc w:val="left"/>
      </w:pPr>
      <w:r>
        <w:rPr>
          <w:rFonts w:ascii="Georgia" w:hAnsi="Georgia"/>
          <w:b/>
          <w:color w:val="1A3C2A"/>
          <w:sz w:val="26"/>
        </w:rPr>
        <w:t>Why It Matters in Academic and Public Contexts</w:t>
      </w:r>
    </w:p>
    <w:p>
      <w:pPr>
        <w:spacing w:after="200" w:before="0"/>
      </w:pPr>
      <w:r>
        <w:rPr>
          <w:rFonts w:ascii="Calibri" w:hAnsi="Calibri"/>
          <w:b w:val="0"/>
          <w:i w:val="0"/>
          <w:color w:val="333333"/>
          <w:sz w:val="21"/>
        </w:rPr>
        <w:t>For scholarship review, Heyer Livin demonstrates original thought, interdisciplinary range, and a clear commitment to building new intellectual tools. For broader institutional review, it presents a novel system architecture with strong relevance to how meaning, interaction, and change are documented and understood. The work connects brand, system design, research, symbolic logic, and human interaction into a coherent and growing body of original scholarship.</w:t>
      </w:r>
    </w:p>
    <w:p>
      <w:pPr>
        <w:spacing w:after="40" w:before="80"/>
        <w:pBdr>
          <w:top w:val="single" w:sz="6" w:space="1" w:color="C9A852"/>
        </w:pBdr>
      </w:pPr>
    </w:p>
    <w:p>
      <w:pPr>
        <w:spacing w:before="80" w:after="80"/>
        <w:jc w:val="left"/>
      </w:pPr>
      <w:r>
        <w:rPr>
          <w:rFonts w:ascii="Georgia" w:hAnsi="Georgia"/>
          <w:b/>
          <w:color w:val="1A3C2A"/>
          <w:sz w:val="28"/>
        </w:rPr>
        <w:t>Jair Valley</w:t>
      </w:r>
    </w:p>
    <w:p>
      <w:pPr>
        <w:spacing w:after="200" w:before="0"/>
      </w:pPr>
      <w:r>
        <w:rPr>
          <w:rFonts w:ascii="Calibri" w:hAnsi="Calibri"/>
          <w:b w:val="0"/>
          <w:i w:val="0"/>
          <w:color w:val="333333"/>
          <w:sz w:val="21"/>
        </w:rPr>
        <w:t>Berkeley City College student, transfer-track scholar, and founder developing Heyer Livin as an original body of interdisciplinary work at the intersection of culture, research, and system design.</w:t>
      </w:r>
    </w:p>
    <w:p>
      <w:pPr>
        <w:spacing w:after="80" w:before="0"/>
      </w:pPr>
      <w:r>
        <w:rPr>
          <w:rFonts w:ascii="Calibri" w:hAnsi="Calibri"/>
          <w:b w:val="0"/>
          <w:i/>
          <w:color w:val="2C5F2D"/>
          <w:sz w:val="20"/>
        </w:rPr>
        <w:t>This page is a curated introduction to a larger research, design, and systems project. Additional materials and documentation are available upon request.</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