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center"/>
      </w:pPr>
      <w:r>
        <w:t>Heyer Livin</w:t>
        <w:br/>
        <w:t>Mathematical Extraction and Replication Appendix</w:t>
      </w:r>
    </w:p>
    <w:p>
      <w:pPr>
        <w:pStyle w:val="Subtle"/>
        <w:spacing w:after="200"/>
        <w:jc w:val="center"/>
      </w:pPr>
      <w:r>
        <w:t>Prepared for committee review and replication reference | March 26, 2026</w:t>
      </w:r>
    </w:p>
    <w:tbl>
      <w:tblPr>
        <w:tblW w:type="auto" w:w="0"/>
        <w:jc w:val="center"/>
        <w:tblLayout w:type="autofit"/>
        <w:tblLook w:firstColumn="1" w:firstRow="1" w:lastColumn="0" w:lastRow="0" w:noHBand="0" w:noVBand="1" w:val="04A0"/>
      </w:tblPr>
      <w:tblGrid>
        <w:gridCol w:w="9936"/>
      </w:tblGrid>
      <w:tr>
        <w:tc>
          <w:tcPr>
            <w:tcW w:type="dxa" w:w="9936"/>
            <w:shd w:fill="F2F5F7"/>
            <w:tcMar>
              <w:top w:w="110" w:type="dxa"/>
              <w:start w:w="140" w:type="dxa"/>
              <w:bottom w:w="110" w:type="dxa"/>
              <w:end w:w="140" w:type="dxa"/>
            </w:tcMar>
            <w:vAlign w:val="center"/>
          </w:tcPr>
          <w:p>
            <w:pPr>
              <w:spacing w:after="0"/>
            </w:pPr>
            <w:r>
              <w:rPr>
                <w:b/>
              </w:rPr>
              <w:t xml:space="preserve">Scope. </w:t>
            </w:r>
            <w:r>
              <w:t>This appendix pulls out the mathematical structure present in the currently uploaded files and shows the work for the equations that can be directly replicated from those materials. It is an extraction document, not a full proof packet.</w:t>
            </w:r>
          </w:p>
        </w:tc>
      </w:tr>
    </w:tbl>
    <w:p>
      <w:pPr>
        <w:spacing w:after="80" w:before="0" w:line="240" w:lineRule="auto"/>
      </w:pPr>
      <w:r/>
    </w:p>
    <w:p>
      <w:pPr>
        <w:pStyle w:val="Heading1Custom"/>
        <w:spacing w:after="120" w:before="0" w:line="240" w:lineRule="auto"/>
      </w:pPr>
      <w:r>
        <w:t>1. Core equations extracted from the current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90" w:type="dxa"/>
              <w:bottom w:w="80" w:type="dxa"/>
              <w:end w:w="90" w:type="dxa"/>
            </w:tcMar>
          </w:tcPr>
          <w:p>
            <w:r>
              <w:rPr>
                <w:b/>
              </w:rPr>
              <w:t>Equation</w:t>
            </w:r>
          </w:p>
        </w:tc>
        <w:tc>
          <w:tcPr>
            <w:tcW w:type="dxa" w:w="3312"/>
            <w:shd w:fill="DCE6F1"/>
            <w:tcMar>
              <w:top w:w="80" w:type="dxa"/>
              <w:start w:w="90" w:type="dxa"/>
              <w:bottom w:w="80" w:type="dxa"/>
              <w:end w:w="90" w:type="dxa"/>
            </w:tcMar>
          </w:tcPr>
          <w:p>
            <w:r>
              <w:rPr>
                <w:b/>
              </w:rPr>
              <w:t>Form</w:t>
            </w:r>
          </w:p>
        </w:tc>
        <w:tc>
          <w:tcPr>
            <w:tcW w:type="dxa" w:w="3312"/>
            <w:shd w:fill="DCE6F1"/>
            <w:tcMar>
              <w:top w:w="80" w:type="dxa"/>
              <w:start w:w="90" w:type="dxa"/>
              <w:bottom w:w="80" w:type="dxa"/>
              <w:end w:w="90" w:type="dxa"/>
            </w:tcMar>
          </w:tcPr>
          <w:p>
            <w:r>
              <w:rPr>
                <w:b/>
              </w:rPr>
              <w:t>What it does</w:t>
            </w:r>
          </w:p>
        </w:tc>
      </w:tr>
      <w:tr>
        <w:tc>
          <w:tcPr>
            <w:tcW w:type="dxa" w:w="3312"/>
            <w:tcMar>
              <w:top w:w="80" w:type="dxa"/>
              <w:start w:w="90" w:type="dxa"/>
              <w:bottom w:w="80" w:type="dxa"/>
              <w:end w:w="90" w:type="dxa"/>
            </w:tcMar>
            <w:vAlign w:val="center"/>
          </w:tcPr>
          <w:p>
            <w:r>
              <w:t>Core CI equation</w:t>
            </w:r>
          </w:p>
        </w:tc>
        <w:tc>
          <w:tcPr>
            <w:tcW w:type="dxa" w:w="3312"/>
            <w:tcMar>
              <w:top w:w="80" w:type="dxa"/>
              <w:start w:w="90" w:type="dxa"/>
              <w:bottom w:w="80" w:type="dxa"/>
              <w:end w:w="90" w:type="dxa"/>
            </w:tcMar>
            <w:vAlign w:val="center"/>
          </w:tcPr>
          <w:p>
            <w:r>
              <w:t>Self + Interaction = Reality</w:t>
            </w:r>
          </w:p>
        </w:tc>
        <w:tc>
          <w:tcPr>
            <w:tcW w:type="dxa" w:w="3312"/>
            <w:tcMar>
              <w:top w:w="80" w:type="dxa"/>
              <w:start w:w="90" w:type="dxa"/>
              <w:bottom w:w="80" w:type="dxa"/>
              <w:end w:w="90" w:type="dxa"/>
            </w:tcMar>
            <w:vAlign w:val="center"/>
          </w:tcPr>
          <w:p>
            <w:r>
              <w:t>Defines the generation of new information from a prior state plus an event.</w:t>
            </w:r>
          </w:p>
        </w:tc>
      </w:tr>
      <w:tr>
        <w:tc>
          <w:tcPr>
            <w:tcW w:type="dxa" w:w="3312"/>
            <w:tcMar>
              <w:top w:w="80" w:type="dxa"/>
              <w:start w:w="90" w:type="dxa"/>
              <w:bottom w:w="80" w:type="dxa"/>
              <w:end w:w="90" w:type="dxa"/>
            </w:tcMar>
            <w:vAlign w:val="center"/>
          </w:tcPr>
          <w:p>
            <w:r>
              <w:t>Artifact equation</w:t>
            </w:r>
          </w:p>
        </w:tc>
        <w:tc>
          <w:tcPr>
            <w:tcW w:type="dxa" w:w="3312"/>
            <w:tcMar>
              <w:top w:w="80" w:type="dxa"/>
              <w:start w:w="90" w:type="dxa"/>
              <w:bottom w:w="80" w:type="dxa"/>
              <w:end w:w="90" w:type="dxa"/>
            </w:tcMar>
            <w:vAlign w:val="center"/>
          </w:tcPr>
          <w:p>
            <w:r>
              <w:t>Event + (Recognition x Autonomy) = Artifact</w:t>
            </w:r>
          </w:p>
        </w:tc>
        <w:tc>
          <w:tcPr>
            <w:tcW w:type="dxa" w:w="3312"/>
            <w:tcMar>
              <w:top w:w="80" w:type="dxa"/>
              <w:start w:w="90" w:type="dxa"/>
              <w:bottom w:w="80" w:type="dxa"/>
              <w:end w:w="90" w:type="dxa"/>
            </w:tcMar>
            <w:vAlign w:val="center"/>
          </w:tcPr>
          <w:p>
            <w:r>
              <w:t>Maps an event logic into an output object or artifact family.</w:t>
            </w:r>
          </w:p>
        </w:tc>
      </w:tr>
      <w:tr>
        <w:tc>
          <w:tcPr>
            <w:tcW w:type="dxa" w:w="3312"/>
            <w:tcMar>
              <w:top w:w="80" w:type="dxa"/>
              <w:start w:w="90" w:type="dxa"/>
              <w:bottom w:w="80" w:type="dxa"/>
              <w:end w:w="90" w:type="dxa"/>
            </w:tcMar>
            <w:vAlign w:val="center"/>
          </w:tcPr>
          <w:p>
            <w:r>
              <w:t>Master equation</w:t>
            </w:r>
          </w:p>
        </w:tc>
        <w:tc>
          <w:tcPr>
            <w:tcW w:type="dxa" w:w="3312"/>
            <w:tcMar>
              <w:top w:w="80" w:type="dxa"/>
              <w:start w:w="90" w:type="dxa"/>
              <w:bottom w:w="80" w:type="dxa"/>
              <w:end w:w="90" w:type="dxa"/>
            </w:tcMar>
            <w:vAlign w:val="center"/>
          </w:tcPr>
          <w:p>
            <w:r>
              <w:t>K(t) = sum_j [(C_j x R_j) / Delta S_j] + epsilon</w:t>
            </w:r>
          </w:p>
        </w:tc>
        <w:tc>
          <w:tcPr>
            <w:tcW w:type="dxa" w:w="3312"/>
            <w:tcMar>
              <w:top w:w="80" w:type="dxa"/>
              <w:start w:w="90" w:type="dxa"/>
              <w:bottom w:w="80" w:type="dxa"/>
              <w:end w:w="90" w:type="dxa"/>
            </w:tcMar>
            <w:vAlign w:val="center"/>
          </w:tcPr>
          <w:p>
            <w:r>
              <w:t>States the symbolic form of the K(t) framework as documented.</w:t>
            </w:r>
          </w:p>
        </w:tc>
      </w:tr>
      <w:tr>
        <w:tc>
          <w:tcPr>
            <w:tcW w:type="dxa" w:w="3312"/>
            <w:tcMar>
              <w:top w:w="80" w:type="dxa"/>
              <w:start w:w="90" w:type="dxa"/>
              <w:bottom w:w="80" w:type="dxa"/>
              <w:end w:w="90" w:type="dxa"/>
            </w:tcMar>
            <w:vAlign w:val="center"/>
          </w:tcPr>
          <w:p>
            <w:r>
              <w:t>Clustering ratio</w:t>
            </w:r>
          </w:p>
        </w:tc>
        <w:tc>
          <w:tcPr>
            <w:tcW w:type="dxa" w:w="3312"/>
            <w:tcMar>
              <w:top w:w="80" w:type="dxa"/>
              <w:start w:w="90" w:type="dxa"/>
              <w:bottom w:w="80" w:type="dxa"/>
              <w:end w:w="90" w:type="dxa"/>
            </w:tcMar>
            <w:vAlign w:val="center"/>
          </w:tcPr>
          <w:p>
            <w:r>
              <w:t>r = event_position / cycle_length</w:t>
            </w:r>
          </w:p>
        </w:tc>
        <w:tc>
          <w:tcPr>
            <w:tcW w:type="dxa" w:w="3312"/>
            <w:tcMar>
              <w:top w:w="80" w:type="dxa"/>
              <w:start w:w="90" w:type="dxa"/>
              <w:bottom w:w="80" w:type="dxa"/>
              <w:end w:w="90" w:type="dxa"/>
            </w:tcMar>
            <w:vAlign w:val="center"/>
          </w:tcPr>
          <w:p>
            <w:r>
              <w:t>Converts one irreversible event within a cycle into a comparable ratio.</w:t>
            </w:r>
          </w:p>
        </w:tc>
      </w:tr>
      <w:tr>
        <w:tc>
          <w:tcPr>
            <w:tcW w:type="dxa" w:w="3312"/>
            <w:tcMar>
              <w:top w:w="80" w:type="dxa"/>
              <w:start w:w="90" w:type="dxa"/>
              <w:bottom w:w="80" w:type="dxa"/>
              <w:end w:w="90" w:type="dxa"/>
            </w:tcMar>
            <w:vAlign w:val="center"/>
          </w:tcPr>
          <w:p>
            <w:r>
              <w:t>Distance from reference</w:t>
            </w:r>
          </w:p>
        </w:tc>
        <w:tc>
          <w:tcPr>
            <w:tcW w:type="dxa" w:w="3312"/>
            <w:tcMar>
              <w:top w:w="80" w:type="dxa"/>
              <w:start w:w="90" w:type="dxa"/>
              <w:bottom w:w="80" w:type="dxa"/>
              <w:end w:w="90" w:type="dxa"/>
            </w:tcMar>
            <w:vAlign w:val="center"/>
          </w:tcPr>
          <w:p>
            <w:r>
              <w:t>d = |r - 0.39|</w:t>
            </w:r>
          </w:p>
        </w:tc>
        <w:tc>
          <w:tcPr>
            <w:tcW w:type="dxa" w:w="3312"/>
            <w:tcMar>
              <w:top w:w="80" w:type="dxa"/>
              <w:start w:w="90" w:type="dxa"/>
              <w:bottom w:w="80" w:type="dxa"/>
              <w:end w:w="90" w:type="dxa"/>
            </w:tcMar>
            <w:vAlign w:val="center"/>
          </w:tcPr>
          <w:p>
            <w:r>
              <w:t>Measures how far a record sits from the reference point.</w:t>
            </w:r>
          </w:p>
        </w:tc>
      </w:tr>
      <w:tr>
        <w:tc>
          <w:tcPr>
            <w:tcW w:type="dxa" w:w="3312"/>
            <w:tcMar>
              <w:top w:w="80" w:type="dxa"/>
              <w:start w:w="90" w:type="dxa"/>
              <w:bottom w:w="80" w:type="dxa"/>
              <w:end w:w="90" w:type="dxa"/>
            </w:tcMar>
            <w:vAlign w:val="center"/>
          </w:tcPr>
          <w:p>
            <w:r>
              <w:t>Band test</w:t>
            </w:r>
          </w:p>
        </w:tc>
        <w:tc>
          <w:tcPr>
            <w:tcW w:type="dxa" w:w="3312"/>
            <w:tcMar>
              <w:top w:w="80" w:type="dxa"/>
              <w:start w:w="90" w:type="dxa"/>
              <w:bottom w:w="80" w:type="dxa"/>
              <w:end w:w="90" w:type="dxa"/>
            </w:tcMar>
            <w:vAlign w:val="center"/>
          </w:tcPr>
          <w:p>
            <w:r>
              <w:t>inside_band iff 0.30 &lt;= r &lt;= 0.49</w:t>
            </w:r>
          </w:p>
        </w:tc>
        <w:tc>
          <w:tcPr>
            <w:tcW w:type="dxa" w:w="3312"/>
            <w:tcMar>
              <w:top w:w="80" w:type="dxa"/>
              <w:start w:w="90" w:type="dxa"/>
              <w:bottom w:w="80" w:type="dxa"/>
              <w:end w:w="90" w:type="dxa"/>
            </w:tcMar>
            <w:vAlign w:val="center"/>
          </w:tcPr>
          <w:p>
            <w:r>
              <w:t>Classifies whether a ratio falls inside the stated convergence band.</w:t>
            </w:r>
          </w:p>
        </w:tc>
      </w:tr>
      <w:tr>
        <w:tc>
          <w:tcPr>
            <w:tcW w:type="dxa" w:w="3312"/>
            <w:tcMar>
              <w:top w:w="80" w:type="dxa"/>
              <w:start w:w="90" w:type="dxa"/>
              <w:bottom w:w="80" w:type="dxa"/>
              <w:end w:w="90" w:type="dxa"/>
            </w:tcMar>
            <w:vAlign w:val="center"/>
          </w:tcPr>
          <w:p>
            <w:r>
              <w:t>PCS score</w:t>
            </w:r>
          </w:p>
        </w:tc>
        <w:tc>
          <w:tcPr>
            <w:tcW w:type="dxa" w:w="3312"/>
            <w:tcMar>
              <w:top w:w="80" w:type="dxa"/>
              <w:start w:w="90" w:type="dxa"/>
              <w:bottom w:w="80" w:type="dxa"/>
              <w:end w:w="90" w:type="dxa"/>
            </w:tcMar>
            <w:vAlign w:val="center"/>
          </w:tcPr>
          <w:p>
            <w:r>
              <w:t>PCS = (L1 + L2 + L3 + L4 + L5 + L6) / 6</w:t>
            </w:r>
          </w:p>
        </w:tc>
        <w:tc>
          <w:tcPr>
            <w:tcW w:type="dxa" w:w="3312"/>
            <w:tcMar>
              <w:top w:w="80" w:type="dxa"/>
              <w:start w:w="90" w:type="dxa"/>
              <w:bottom w:w="80" w:type="dxa"/>
              <w:end w:w="90" w:type="dxa"/>
            </w:tcMar>
            <w:vAlign w:val="center"/>
          </w:tcPr>
          <w:p>
            <w:r>
              <w:t>Averages the six SLCM access layers into one personal constraint score.</w:t>
            </w:r>
          </w:p>
        </w:tc>
      </w:tr>
    </w:tbl>
    <w:p>
      <w:pPr>
        <w:spacing w:after="80" w:before="0" w:line="240" w:lineRule="auto"/>
      </w:pPr>
      <w:r/>
    </w:p>
    <w:p>
      <w:pPr>
        <w:pStyle w:val="Heading1Custom"/>
        <w:spacing w:after="120" w:before="0" w:line="240" w:lineRule="auto"/>
      </w:pPr>
      <w:r>
        <w:t>2. Event-record math workflow</w:t>
      </w:r>
    </w:p>
    <w:p>
      <w:pPr>
        <w:spacing w:after="80" w:before="0" w:line="240" w:lineRule="auto"/>
      </w:pPr>
      <w:r>
        <w:t>The simulation and event files implement one repeating mathematical pipeline. Each record defines a cycle, identifies one irreversible event inside that cycle, converts that event location into a ratio, and compares the result to a fixed reference point and band.</w:t>
      </w:r>
    </w:p>
    <w:p>
      <w:pPr>
        <w:spacing w:after="40"/>
        <w:ind w:left="288"/>
      </w:pPr>
      <w:r>
        <w:t>Step 1. Define the cycle length.</w:t>
      </w:r>
    </w:p>
    <w:p>
      <w:pPr>
        <w:spacing w:after="40"/>
        <w:ind w:left="288"/>
      </w:pPr>
      <w:r>
        <w:t>Step 2. Locate the irreversible event inside that cycle.</w:t>
      </w:r>
    </w:p>
    <w:p>
      <w:pPr>
        <w:spacing w:after="40"/>
        <w:ind w:left="288"/>
      </w:pPr>
      <w:r>
        <w:t>Step 3. Compute the clustering ratio r = event_position / cycle_length.</w:t>
      </w:r>
    </w:p>
    <w:p>
      <w:pPr>
        <w:spacing w:after="40"/>
        <w:ind w:left="288"/>
      </w:pPr>
      <w:r>
        <w:t>Step 4. Compare r to the reference point 0.39.</w:t>
      </w:r>
    </w:p>
    <w:p>
      <w:pPr>
        <w:spacing w:after="40"/>
        <w:ind w:left="288"/>
      </w:pPr>
      <w:r>
        <w:t>Step 5. Compute distance d = |r - 0.39|.</w:t>
      </w:r>
    </w:p>
    <w:p>
      <w:pPr>
        <w:spacing w:after="40"/>
        <w:ind w:left="288"/>
      </w:pPr>
      <w:r>
        <w:t>Step 6. Mark the record as inside the band when 0.30 &lt;= r &lt;= 0.49.</w:t>
      </w:r>
    </w:p>
    <w:p>
      <w:pPr>
        <w:spacing w:after="80" w:before="0" w:line="240" w:lineRule="auto"/>
      </w:pPr>
      <w:r/>
    </w:p>
    <w:p>
      <w:pPr>
        <w:pStyle w:val="Heading1Custom"/>
        <w:spacing w:after="120" w:before="0" w:line="240" w:lineRule="auto"/>
      </w:pPr>
      <w:r>
        <w:t>3. Worked replications from the uploaded code</w:t>
      </w:r>
    </w:p>
    <w:p>
      <w:pPr>
        <w:spacing w:after="80" w:before="0" w:line="240" w:lineRule="auto"/>
      </w:pPr>
      <w:r>
        <w:t>The table below separates directly reproducible mathematics from higher-level claims. The final column reports one fresh replication run of the uploaded simulation engine at n = 100,000 trials.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CE6F1"/>
            <w:tcMar>
              <w:top w:w="70" w:type="dxa"/>
              <w:start w:w="85" w:type="dxa"/>
              <w:bottom w:w="70" w:type="dxa"/>
              <w:end w:w="85" w:type="dxa"/>
            </w:tcMar>
          </w:tcPr>
          <w:p>
            <w:r>
              <w:rPr>
                <w:b/>
              </w:rPr>
              <w:t>Game</w:t>
            </w:r>
          </w:p>
        </w:tc>
        <w:tc>
          <w:tcPr>
            <w:tcW w:type="dxa" w:w="1987"/>
            <w:shd w:fill="DCE6F1"/>
            <w:tcMar>
              <w:top w:w="70" w:type="dxa"/>
              <w:start w:w="85" w:type="dxa"/>
              <w:bottom w:w="70" w:type="dxa"/>
              <w:end w:w="85" w:type="dxa"/>
            </w:tcMar>
          </w:tcPr>
          <w:p>
            <w:r>
              <w:rPr>
                <w:b/>
              </w:rPr>
              <w:t>Worked formula</w:t>
            </w:r>
          </w:p>
        </w:tc>
        <w:tc>
          <w:tcPr>
            <w:tcW w:type="dxa" w:w="1987"/>
            <w:shd w:fill="DCE6F1"/>
            <w:tcMar>
              <w:top w:w="70" w:type="dxa"/>
              <w:start w:w="85" w:type="dxa"/>
              <w:bottom w:w="70" w:type="dxa"/>
              <w:end w:w="85" w:type="dxa"/>
            </w:tcMar>
          </w:tcPr>
          <w:p>
            <w:r>
              <w:rPr>
                <w:b/>
              </w:rPr>
              <w:t>Theoretical / exact value</w:t>
            </w:r>
          </w:p>
        </w:tc>
        <w:tc>
          <w:tcPr>
            <w:tcW w:type="dxa" w:w="1987"/>
            <w:shd w:fill="DCE6F1"/>
            <w:tcMar>
              <w:top w:w="70" w:type="dxa"/>
              <w:start w:w="85" w:type="dxa"/>
              <w:bottom w:w="70" w:type="dxa"/>
              <w:end w:w="85" w:type="dxa"/>
            </w:tcMar>
          </w:tcPr>
          <w:p>
            <w:r>
              <w:rPr>
                <w:b/>
              </w:rPr>
              <w:t>Observed run</w:t>
            </w:r>
          </w:p>
        </w:tc>
        <w:tc>
          <w:tcPr>
            <w:tcW w:type="dxa" w:w="1987"/>
            <w:shd w:fill="DCE6F1"/>
            <w:tcMar>
              <w:top w:w="70" w:type="dxa"/>
              <w:start w:w="85" w:type="dxa"/>
              <w:bottom w:w="70" w:type="dxa"/>
              <w:end w:w="85" w:type="dxa"/>
            </w:tcMar>
          </w:tcPr>
          <w:p>
            <w:r>
              <w:rPr>
                <w:b/>
              </w:rPr>
              <w:t>Band result</w:t>
            </w:r>
          </w:p>
        </w:tc>
      </w:tr>
      <w:tr>
        <w:tc>
          <w:tcPr>
            <w:tcW w:type="dxa" w:w="1987"/>
            <w:tcMar>
              <w:top w:w="70" w:type="dxa"/>
              <w:start w:w="85" w:type="dxa"/>
              <w:bottom w:w="70" w:type="dxa"/>
              <w:end w:w="85" w:type="dxa"/>
            </w:tcMar>
            <w:vAlign w:val="center"/>
          </w:tcPr>
          <w:p>
            <w:r>
              <w:t>Coin flip</w:t>
            </w:r>
          </w:p>
        </w:tc>
        <w:tc>
          <w:tcPr>
            <w:tcW w:type="dxa" w:w="1987"/>
            <w:tcMar>
              <w:top w:w="70" w:type="dxa"/>
              <w:start w:w="85" w:type="dxa"/>
              <w:bottom w:w="70" w:type="dxa"/>
              <w:end w:w="85" w:type="dxa"/>
            </w:tcMar>
            <w:vAlign w:val="center"/>
          </w:tcPr>
          <w:p>
            <w:r>
              <w:t>P(heads) = 1/2</w:t>
            </w:r>
          </w:p>
        </w:tc>
        <w:tc>
          <w:tcPr>
            <w:tcW w:type="dxa" w:w="1987"/>
            <w:tcMar>
              <w:top w:w="70" w:type="dxa"/>
              <w:start w:w="85" w:type="dxa"/>
              <w:bottom w:w="70" w:type="dxa"/>
              <w:end w:w="85" w:type="dxa"/>
            </w:tcMar>
            <w:vAlign w:val="center"/>
          </w:tcPr>
          <w:p>
            <w:r>
              <w:t>0.500000</w:t>
            </w:r>
          </w:p>
        </w:tc>
        <w:tc>
          <w:tcPr>
            <w:tcW w:type="dxa" w:w="1987"/>
            <w:tcMar>
              <w:top w:w="70" w:type="dxa"/>
              <w:start w:w="85" w:type="dxa"/>
              <w:bottom w:w="70" w:type="dxa"/>
              <w:end w:w="85" w:type="dxa"/>
            </w:tcMar>
            <w:vAlign w:val="center"/>
          </w:tcPr>
          <w:p>
            <w:r>
              <w:t>0.498210</w:t>
            </w:r>
          </w:p>
        </w:tc>
        <w:tc>
          <w:tcPr>
            <w:tcW w:type="dxa" w:w="1987"/>
            <w:tcMar>
              <w:top w:w="70" w:type="dxa"/>
              <w:start w:w="85" w:type="dxa"/>
              <w:bottom w:w="70" w:type="dxa"/>
              <w:end w:w="85" w:type="dxa"/>
            </w:tcMar>
            <w:vAlign w:val="center"/>
          </w:tcPr>
          <w:p>
            <w:r>
              <w:t>Outside band</w:t>
            </w:r>
          </w:p>
        </w:tc>
      </w:tr>
      <w:tr>
        <w:tc>
          <w:tcPr>
            <w:tcW w:type="dxa" w:w="1987"/>
            <w:tcMar>
              <w:top w:w="70" w:type="dxa"/>
              <w:start w:w="85" w:type="dxa"/>
              <w:bottom w:w="70" w:type="dxa"/>
              <w:end w:w="85" w:type="dxa"/>
            </w:tcMar>
            <w:vAlign w:val="center"/>
          </w:tcPr>
          <w:p>
            <w:r>
              <w:t>Dice &lt;= 3 of 6</w:t>
            </w:r>
          </w:p>
        </w:tc>
        <w:tc>
          <w:tcPr>
            <w:tcW w:type="dxa" w:w="1987"/>
            <w:tcMar>
              <w:top w:w="70" w:type="dxa"/>
              <w:start w:w="85" w:type="dxa"/>
              <w:bottom w:w="70" w:type="dxa"/>
              <w:end w:w="85" w:type="dxa"/>
            </w:tcMar>
            <w:vAlign w:val="center"/>
          </w:tcPr>
          <w:p>
            <w:r>
              <w:t>P(hit) = 3/6 = 1/2</w:t>
            </w:r>
          </w:p>
        </w:tc>
        <w:tc>
          <w:tcPr>
            <w:tcW w:type="dxa" w:w="1987"/>
            <w:tcMar>
              <w:top w:w="70" w:type="dxa"/>
              <w:start w:w="85" w:type="dxa"/>
              <w:bottom w:w="70" w:type="dxa"/>
              <w:end w:w="85" w:type="dxa"/>
            </w:tcMar>
            <w:vAlign w:val="center"/>
          </w:tcPr>
          <w:p>
            <w:r>
              <w:t>0.500000</w:t>
            </w:r>
          </w:p>
        </w:tc>
        <w:tc>
          <w:tcPr>
            <w:tcW w:type="dxa" w:w="1987"/>
            <w:tcMar>
              <w:top w:w="70" w:type="dxa"/>
              <w:start w:w="85" w:type="dxa"/>
              <w:bottom w:w="70" w:type="dxa"/>
              <w:end w:w="85" w:type="dxa"/>
            </w:tcMar>
            <w:vAlign w:val="center"/>
          </w:tcPr>
          <w:p>
            <w:r>
              <w:t>0.499220</w:t>
            </w:r>
          </w:p>
        </w:tc>
        <w:tc>
          <w:tcPr>
            <w:tcW w:type="dxa" w:w="1987"/>
            <w:tcMar>
              <w:top w:w="70" w:type="dxa"/>
              <w:start w:w="85" w:type="dxa"/>
              <w:bottom w:w="70" w:type="dxa"/>
              <w:end w:w="85" w:type="dxa"/>
            </w:tcMar>
            <w:vAlign w:val="center"/>
          </w:tcPr>
          <w:p>
            <w:r>
              <w:t>Outside band</w:t>
            </w:r>
          </w:p>
        </w:tc>
      </w:tr>
      <w:tr>
        <w:tc>
          <w:tcPr>
            <w:tcW w:type="dxa" w:w="1987"/>
            <w:tcMar>
              <w:top w:w="70" w:type="dxa"/>
              <w:start w:w="85" w:type="dxa"/>
              <w:bottom w:w="70" w:type="dxa"/>
              <w:end w:w="85" w:type="dxa"/>
            </w:tcMar>
            <w:vAlign w:val="center"/>
          </w:tcPr>
          <w:p>
            <w:r>
              <w:t>Kings Cup</w:t>
            </w:r>
          </w:p>
        </w:tc>
        <w:tc>
          <w:tcPr>
            <w:tcW w:type="dxa" w:w="1987"/>
            <w:tcMar>
              <w:top w:w="70" w:type="dxa"/>
              <w:start w:w="85" w:type="dxa"/>
              <w:bottom w:w="70" w:type="dxa"/>
              <w:end w:w="85" w:type="dxa"/>
            </w:tcMar>
            <w:vAlign w:val="center"/>
          </w:tcPr>
          <w:p>
            <w:r>
              <w:t>E[position of 2nd king] = 2(52+1)/(4+1) = 21.2; 21.2/52</w:t>
            </w:r>
          </w:p>
        </w:tc>
        <w:tc>
          <w:tcPr>
            <w:tcW w:type="dxa" w:w="1987"/>
            <w:tcMar>
              <w:top w:w="70" w:type="dxa"/>
              <w:start w:w="85" w:type="dxa"/>
              <w:bottom w:w="70" w:type="dxa"/>
              <w:end w:w="85" w:type="dxa"/>
            </w:tcMar>
            <w:vAlign w:val="center"/>
          </w:tcPr>
          <w:p>
            <w:r>
              <w:t>0.407692</w:t>
            </w:r>
          </w:p>
        </w:tc>
        <w:tc>
          <w:tcPr>
            <w:tcW w:type="dxa" w:w="1987"/>
            <w:tcMar>
              <w:top w:w="70" w:type="dxa"/>
              <w:start w:w="85" w:type="dxa"/>
              <w:bottom w:w="70" w:type="dxa"/>
              <w:end w:w="85" w:type="dxa"/>
            </w:tcMar>
            <w:vAlign w:val="center"/>
          </w:tcPr>
          <w:p>
            <w:r>
              <w:t>0.408450</w:t>
            </w:r>
          </w:p>
        </w:tc>
        <w:tc>
          <w:tcPr>
            <w:tcW w:type="dxa" w:w="1987"/>
            <w:tcMar>
              <w:top w:w="70" w:type="dxa"/>
              <w:start w:w="85" w:type="dxa"/>
              <w:bottom w:w="70" w:type="dxa"/>
              <w:end w:w="85" w:type="dxa"/>
            </w:tcMar>
            <w:vAlign w:val="center"/>
          </w:tcPr>
          <w:p>
            <w:r>
              <w:t>Inside band</w:t>
            </w:r>
          </w:p>
        </w:tc>
      </w:tr>
      <w:tr>
        <w:tc>
          <w:tcPr>
            <w:tcW w:type="dxa" w:w="1987"/>
            <w:tcMar>
              <w:top w:w="70" w:type="dxa"/>
              <w:start w:w="85" w:type="dxa"/>
              <w:bottom w:w="70" w:type="dxa"/>
              <w:end w:w="85" w:type="dxa"/>
            </w:tcMar>
            <w:vAlign w:val="center"/>
          </w:tcPr>
          <w:p>
            <w:r>
              <w:t>Blackjack bust</w:t>
            </w:r>
          </w:p>
        </w:tc>
        <w:tc>
          <w:tcPr>
            <w:tcW w:type="dxa" w:w="1987"/>
            <w:tcMar>
              <w:top w:w="70" w:type="dxa"/>
              <w:start w:w="85" w:type="dxa"/>
              <w:bottom w:w="70" w:type="dxa"/>
              <w:end w:w="85" w:type="dxa"/>
            </w:tcMar>
            <w:vAlign w:val="center"/>
          </w:tcPr>
          <w:p>
            <w:r>
              <w:t>Exact rate from implemented 3-card draw logic with ace adjustment</w:t>
            </w:r>
          </w:p>
        </w:tc>
        <w:tc>
          <w:tcPr>
            <w:tcW w:type="dxa" w:w="1987"/>
            <w:tcMar>
              <w:top w:w="70" w:type="dxa"/>
              <w:start w:w="85" w:type="dxa"/>
              <w:bottom w:w="70" w:type="dxa"/>
              <w:end w:w="85" w:type="dxa"/>
            </w:tcMar>
            <w:vAlign w:val="center"/>
          </w:tcPr>
          <w:p>
            <w:r>
              <w:t>0.378281</w:t>
            </w:r>
          </w:p>
        </w:tc>
        <w:tc>
          <w:tcPr>
            <w:tcW w:type="dxa" w:w="1987"/>
            <w:tcMar>
              <w:top w:w="70" w:type="dxa"/>
              <w:start w:w="85" w:type="dxa"/>
              <w:bottom w:w="70" w:type="dxa"/>
              <w:end w:w="85" w:type="dxa"/>
            </w:tcMar>
            <w:vAlign w:val="center"/>
          </w:tcPr>
          <w:p>
            <w:r>
              <w:t>0.378620</w:t>
            </w:r>
          </w:p>
        </w:tc>
        <w:tc>
          <w:tcPr>
            <w:tcW w:type="dxa" w:w="1987"/>
            <w:tcMar>
              <w:top w:w="70" w:type="dxa"/>
              <w:start w:w="85" w:type="dxa"/>
              <w:bottom w:w="70" w:type="dxa"/>
              <w:end w:w="85" w:type="dxa"/>
            </w:tcMar>
            <w:vAlign w:val="center"/>
          </w:tcPr>
          <w:p>
            <w:r>
              <w:t>Inside band</w:t>
            </w:r>
          </w:p>
        </w:tc>
      </w:tr>
      <w:tr>
        <w:tc>
          <w:tcPr>
            <w:tcW w:type="dxa" w:w="1987"/>
            <w:tcMar>
              <w:top w:w="70" w:type="dxa"/>
              <w:start w:w="85" w:type="dxa"/>
              <w:bottom w:w="70" w:type="dxa"/>
              <w:end w:w="85" w:type="dxa"/>
            </w:tcMar>
            <w:vAlign w:val="center"/>
          </w:tcPr>
          <w:p>
            <w:r>
              <w:t>Roulette red</w:t>
            </w:r>
          </w:p>
        </w:tc>
        <w:tc>
          <w:tcPr>
            <w:tcW w:type="dxa" w:w="1987"/>
            <w:tcMar>
              <w:top w:w="70" w:type="dxa"/>
              <w:start w:w="85" w:type="dxa"/>
              <w:bottom w:w="70" w:type="dxa"/>
              <w:end w:w="85" w:type="dxa"/>
            </w:tcMar>
            <w:vAlign w:val="center"/>
          </w:tcPr>
          <w:p>
            <w:r>
              <w:t>P(red) = 18/38</w:t>
            </w:r>
          </w:p>
        </w:tc>
        <w:tc>
          <w:tcPr>
            <w:tcW w:type="dxa" w:w="1987"/>
            <w:tcMar>
              <w:top w:w="70" w:type="dxa"/>
              <w:start w:w="85" w:type="dxa"/>
              <w:bottom w:w="70" w:type="dxa"/>
              <w:end w:w="85" w:type="dxa"/>
            </w:tcMar>
            <w:vAlign w:val="center"/>
          </w:tcPr>
          <w:p>
            <w:r>
              <w:t>0.473684</w:t>
            </w:r>
          </w:p>
        </w:tc>
        <w:tc>
          <w:tcPr>
            <w:tcW w:type="dxa" w:w="1987"/>
            <w:tcMar>
              <w:top w:w="70" w:type="dxa"/>
              <w:start w:w="85" w:type="dxa"/>
              <w:bottom w:w="70" w:type="dxa"/>
              <w:end w:w="85" w:type="dxa"/>
            </w:tcMar>
            <w:vAlign w:val="center"/>
          </w:tcPr>
          <w:p>
            <w:r>
              <w:t>0.474020</w:t>
            </w:r>
          </w:p>
        </w:tc>
        <w:tc>
          <w:tcPr>
            <w:tcW w:type="dxa" w:w="1987"/>
            <w:tcMar>
              <w:top w:w="70" w:type="dxa"/>
              <w:start w:w="85" w:type="dxa"/>
              <w:bottom w:w="70" w:type="dxa"/>
              <w:end w:w="85" w:type="dxa"/>
            </w:tcMar>
            <w:vAlign w:val="center"/>
          </w:tcPr>
          <w:p>
            <w:r>
              <w:t>Inside band</w:t>
            </w:r>
          </w:p>
        </w:tc>
      </w:tr>
      <w:tr>
        <w:tc>
          <w:tcPr>
            <w:tcW w:type="dxa" w:w="1987"/>
            <w:tcMar>
              <w:top w:w="70" w:type="dxa"/>
              <w:start w:w="85" w:type="dxa"/>
              <w:bottom w:w="70" w:type="dxa"/>
              <w:end w:w="85" w:type="dxa"/>
            </w:tcMar>
            <w:vAlign w:val="center"/>
          </w:tcPr>
          <w:p>
            <w:r>
              <w:t>War win</w:t>
            </w:r>
          </w:p>
        </w:tc>
        <w:tc>
          <w:tcPr>
            <w:tcW w:type="dxa" w:w="1987"/>
            <w:tcMar>
              <w:top w:w="70" w:type="dxa"/>
              <w:start w:w="85" w:type="dxa"/>
              <w:bottom w:w="70" w:type="dxa"/>
              <w:end w:w="85" w:type="dxa"/>
            </w:tcMar>
            <w:vAlign w:val="center"/>
          </w:tcPr>
          <w:p>
            <w:r>
              <w:t>By symmetry, P(player 1 wins | non-tie) = 1/2</w:t>
            </w:r>
          </w:p>
        </w:tc>
        <w:tc>
          <w:tcPr>
            <w:tcW w:type="dxa" w:w="1987"/>
            <w:tcMar>
              <w:top w:w="70" w:type="dxa"/>
              <w:start w:w="85" w:type="dxa"/>
              <w:bottom w:w="70" w:type="dxa"/>
              <w:end w:w="85" w:type="dxa"/>
            </w:tcMar>
            <w:vAlign w:val="center"/>
          </w:tcPr>
          <w:p>
            <w:r>
              <w:t>0.500000</w:t>
            </w:r>
          </w:p>
        </w:tc>
        <w:tc>
          <w:tcPr>
            <w:tcW w:type="dxa" w:w="1987"/>
            <w:tcMar>
              <w:top w:w="70" w:type="dxa"/>
              <w:start w:w="85" w:type="dxa"/>
              <w:bottom w:w="70" w:type="dxa"/>
              <w:end w:w="85" w:type="dxa"/>
            </w:tcMar>
            <w:vAlign w:val="center"/>
          </w:tcPr>
          <w:p>
            <w:r>
              <w:t>0.502517</w:t>
            </w:r>
          </w:p>
        </w:tc>
        <w:tc>
          <w:tcPr>
            <w:tcW w:type="dxa" w:w="1987"/>
            <w:tcMar>
              <w:top w:w="70" w:type="dxa"/>
              <w:start w:w="85" w:type="dxa"/>
              <w:bottom w:w="70" w:type="dxa"/>
              <w:end w:w="85" w:type="dxa"/>
            </w:tcMar>
            <w:vAlign w:val="center"/>
          </w:tcPr>
          <w:p>
            <w:r>
              <w:t>Outside band</w:t>
            </w:r>
          </w:p>
        </w:tc>
      </w:tr>
      <w:tr>
        <w:tc>
          <w:tcPr>
            <w:tcW w:type="dxa" w:w="1987"/>
            <w:tcMar>
              <w:top w:w="70" w:type="dxa"/>
              <w:start w:w="85" w:type="dxa"/>
              <w:bottom w:w="70" w:type="dxa"/>
              <w:end w:w="85" w:type="dxa"/>
            </w:tcMar>
            <w:vAlign w:val="center"/>
          </w:tcPr>
          <w:p>
            <w:r>
              <w:t>Craps pass</w:t>
            </w:r>
          </w:p>
        </w:tc>
        <w:tc>
          <w:tcPr>
            <w:tcW w:type="dxa" w:w="1987"/>
            <w:tcMar>
              <w:top w:w="70" w:type="dxa"/>
              <w:start w:w="85" w:type="dxa"/>
              <w:bottom w:w="70" w:type="dxa"/>
              <w:end w:w="85" w:type="dxa"/>
            </w:tcMar>
            <w:vAlign w:val="center"/>
          </w:tcPr>
          <w:p>
            <w:r>
              <w:t>P(pass line win) = 244/495</w:t>
            </w:r>
          </w:p>
        </w:tc>
        <w:tc>
          <w:tcPr>
            <w:tcW w:type="dxa" w:w="1987"/>
            <w:tcMar>
              <w:top w:w="70" w:type="dxa"/>
              <w:start w:w="85" w:type="dxa"/>
              <w:bottom w:w="70" w:type="dxa"/>
              <w:end w:w="85" w:type="dxa"/>
            </w:tcMar>
            <w:vAlign w:val="center"/>
          </w:tcPr>
          <w:p>
            <w:r>
              <w:t>0.492929</w:t>
            </w:r>
          </w:p>
        </w:tc>
        <w:tc>
          <w:tcPr>
            <w:tcW w:type="dxa" w:w="1987"/>
            <w:tcMar>
              <w:top w:w="70" w:type="dxa"/>
              <w:start w:w="85" w:type="dxa"/>
              <w:bottom w:w="70" w:type="dxa"/>
              <w:end w:w="85" w:type="dxa"/>
            </w:tcMar>
            <w:vAlign w:val="center"/>
          </w:tcPr>
          <w:p>
            <w:r>
              <w:t>0.493360</w:t>
            </w:r>
          </w:p>
        </w:tc>
        <w:tc>
          <w:tcPr>
            <w:tcW w:type="dxa" w:w="1987"/>
            <w:tcMar>
              <w:top w:w="70" w:type="dxa"/>
              <w:start w:w="85" w:type="dxa"/>
              <w:bottom w:w="70" w:type="dxa"/>
              <w:end w:w="85" w:type="dxa"/>
            </w:tcMar>
            <w:vAlign w:val="center"/>
          </w:tcPr>
          <w:p>
            <w:r>
              <w:t>Outside band</w:t>
            </w:r>
          </w:p>
        </w:tc>
      </w:tr>
    </w:tbl>
    <w:p>
      <w:pPr>
        <w:spacing w:after="80" w:before="0" w:line="240" w:lineRule="auto"/>
      </w:pPr>
      <w:r/>
    </w:p>
    <w:p>
      <w:pPr>
        <w:pStyle w:val="Heading2Custom"/>
        <w:spacing w:after="80" w:before="0" w:line="240" w:lineRule="auto"/>
      </w:pPr>
      <w:r>
        <w:t>Worked example: Kings Cup</w:t>
      </w:r>
    </w:p>
    <w:p>
      <w:pPr>
        <w:spacing w:after="80" w:before="0" w:line="240" w:lineRule="auto"/>
      </w:pPr>
      <w:r>
        <w:t>The code defines the measured event as the position of the 2nd king drawn from a shuffled 52-card deck containing 4 kings. The expected position of the 2nd order statistic from 4 marked cards in 52 positions is:</w:t>
      </w:r>
    </w:p>
    <w:p>
      <w:pPr>
        <w:pStyle w:val="EquationStyle"/>
        <w:ind w:left="432"/>
      </w:pPr>
      <w:r>
        <w:t>E[X_(2)] = 2(52 + 1) / (4 + 1) = 106/5 = 21.2</w:t>
      </w:r>
    </w:p>
    <w:p>
      <w:pPr>
        <w:pStyle w:val="EquationStyle"/>
        <w:ind w:left="432"/>
      </w:pPr>
      <w:r>
        <w:t>r = 21.2 / 52 = 0.407692</w:t>
      </w:r>
    </w:p>
    <w:p>
      <w:pPr>
        <w:spacing w:after="80" w:before="0" w:line="240" w:lineRule="auto"/>
      </w:pPr>
      <w:r>
        <w:t>Fresh replication from the uploaded engine at n = 100,000 produced r = 0.408450, which is close to the derived expectation.</w:t>
      </w:r>
    </w:p>
    <w:p>
      <w:pPr>
        <w:pStyle w:val="Heading2Custom"/>
        <w:spacing w:after="80" w:before="0" w:line="240" w:lineRule="auto"/>
      </w:pPr>
      <w:r>
        <w:t>Worked example: Craps pass line</w:t>
      </w:r>
    </w:p>
    <w:p>
      <w:pPr>
        <w:spacing w:after="80" w:before="0" w:line="240" w:lineRule="auto"/>
      </w:pPr>
      <w:r>
        <w:t>The code simulates the standard pass-line rule. The known exact probability is:</w:t>
      </w:r>
    </w:p>
    <w:p>
      <w:pPr>
        <w:pStyle w:val="EquationStyle"/>
        <w:ind w:left="432"/>
      </w:pPr>
      <w:r>
        <w:t>P(pass) = 244 / 495 = 0.492929</w:t>
      </w:r>
    </w:p>
    <w:p>
      <w:pPr>
        <w:spacing w:after="80" w:before="0" w:line="240" w:lineRule="auto"/>
      </w:pPr>
      <w:r>
        <w:t>Fresh replication from the uploaded engine at n = 100,000 produced 0.493360.</w:t>
      </w:r>
    </w:p>
    <w:p>
      <w:pPr>
        <w:pStyle w:val="Heading2Custom"/>
        <w:spacing w:after="80" w:before="0" w:line="240" w:lineRule="auto"/>
      </w:pPr>
      <w:r>
        <w:t>Worked example: Blackjack implementation note</w:t>
      </w:r>
    </w:p>
    <w:p>
      <w:pPr>
        <w:spacing w:after="80" w:before="0" w:line="240" w:lineRule="auto"/>
      </w:pPr>
      <w:r>
        <w:t>The script comment labels this game as a 4-deck bust-rate simulation with an expected value near 0.496. The implemented code, however, samples 3 cards from a 52-value list and applies one ace-adjustment rule. Under that implemented logic, the exact bust rate is 0.378281, and the fresh simulation run produced 0.378620. For committee review, the implemented mathematics and the comment should be treated as separate items.</w:t>
      </w:r>
    </w:p>
    <w:p>
      <w:pPr>
        <w:spacing w:after="80" w:before="0" w:line="240" w:lineRule="auto"/>
      </w:pPr>
      <w:r/>
    </w:p>
    <w:p>
      <w:pPr>
        <w:pStyle w:val="Heading1Custom"/>
        <w:spacing w:after="120" w:before="0" w:line="240" w:lineRule="auto"/>
      </w:pPr>
      <w:r>
        <w:t>4. Constants and thresholds explicitly documented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70" w:type="dxa"/>
              <w:start w:w="85" w:type="dxa"/>
              <w:bottom w:w="70" w:type="dxa"/>
              <w:end w:w="85" w:type="dxa"/>
            </w:tcMar>
          </w:tcPr>
          <w:p>
            <w:r>
              <w:rPr>
                <w:b/>
              </w:rPr>
              <w:t>Quantity</w:t>
            </w:r>
          </w:p>
        </w:tc>
        <w:tc>
          <w:tcPr>
            <w:tcW w:type="dxa" w:w="3312"/>
            <w:shd w:fill="DCE6F1"/>
            <w:tcMar>
              <w:top w:w="70" w:type="dxa"/>
              <w:start w:w="85" w:type="dxa"/>
              <w:bottom w:w="70" w:type="dxa"/>
              <w:end w:w="85" w:type="dxa"/>
            </w:tcMar>
          </w:tcPr>
          <w:p>
            <w:r>
              <w:rPr>
                <w:b/>
              </w:rPr>
              <w:t>Value</w:t>
            </w:r>
          </w:p>
        </w:tc>
        <w:tc>
          <w:tcPr>
            <w:tcW w:type="dxa" w:w="3312"/>
            <w:shd w:fill="DCE6F1"/>
            <w:tcMar>
              <w:top w:w="70" w:type="dxa"/>
              <w:start w:w="85" w:type="dxa"/>
              <w:bottom w:w="70" w:type="dxa"/>
              <w:end w:w="85" w:type="dxa"/>
            </w:tcMar>
          </w:tcPr>
          <w:p>
            <w:r>
              <w:rPr>
                <w:b/>
              </w:rPr>
              <w:t>Status in current files</w:t>
            </w:r>
          </w:p>
        </w:tc>
      </w:tr>
      <w:tr>
        <w:tc>
          <w:tcPr>
            <w:tcW w:type="dxa" w:w="3312"/>
            <w:tcMar>
              <w:top w:w="70" w:type="dxa"/>
              <w:start w:w="85" w:type="dxa"/>
              <w:bottom w:w="70" w:type="dxa"/>
              <w:end w:w="85" w:type="dxa"/>
            </w:tcMar>
          </w:tcPr>
          <w:p>
            <w:r>
              <w:t>Reference point</w:t>
            </w:r>
          </w:p>
        </w:tc>
        <w:tc>
          <w:tcPr>
            <w:tcW w:type="dxa" w:w="3312"/>
            <w:tcMar>
              <w:top w:w="70" w:type="dxa"/>
              <w:start w:w="85" w:type="dxa"/>
              <w:bottom w:w="70" w:type="dxa"/>
              <w:end w:w="85" w:type="dxa"/>
            </w:tcMar>
          </w:tcPr>
          <w:p>
            <w:r>
              <w:t>0.39</w:t>
            </w:r>
          </w:p>
        </w:tc>
        <w:tc>
          <w:tcPr>
            <w:tcW w:type="dxa" w:w="3312"/>
            <w:tcMar>
              <w:top w:w="70" w:type="dxa"/>
              <w:start w:w="85" w:type="dxa"/>
              <w:bottom w:w="70" w:type="dxa"/>
              <w:end w:w="85" w:type="dxa"/>
            </w:tcMar>
          </w:tcPr>
          <w:p>
            <w:r>
              <w:t>Directly hard-coded in event and simulation logic.</w:t>
            </w:r>
          </w:p>
        </w:tc>
      </w:tr>
      <w:tr>
        <w:tc>
          <w:tcPr>
            <w:tcW w:type="dxa" w:w="3312"/>
            <w:tcMar>
              <w:top w:w="70" w:type="dxa"/>
              <w:start w:w="85" w:type="dxa"/>
              <w:bottom w:w="70" w:type="dxa"/>
              <w:end w:w="85" w:type="dxa"/>
            </w:tcMar>
          </w:tcPr>
          <w:p>
            <w:r>
              <w:t>Convergence band</w:t>
            </w:r>
          </w:p>
        </w:tc>
        <w:tc>
          <w:tcPr>
            <w:tcW w:type="dxa" w:w="3312"/>
            <w:tcMar>
              <w:top w:w="70" w:type="dxa"/>
              <w:start w:w="85" w:type="dxa"/>
              <w:bottom w:w="70" w:type="dxa"/>
              <w:end w:w="85" w:type="dxa"/>
            </w:tcMar>
          </w:tcPr>
          <w:p>
            <w:r>
              <w:t>0.30 to 0.49</w:t>
            </w:r>
          </w:p>
        </w:tc>
        <w:tc>
          <w:tcPr>
            <w:tcW w:type="dxa" w:w="3312"/>
            <w:tcMar>
              <w:top w:w="70" w:type="dxa"/>
              <w:start w:w="85" w:type="dxa"/>
              <w:bottom w:w="70" w:type="dxa"/>
              <w:end w:w="85" w:type="dxa"/>
            </w:tcMar>
          </w:tcPr>
          <w:p>
            <w:r>
              <w:t>Directly hard-coded in event and simulation logic.</w:t>
            </w:r>
          </w:p>
        </w:tc>
      </w:tr>
      <w:tr>
        <w:tc>
          <w:tcPr>
            <w:tcW w:type="dxa" w:w="3312"/>
            <w:tcMar>
              <w:top w:w="70" w:type="dxa"/>
              <w:start w:w="85" w:type="dxa"/>
              <w:bottom w:w="70" w:type="dxa"/>
              <w:end w:w="85" w:type="dxa"/>
            </w:tcMar>
          </w:tcPr>
          <w:p>
            <w:r>
              <w:t>Grand mean</w:t>
            </w:r>
          </w:p>
        </w:tc>
        <w:tc>
          <w:tcPr>
            <w:tcW w:type="dxa" w:w="3312"/>
            <w:tcMar>
              <w:top w:w="70" w:type="dxa"/>
              <w:start w:w="85" w:type="dxa"/>
              <w:bottom w:w="70" w:type="dxa"/>
              <w:end w:w="85" w:type="dxa"/>
            </w:tcMar>
          </w:tcPr>
          <w:p>
            <w:r>
              <w:t>0.3910</w:t>
            </w:r>
          </w:p>
        </w:tc>
        <w:tc>
          <w:tcPr>
            <w:tcW w:type="dxa" w:w="3312"/>
            <w:tcMar>
              <w:top w:w="70" w:type="dxa"/>
              <w:start w:w="85" w:type="dxa"/>
              <w:bottom w:w="70" w:type="dxa"/>
              <w:end w:w="85" w:type="dxa"/>
            </w:tcMar>
          </w:tcPr>
          <w:p>
            <w:r>
              <w:t>Reported in briefing material.</w:t>
            </w:r>
          </w:p>
        </w:tc>
      </w:tr>
      <w:tr>
        <w:tc>
          <w:tcPr>
            <w:tcW w:type="dxa" w:w="3312"/>
            <w:tcMar>
              <w:top w:w="70" w:type="dxa"/>
              <w:start w:w="85" w:type="dxa"/>
              <w:bottom w:w="70" w:type="dxa"/>
              <w:end w:w="85" w:type="dxa"/>
            </w:tcMar>
          </w:tcPr>
          <w:p>
            <w:r>
              <w:t>Standard deviation</w:t>
            </w:r>
          </w:p>
        </w:tc>
        <w:tc>
          <w:tcPr>
            <w:tcW w:type="dxa" w:w="3312"/>
            <w:tcMar>
              <w:top w:w="70" w:type="dxa"/>
              <w:start w:w="85" w:type="dxa"/>
              <w:bottom w:w="70" w:type="dxa"/>
              <w:end w:w="85" w:type="dxa"/>
            </w:tcMar>
          </w:tcPr>
          <w:p>
            <w:r>
              <w:t>0.0198</w:t>
            </w:r>
          </w:p>
        </w:tc>
        <w:tc>
          <w:tcPr>
            <w:tcW w:type="dxa" w:w="3312"/>
            <w:tcMar>
              <w:top w:w="70" w:type="dxa"/>
              <w:start w:w="85" w:type="dxa"/>
              <w:bottom w:w="70" w:type="dxa"/>
              <w:end w:w="85" w:type="dxa"/>
            </w:tcMar>
          </w:tcPr>
          <w:p>
            <w:r>
              <w:t>Reported in briefing material.</w:t>
            </w:r>
          </w:p>
        </w:tc>
      </w:tr>
      <w:tr>
        <w:tc>
          <w:tcPr>
            <w:tcW w:type="dxa" w:w="3312"/>
            <w:tcMar>
              <w:top w:w="70" w:type="dxa"/>
              <w:start w:w="85" w:type="dxa"/>
              <w:bottom w:w="70" w:type="dxa"/>
              <w:end w:w="85" w:type="dxa"/>
            </w:tcMar>
          </w:tcPr>
          <w:p>
            <w:r>
              <w:t>epsilon</w:t>
            </w:r>
          </w:p>
        </w:tc>
        <w:tc>
          <w:tcPr>
            <w:tcW w:type="dxa" w:w="3312"/>
            <w:tcMar>
              <w:top w:w="70" w:type="dxa"/>
              <w:start w:w="85" w:type="dxa"/>
              <w:bottom w:w="70" w:type="dxa"/>
              <w:end w:w="85" w:type="dxa"/>
            </w:tcMar>
          </w:tcPr>
          <w:p>
            <w:r>
              <w:t>sqrt(2) - 1 = 0.414</w:t>
            </w:r>
          </w:p>
        </w:tc>
        <w:tc>
          <w:tcPr>
            <w:tcW w:type="dxa" w:w="3312"/>
            <w:tcMar>
              <w:top w:w="70" w:type="dxa"/>
              <w:start w:w="85" w:type="dxa"/>
              <w:bottom w:w="70" w:type="dxa"/>
              <w:end w:w="85" w:type="dxa"/>
            </w:tcMar>
          </w:tcPr>
          <w:p>
            <w:r>
              <w:t>Referenced in assessment materials, but proof not included in the uploaded files.</w:t>
            </w:r>
          </w:p>
        </w:tc>
      </w:tr>
    </w:tbl>
    <w:p>
      <w:pPr>
        <w:spacing w:after="80" w:before="0" w:line="240" w:lineRule="auto"/>
      </w:pPr>
      <w:r/>
    </w:p>
    <w:p>
      <w:pPr>
        <w:pStyle w:val="Heading1Custom"/>
        <w:spacing w:after="120" w:before="0" w:line="240" w:lineRule="auto"/>
      </w:pPr>
      <w:r>
        <w:t>5. What is extracted versus what remains unshown</w:t>
      </w:r>
    </w:p>
    <w:p>
      <w:pPr>
        <w:spacing w:after="40"/>
        <w:ind w:left="288"/>
      </w:pPr>
      <w:r>
        <w:t>Extracted and reproducible now: ratio computation, distance-from-reference computation, band classification, PCS average, and the game-level formulas above.</w:t>
      </w:r>
    </w:p>
    <w:p>
      <w:pPr>
        <w:spacing w:after="40"/>
        <w:ind w:left="288"/>
      </w:pPr>
      <w:r>
        <w:t>Documented but not proven in the current upload set: the geometric proof of epsilon, the full computational implementation of K(t), the beta-mean implementation referenced in narrative files, and any Hamiltonian or eigenvalue derivation.</w:t>
      </w:r>
    </w:p>
    <w:p>
      <w:pPr>
        <w:spacing w:after="40"/>
        <w:ind w:left="288"/>
      </w:pPr>
      <w:r>
        <w:t>For committee use, the strongest mathematically clean material is the event-ratio architecture plus the worked replications that can be checked directly from the uploaded code.</w:t>
      </w:r>
    </w:p>
    <w:p>
      <w:pPr>
        <w:spacing w:after="80" w:before="0" w:line="240" w:lineRule="auto"/>
      </w:pPr>
      <w:r/>
    </w:p>
    <w:tbl>
      <w:tblPr>
        <w:tblW w:type="auto" w:w="0"/>
        <w:jc w:val="center"/>
        <w:tblLook w:firstColumn="1" w:firstRow="1" w:lastColumn="0" w:lastRow="0" w:noHBand="0" w:noVBand="1" w:val="04A0"/>
      </w:tblPr>
      <w:tblGrid>
        <w:gridCol w:w="9936"/>
      </w:tblGrid>
      <w:tr>
        <w:tc>
          <w:tcPr>
            <w:tcW w:type="dxa" w:w="9936"/>
            <w:shd w:fill="F7F7F7"/>
            <w:tcMar>
              <w:top w:w="100" w:type="dxa"/>
              <w:start w:w="120" w:type="dxa"/>
              <w:bottom w:w="100" w:type="dxa"/>
              <w:end w:w="120" w:type="dxa"/>
            </w:tcMar>
          </w:tcPr>
          <w:p>
            <w:r>
              <w:rPr>
                <w:b/>
              </w:rPr>
              <w:t xml:space="preserve">Source note. </w:t>
            </w:r>
            <w:r>
              <w:t>This appendix was compiled from the uploaded master schema, framework note, SLCM method, assessment and pitch documents, and the uploaded simulation code. It intentionally separates directly reproducible mathematics from higher-level interpretive claims.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F2E3D"/>
      <w:sz w:val="40"/>
    </w:rPr>
  </w:style>
  <w:style w:type="paragraph" w:customStyle="1" w:styleId="Subtle">
    <w:name w:val="Subtle"/>
    <w:rPr>
      <w:rFonts w:ascii="Aptos" w:hAnsi="Aptos"/>
      <w:color w:val="606060"/>
      <w:sz w:val="18"/>
    </w:rPr>
  </w:style>
  <w:style w:type="paragraph" w:customStyle="1" w:styleId="Heading1Custom">
    <w:name w:val="Heading1Custom"/>
    <w:rPr>
      <w:rFonts w:ascii="Aptos Display" w:hAnsi="Aptos Display"/>
      <w:b/>
      <w:color w:val="243F5F"/>
      <w:sz w:val="26"/>
    </w:rPr>
  </w:style>
  <w:style w:type="paragraph" w:customStyle="1" w:styleId="Heading2Custom">
    <w:name w:val="Heading2Custom"/>
    <w:rPr>
      <w:rFonts w:ascii="Aptos" w:hAnsi="Aptos"/>
      <w:b/>
      <w:color w:val="3E3E3E"/>
      <w:sz w:val="22"/>
    </w:rPr>
  </w:style>
  <w:style w:type="paragraph" w:customStyle="1" w:styleId="EquationStyle">
    <w:name w:val="EquationStyl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