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2e"/>
          <w:sz w:val="36"/>
          <w:szCs w:val="36"/>
        </w:rPr>
        <w:t xml:space="preserve">PATENT FILING RECONCILIATION AUDIT</w:t>
      </w:r>
    </w:p>
    <w:p>
      <w:pPr>
        <w:spacing w:after="40"/>
        <w:jc w:val="center"/>
      </w:pPr>
      <w:r>
        <w:rPr>
          <w:rFonts w:ascii="Arial" w:cs="Arial" w:eastAsia="Arial" w:hAnsi="Arial"/>
          <w:b/>
          <w:bCs/>
          <w:color w:val="0f3460"/>
          <w:sz w:val="28"/>
          <w:szCs w:val="28"/>
        </w:rPr>
        <w:t xml:space="preserve">&amp; FULL SYSTEM INVENTORY</w:t>
      </w:r>
    </w:p>
    <w:p>
      <w:pPr>
        <w:spacing w:after="200"/>
        <w:jc w:val="center"/>
      </w:pPr>
      <w:r>
        <w:rPr>
          <w:rFonts w:ascii="Arial" w:cs="Arial" w:eastAsia="Arial" w:hAnsi="Arial"/>
          <w:color w:val="666666"/>
          <w:sz w:val="20"/>
          <w:szCs w:val="20"/>
        </w:rPr>
        <w:t xml:space="preserve">Heyer Livin LLC  |  Jair Valley  |  April 6, 2026</w:t>
      </w:r>
    </w:p>
    <w:p>
      <w:pPr>
        <w:pBdr>
          <w:bottom w:val="single" w:color="1a1a2e" w:sz="6" w:space="1"/>
        </w:pBdr>
        <w:spacing w:after="300"/>
      </w:pPr>
    </w:p>
    <w:p>
      <w:pPr>
        <w:pStyle w:val="Heading1"/>
        <w:spacing w:after="120" w:before="300"/>
      </w:pPr>
      <w:r>
        <w:rPr>
          <w:rFonts w:ascii="Arial" w:cs="Arial" w:eastAsia="Arial" w:hAnsi="Arial"/>
          <w:b/>
          <w:bCs/>
        </w:rPr>
        <w:t xml:space="preserve">1. CURRENT STATE</w:t>
      </w:r>
    </w:p>
    <w:p>
      <w:pPr>
        <w:spacing w:after="100"/>
      </w:pPr>
      <w:r>
        <w:rPr>
          <w:rFonts w:ascii="Arial" w:cs="Arial" w:eastAsia="Arial" w:hAnsi="Arial"/>
          <w:sz w:val="20"/>
          <w:szCs w:val="20"/>
        </w:rPr>
        <w:t xml:space="preserve">The patent application exists as a complete, filing-ready provisional under 35 U.S.C. § 111(b). Six PDF versions were produced on April 5, 2026. All six share identical title, inventor, assignee, invention center, claim structure, and abstract. The differences between versions are formatting only — not substantive.</w:t>
      </w:r>
    </w:p>
    <w:p>
      <w:pPr>
        <w:spacing w:after="100"/>
      </w:pPr>
      <w:r>
        <w:rPr>
          <w:rFonts w:ascii="Arial" w:cs="Arial" w:eastAsia="Arial" w:hAnsi="Arial"/>
          <w:sz w:val="20"/>
          <w:szCs w:val="20"/>
        </w:rPr>
        <w:t xml:space="preserve">No filing has been submitted. The USPTO Patent Center account exists via ID.me. The public GitHub repository (jayjonah827/8glyphs27) continues to generate prior art exposure. Priority date has not been established.</w:t>
      </w:r>
    </w:p>
    <w:p>
      <w:pPr>
        <w:spacing w:after="100"/>
      </w:pPr>
      <w:r>
        <w:rPr>
          <w:rFonts w:ascii="Arial" w:cs="Arial" w:eastAsia="Arial" w:hAnsi="Arial"/>
          <w:sz w:val="20"/>
          <w:szCs w:val="20"/>
        </w:rPr>
        <w:t xml:space="preserve">Materials are scattered across five local folders (~200+ files), 25+ Notion pages (many duplicated), and 2 Google Drive documents. The codebase in the 8glyphs27 repo contains working Python files but no clean package structure.</w:t>
      </w:r>
    </w:p>
    <w:p>
      <w:pPr>
        <w:pStyle w:val="Heading1"/>
        <w:spacing w:after="120" w:before="300"/>
      </w:pPr>
      <w:r>
        <w:rPr>
          <w:rFonts w:ascii="Arial" w:cs="Arial" w:eastAsia="Arial" w:hAnsi="Arial"/>
          <w:b/>
          <w:bCs/>
        </w:rPr>
        <w:t xml:space="preserve">2. PATENT PDF RECONCILIATION</w:t>
      </w:r>
    </w:p>
    <w:p>
      <w:pPr>
        <w:spacing w:after="100"/>
      </w:pPr>
      <w:r>
        <w:rPr>
          <w:rFonts w:ascii="Arial" w:cs="Arial" w:eastAsia="Arial" w:hAnsi="Arial"/>
          <w:sz w:val="20"/>
          <w:szCs w:val="20"/>
        </w:rPr>
        <w:t xml:space="preserve">All six uploaded PDFs were read page-by-page. The following table captures the differences.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900"/>
        <w:gridCol w:w="4340"/>
      </w:tblGrid>
      <w:tr>
        <w:tc>
          <w:tcPr>
            <w:tcW w:type="dxa" w:w="28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Document</w:t>
            </w:r>
          </w:p>
        </w:tc>
        <w:tc>
          <w:tcPr>
            <w:tcW w:type="dxa" w:w="9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Pages</w:t>
            </w:r>
          </w:p>
        </w:tc>
        <w:tc>
          <w:tcPr>
            <w:tcW w:type="dxa" w:w="9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Claims</w:t>
            </w:r>
          </w:p>
        </w:tc>
        <w:tc>
          <w:tcPr>
            <w:tcW w:type="dxa" w:w="9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Figs?</w:t>
            </w:r>
          </w:p>
        </w:tc>
        <w:tc>
          <w:tcPr>
            <w:tcW w:type="dxa" w:w="434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FILING_READY</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YES (12)</w:t>
            </w:r>
          </w:p>
        </w:tc>
        <w:tc>
          <w:tcPr>
            <w:tcW w:type="dxa" w:w="4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6600"/>
                <w:sz w:val="18"/>
                <w:szCs w:val="18"/>
              </w:rPr>
              <w:t xml:space="preserve">Cover + full spec + Section 9A (3 para) + claims + abstract + all 12 figures. FILING CANDIDATE.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_cleaned</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w:t>
            </w:r>
          </w:p>
        </w:tc>
        <w:tc>
          <w:tcPr>
            <w:tcW w:type="dxa" w:w="4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Text-only. Proper indentation. FIG. 5 description uses expanded partition-rule language. No figures embedded.</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_corrected</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w:t>
            </w:r>
          </w:p>
        </w:tc>
        <w:tc>
          <w:tcPr>
            <w:tcW w:type="dxa" w:w="4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Bold claim numbers. Identical claims to FILING_READY. Text only.</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_corrected_v2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w:t>
            </w:r>
          </w:p>
        </w:tc>
        <w:tc>
          <w:tcPr>
            <w:tcW w:type="dxa" w:w="4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Section 9A condensed to 1 paragraph. FIG. 5 uses ‘reproducibility metadata’ phrasing. Text only.</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_filing_text_corrected</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w:t>
            </w:r>
          </w:p>
        </w:tc>
        <w:tc>
          <w:tcPr>
            <w:tcW w:type="dxa" w:w="4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CC0000"/>
                <w:sz w:val="18"/>
                <w:szCs w:val="18"/>
              </w:rPr>
              <w:t xml:space="preserve">Blue styled headings. Brief Description has FIG. 5 placed between FIG. 3 and FIG. 4 (ordering error). Detailed description cuts off at Section 2.</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patent_figures_corrected</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N/A</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YES (12)</w:t>
            </w:r>
          </w:p>
        </w:tc>
        <w:tc>
          <w:tcPr>
            <w:tcW w:type="dxa" w:w="4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Figures only. All 12 FIGs present. Clean patent-style block diagrams.</w:t>
            </w:r>
          </w:p>
        </w:tc>
      </w:tr>
    </w:tbl>
    <w:p>
      <w:pPr>
        <w:spacing w:after="100"/>
      </w:pPr>
      <w:r>
        <w:rPr>
          <w:rFonts w:ascii="Arial" w:cs="Arial" w:eastAsia="Arial" w:hAnsi="Arial"/>
          <w:sz w:val="20"/>
          <w:szCs w:val="20"/>
        </w:rPr>
        <w:t xml:space="preserve"/>
      </w:r>
    </w:p>
    <w:p>
      <w:pPr>
        <w:pStyle w:val="Heading2"/>
        <w:spacing w:after="120" w:before="300"/>
      </w:pPr>
      <w:r>
        <w:rPr>
          <w:rFonts w:ascii="Arial" w:cs="Arial" w:eastAsia="Arial" w:hAnsi="Arial"/>
          <w:b/>
          <w:bCs/>
        </w:rPr>
        <w:t xml:space="preserve">Reconciliation Verdict</w:t>
      </w:r>
    </w:p>
    <w:p>
      <w:pPr>
        <w:spacing w:after="80"/>
      </w:pPr>
      <w:r>
        <w:rPr>
          <w:rFonts w:ascii="Arial" w:cs="Arial" w:eastAsia="Arial" w:hAnsi="Arial"/>
          <w:b/>
          <w:bCs/>
          <w:sz w:val="20"/>
          <w:szCs w:val="20"/>
        </w:rPr>
        <w:t xml:space="preserve">Filing document: </w:t>
      </w:r>
      <w:r>
        <w:rPr>
          <w:rFonts w:ascii="Arial" w:cs="Arial" w:eastAsia="Arial" w:hAnsi="Arial"/>
          <w:sz w:val="20"/>
          <w:szCs w:val="20"/>
        </w:rPr>
        <w:t xml:space="preserve">FINAL_PATENT_FILING_READY_2026-04-05.pdf</w:t>
      </w:r>
    </w:p>
    <w:p>
      <w:pPr>
        <w:spacing w:after="100"/>
      </w:pPr>
      <w:r>
        <w:rPr>
          <w:rFonts w:ascii="Arial" w:cs="Arial" w:eastAsia="Arial" w:hAnsi="Arial"/>
          <w:sz w:val="20"/>
          <w:szCs w:val="20"/>
        </w:rPr>
        <w:t xml:space="preserve">This is the only document that contains cover page + full specification (including complete Section 9A) + all 20 claims + abstract + all 12 figures in a single file. It is the filing candidate.</w:t>
      </w:r>
    </w:p>
    <w:p>
      <w:pPr>
        <w:spacing w:after="80"/>
      </w:pPr>
      <w:r>
        <w:rPr>
          <w:rFonts w:ascii="Arial" w:cs="Arial" w:eastAsia="Arial" w:hAnsi="Arial"/>
          <w:b/>
          <w:bCs/>
          <w:sz w:val="20"/>
          <w:szCs w:val="20"/>
        </w:rPr>
        <w:t xml:space="preserve">Backup option: </w:t>
      </w:r>
      <w:r>
        <w:rPr>
          <w:rFonts w:ascii="Arial" w:cs="Arial" w:eastAsia="Arial" w:hAnsi="Arial"/>
          <w:sz w:val="20"/>
          <w:szCs w:val="20"/>
        </w:rPr>
        <w:t xml:space="preserve">_cleaned.pdf (text) + patent_figures_corrected.pdf (figures) uploaded as two separate documents to USPTO Patent Center.</w:t>
      </w:r>
    </w:p>
    <w:p>
      <w:pPr>
        <w:spacing w:after="100"/>
      </w:pPr>
      <w:r>
        <w:rPr>
          <w:rFonts w:ascii="Arial" w:cs="Arial" w:eastAsia="Arial" w:hAnsi="Arial"/>
          <w:sz w:val="20"/>
          <w:szCs w:val="20"/>
        </w:rPr>
        <w:t xml:space="preserve"/>
      </w:r>
    </w:p>
    <w:p>
      <w:pPr>
        <w:pStyle w:val="Heading2"/>
        <w:spacing w:after="120" w:before="300"/>
      </w:pPr>
      <w:r>
        <w:rPr>
          <w:rFonts w:ascii="Arial" w:cs="Arial" w:eastAsia="Arial" w:hAnsi="Arial"/>
          <w:b/>
          <w:bCs/>
        </w:rPr>
        <w:t xml:space="preserve">Inconsistencies Found Across Versions</w:t>
      </w:r>
    </w:p>
    <w:p>
      <w:pPr>
        <w:spacing w:after="80"/>
      </w:pPr>
      <w:r>
        <w:rPr>
          <w:rFonts w:ascii="Arial" w:cs="Arial" w:eastAsia="Arial" w:hAnsi="Arial"/>
          <w:b/>
          <w:bCs/>
          <w:sz w:val="20"/>
          <w:szCs w:val="20"/>
        </w:rPr>
        <w:t xml:space="preserve">1. FIG. 5 description wording: </w:t>
      </w:r>
      <w:r>
        <w:rPr>
          <w:rFonts w:ascii="Arial" w:cs="Arial" w:eastAsia="Arial" w:hAnsi="Arial"/>
          <w:sz w:val="20"/>
          <w:szCs w:val="20"/>
        </w:rPr>
        <w:t xml:space="preserve">Three slightly different phrasings exist. FILING_READY uses ‘null-model metadata, and expected-output metadata.’ The _cleaned version uses ‘first-partition rule, second-partition rule, normalization rule, protocol version, and associated metadata sufficient to preserve replayable computation.’ The _corrected_v2 uses ‘reproducibility metadata.’ None are contradictory. FILING_READY version is adequate for provisional.</w:t>
      </w:r>
    </w:p>
    <w:p>
      <w:pPr>
        <w:spacing w:after="80"/>
      </w:pPr>
      <w:r>
        <w:rPr>
          <w:rFonts w:ascii="Arial" w:cs="Arial" w:eastAsia="Arial" w:hAnsi="Arial"/>
          <w:b/>
          <w:bCs/>
          <w:sz w:val="20"/>
          <w:szCs w:val="20"/>
        </w:rPr>
        <w:t xml:space="preserve">2. Section 9A length: </w:t>
      </w:r>
      <w:r>
        <w:rPr>
          <w:rFonts w:ascii="Arial" w:cs="Arial" w:eastAsia="Arial" w:hAnsi="Arial"/>
          <w:sz w:val="20"/>
          <w:szCs w:val="20"/>
        </w:rPr>
        <w:t xml:space="preserve">FILING_READY has 3 full paragraphs covering persistent context, event-based memory, and implementation instantiation. _corrected_v2 condenses this to 1 paragraph. FILING_READY version is superior — broader disclosure protects more scope.</w:t>
      </w:r>
    </w:p>
    <w:p>
      <w:pPr>
        <w:spacing w:after="80"/>
      </w:pPr>
      <w:r>
        <w:rPr>
          <w:rFonts w:ascii="Arial" w:cs="Arial" w:eastAsia="Arial" w:hAnsi="Arial"/>
          <w:b/>
          <w:bCs/>
          <w:sz w:val="20"/>
          <w:szCs w:val="20"/>
        </w:rPr>
        <w:t xml:space="preserve">3. _filing_text_corrected figure ordering: </w:t>
      </w:r>
      <w:r>
        <w:rPr>
          <w:rFonts w:ascii="Arial" w:cs="Arial" w:eastAsia="Arial" w:hAnsi="Arial"/>
          <w:sz w:val="20"/>
          <w:szCs w:val="20"/>
        </w:rPr>
        <w:t xml:space="preserve">FIG. 5 appears between FIG. 3 and FIG. 4 in the Brief Description. This is a formatting error. This version also truncates the detailed description at Section 2. Do not use this version.</w:t>
      </w:r>
    </w:p>
    <w:p>
      <w:pPr>
        <w:spacing w:after="80"/>
      </w:pPr>
      <w:r>
        <w:rPr>
          <w:rFonts w:ascii="Arial" w:cs="Arial" w:eastAsia="Arial" w:hAnsi="Arial"/>
          <w:b/>
          <w:bCs/>
          <w:sz w:val="20"/>
          <w:szCs w:val="20"/>
        </w:rPr>
        <w:t xml:space="preserve">4. Summary step count: </w:t>
      </w:r>
      <w:r>
        <w:rPr>
          <w:rFonts w:ascii="Arial" w:cs="Arial" w:eastAsia="Arial" w:hAnsi="Arial"/>
          <w:sz w:val="20"/>
          <w:szCs w:val="20"/>
        </w:rPr>
        <w:t xml:space="preserve">Summary lists steps (a)-(j) including optional validation. Claim 1 lists (a)-(i) without optional validation (which appears in dependent Claim 7). This is correct patent practice — not an inconsistency.</w:t>
      </w:r>
    </w:p>
    <w:p>
      <w:pPr>
        <w:spacing w:after="80"/>
      </w:pPr>
      <w:r>
        <w:rPr>
          <w:rFonts w:ascii="Arial" w:cs="Arial" w:eastAsia="Arial" w:hAnsi="Arial"/>
          <w:b/>
          <w:bCs/>
          <w:sz w:val="20"/>
          <w:szCs w:val="20"/>
        </w:rPr>
        <w:t xml:space="preserve">5. Threshold language: </w:t>
      </w:r>
      <w:r>
        <w:rPr>
          <w:rFonts w:ascii="Arial" w:cs="Arial" w:eastAsia="Arial" w:hAnsi="Arial"/>
          <w:sz w:val="20"/>
          <w:szCs w:val="20"/>
        </w:rPr>
        <w:t xml:space="preserve">Consistent across all versions. Lower threshold ‘approximately 0.30,’ upper threshold ‘approximately 0.50.’ No drift to 0.49. No mixed usage. Clean.</w:t>
      </w:r>
    </w:p>
    <w:p>
      <w:r>
        <w:br w:type="page"/>
      </w:r>
    </w:p>
    <w:p>
      <w:pPr>
        <w:pStyle w:val="Heading1"/>
        <w:spacing w:after="120" w:before="300"/>
      </w:pPr>
      <w:r>
        <w:rPr>
          <w:rFonts w:ascii="Arial" w:cs="Arial" w:eastAsia="Arial" w:hAnsi="Arial"/>
          <w:b/>
          <w:bCs/>
        </w:rPr>
        <w:t xml:space="preserve">3. CLAIM STRUCTURE AUDIT</w:t>
      </w:r>
    </w:p>
    <w:p>
      <w:pPr>
        <w:spacing w:after="100"/>
      </w:pPr>
      <w:r>
        <w:rPr>
          <w:rFonts w:ascii="Arial" w:cs="Arial" w:eastAsia="Arial" w:hAnsi="Arial"/>
          <w:sz w:val="20"/>
          <w:szCs w:val="20"/>
        </w:rPr>
        <w:t xml:space="preserve">20 claims total. Dependency tree is legally coherent.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200"/>
        <w:gridCol w:w="3840"/>
      </w:tblGrid>
      <w:tr>
        <w:tc>
          <w:tcPr>
            <w:tcW w:type="dxa" w:w="12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Claims</w:t>
            </w:r>
          </w:p>
        </w:tc>
        <w:tc>
          <w:tcPr>
            <w:tcW w:type="dxa" w:w="26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2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Depends On</w:t>
            </w:r>
          </w:p>
        </w:tc>
        <w:tc>
          <w:tcPr>
            <w:tcW w:type="dxa" w:w="384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Covers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1</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Method (independent)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38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Full pipeline: receive → map → partition → ratio → compare → classify → generate record → validate schema → store/output</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2-10</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Method (dependent)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Claim 1</w:t>
            </w:r>
          </w:p>
        </w:tc>
        <w:tc>
          <w:tcPr>
            <w:tcW w:type="dxa" w:w="38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Domain types (2), MECE verification (3), ratio form (4), specific formula (5), convergence band (6), reference-model validation (7), event-record fields (8), schema validation (9), content-addressable storage (10)</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11</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System (independent)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38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Mirrors Claim 1 as system: processors + non-transitory CRM + instructions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12-16</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System (dependent)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Claim 11</w:t>
            </w:r>
          </w:p>
        </w:tc>
        <w:tc>
          <w:tcPr>
            <w:tcW w:type="dxa" w:w="38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MECE verification (12), reference-model validation (13), CAS storage (14), reproducibility versioning (15), persistent context / event retrieval (16)</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17</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Method (dependent)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Claim 1</w:t>
            </w:r>
          </w:p>
        </w:tc>
        <w:tc>
          <w:tcPr>
            <w:tcW w:type="dxa" w:w="38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Deterministic execution: same input + same rules = bit-identical event record</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18</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CRM (independent)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38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Non-transitory computer-readable medium storing instructions for Claim 1 method</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19</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Method (dependent)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Claim 1</w:t>
            </w:r>
          </w:p>
        </w:tc>
        <w:tc>
          <w:tcPr>
            <w:tcW w:type="dxa" w:w="38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Output interface: ratio + zone + mapping version + threshold version emitted to interface conforming to stored schema</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Method (dependent)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Claim 1</w:t>
            </w:r>
          </w:p>
        </w:tc>
        <w:tc>
          <w:tcPr>
            <w:tcW w:type="dxa" w:w="38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Schema specification: stored schema requires convergence-band lower/upper limits as recorded metrics</w:t>
            </w:r>
          </w:p>
        </w:tc>
      </w:tr>
    </w:tbl>
    <w:p>
      <w:pPr>
        <w:spacing w:after="100"/>
      </w:pPr>
      <w:r>
        <w:rPr>
          <w:rFonts w:ascii="Arial" w:cs="Arial" w:eastAsia="Arial" w:hAnsi="Arial"/>
          <w:sz w:val="20"/>
          <w:szCs w:val="20"/>
        </w:rPr>
        <w:t xml:space="preserve"/>
      </w:r>
    </w:p>
    <w:p>
      <w:pPr>
        <w:spacing w:after="100"/>
      </w:pPr>
      <w:r>
        <w:rPr>
          <w:rFonts w:ascii="Arial" w:cs="Arial" w:eastAsia="Arial" w:hAnsi="Arial"/>
          <w:sz w:val="20"/>
          <w:szCs w:val="20"/>
        </w:rPr>
        <w:t xml:space="preserve">No broken dependencies. No line-number/claim-number confusion. Three independent claims (1, 11, 18) covering method, system, and CRM respectively. This is standard provisional practice.</w:t>
      </w:r>
    </w:p>
    <w:p>
      <w:pPr>
        <w:pStyle w:val="Heading1"/>
        <w:spacing w:after="120" w:before="300"/>
      </w:pPr>
      <w:r>
        <w:rPr>
          <w:rFonts w:ascii="Arial" w:cs="Arial" w:eastAsia="Arial" w:hAnsi="Arial"/>
          <w:b/>
          <w:bCs/>
        </w:rPr>
        <w:t xml:space="preserve">4. FIGURE-TO-SPEC CONSISTENCY</w:t>
      </w:r>
    </w:p>
    <w:p>
      <w:pPr>
        <w:spacing w:after="100"/>
      </w:pPr>
      <w:r>
        <w:rPr>
          <w:rFonts w:ascii="Arial" w:cs="Arial" w:eastAsia="Arial" w:hAnsi="Arial"/>
          <w:sz w:val="20"/>
          <w:szCs w:val="20"/>
        </w:rPr>
        <w:t xml:space="preserve">All 12 figures are present in the FILING_READY PDF and in the separate patent_figures_corrected PDF. The Brief Description of the Drawings lists FIG. 1 through FIG. 12 in correct sequential order. Each figure is referenced in the Detailed Description at the appropriate section.</w:t>
      </w:r>
    </w:p>
    <w:p>
      <w:pPr>
        <w:spacing w:after="80"/>
      </w:pPr>
      <w:r>
        <w:rPr>
          <w:rFonts w:ascii="Arial" w:cs="Arial" w:eastAsia="Arial" w:hAnsi="Arial"/>
          <w:b/>
          <w:bCs/>
          <w:sz w:val="20"/>
          <w:szCs w:val="20"/>
        </w:rPr>
        <w:t xml:space="preserve">FIG. 1: </w:t>
      </w:r>
      <w:r>
        <w:rPr>
          <w:rFonts w:ascii="Arial" w:cs="Arial" w:eastAsia="Arial" w:hAnsi="Arial"/>
          <w:sz w:val="20"/>
          <w:szCs w:val="20"/>
        </w:rPr>
        <w:t xml:space="preserve">System architecture (Section 1). Referenced correctly. Module numbers 102-120 visible in figure.</w:t>
      </w:r>
    </w:p>
    <w:p>
      <w:pPr>
        <w:spacing w:after="80"/>
      </w:pPr>
      <w:r>
        <w:rPr>
          <w:rFonts w:ascii="Arial" w:cs="Arial" w:eastAsia="Arial" w:hAnsi="Arial"/>
          <w:b/>
          <w:bCs/>
          <w:sz w:val="20"/>
          <w:szCs w:val="20"/>
        </w:rPr>
        <w:t xml:space="preserve">FIG. 2: </w:t>
      </w:r>
      <w:r>
        <w:rPr>
          <w:rFonts w:ascii="Arial" w:cs="Arial" w:eastAsia="Arial" w:hAnsi="Arial"/>
          <w:sz w:val="20"/>
          <w:szCs w:val="20"/>
        </w:rPr>
        <w:t xml:space="preserve">Partition construction (Section 4). Step numbers 202-214 visible. Mapping protocol sidebar with 502-514.</w:t>
      </w:r>
    </w:p>
    <w:p>
      <w:pPr>
        <w:spacing w:after="80"/>
      </w:pPr>
      <w:r>
        <w:rPr>
          <w:rFonts w:ascii="Arial" w:cs="Arial" w:eastAsia="Arial" w:hAnsi="Arial"/>
          <w:b/>
          <w:bCs/>
          <w:sz w:val="20"/>
          <w:szCs w:val="20"/>
        </w:rPr>
        <w:t xml:space="preserve">FIG. 3: </w:t>
      </w:r>
      <w:r>
        <w:rPr>
          <w:rFonts w:ascii="Arial" w:cs="Arial" w:eastAsia="Arial" w:hAnsi="Arial"/>
          <w:sz w:val="20"/>
          <w:szCs w:val="20"/>
        </w:rPr>
        <w:t xml:space="preserve">Ratio computation + classification (Section 5-7). Referenced in zone classification text.</w:t>
      </w:r>
    </w:p>
    <w:p>
      <w:pPr>
        <w:spacing w:after="80"/>
      </w:pPr>
      <w:r>
        <w:rPr>
          <w:rFonts w:ascii="Arial" w:cs="Arial" w:eastAsia="Arial" w:hAnsi="Arial"/>
          <w:b/>
          <w:bCs/>
          <w:sz w:val="20"/>
          <w:szCs w:val="20"/>
        </w:rPr>
        <w:t xml:space="preserve">FIG. 4: </w:t>
      </w:r>
      <w:r>
        <w:rPr>
          <w:rFonts w:ascii="Arial" w:cs="Arial" w:eastAsia="Arial" w:hAnsi="Arial"/>
          <w:sz w:val="20"/>
          <w:szCs w:val="20"/>
        </w:rPr>
        <w:t xml:space="preserve">Three-zone framework (Section 7). SUBORDINATED / STRUCTURAL / DOMINANT.</w:t>
      </w:r>
    </w:p>
    <w:p>
      <w:pPr>
        <w:spacing w:after="80"/>
      </w:pPr>
      <w:r>
        <w:rPr>
          <w:rFonts w:ascii="Arial" w:cs="Arial" w:eastAsia="Arial" w:hAnsi="Arial"/>
          <w:b/>
          <w:bCs/>
          <w:sz w:val="20"/>
          <w:szCs w:val="20"/>
        </w:rPr>
        <w:t xml:space="preserve">FIG. 5: </w:t>
      </w:r>
      <w:r>
        <w:rPr>
          <w:rFonts w:ascii="Arial" w:cs="Arial" w:eastAsia="Arial" w:hAnsi="Arial"/>
          <w:sz w:val="20"/>
          <w:szCs w:val="20"/>
        </w:rPr>
        <w:t xml:space="preserve">Domain-mapping protocol (Section 3). Mapping protocol fields listed.</w:t>
      </w:r>
    </w:p>
    <w:p>
      <w:pPr>
        <w:spacing w:after="80"/>
      </w:pPr>
      <w:r>
        <w:rPr>
          <w:rFonts w:ascii="Arial" w:cs="Arial" w:eastAsia="Arial" w:hAnsi="Arial"/>
          <w:b/>
          <w:bCs/>
          <w:sz w:val="20"/>
          <w:szCs w:val="20"/>
        </w:rPr>
        <w:t xml:space="preserve">FIG. 6: </w:t>
      </w:r>
      <w:r>
        <w:rPr>
          <w:rFonts w:ascii="Arial" w:cs="Arial" w:eastAsia="Arial" w:hAnsi="Arial"/>
          <w:sz w:val="20"/>
          <w:szCs w:val="20"/>
        </w:rPr>
        <w:t xml:space="preserve">Event-record generation (Section 9). Record fields listed.</w:t>
      </w:r>
    </w:p>
    <w:p>
      <w:pPr>
        <w:spacing w:after="80"/>
      </w:pPr>
      <w:r>
        <w:rPr>
          <w:rFonts w:ascii="Arial" w:cs="Arial" w:eastAsia="Arial" w:hAnsi="Arial"/>
          <w:b/>
          <w:bCs/>
          <w:sz w:val="20"/>
          <w:szCs w:val="20"/>
        </w:rPr>
        <w:t xml:space="preserve">FIG. 7: </w:t>
      </w:r>
      <w:r>
        <w:rPr>
          <w:rFonts w:ascii="Arial" w:cs="Arial" w:eastAsia="Arial" w:hAnsi="Arial"/>
          <w:sz w:val="20"/>
          <w:szCs w:val="20"/>
        </w:rPr>
        <w:t xml:space="preserve">Schema-constrained record layout (Section 10). Required fields + schema validation.</w:t>
      </w:r>
    </w:p>
    <w:p>
      <w:pPr>
        <w:spacing w:after="80"/>
      </w:pPr>
      <w:r>
        <w:rPr>
          <w:rFonts w:ascii="Arial" w:cs="Arial" w:eastAsia="Arial" w:hAnsi="Arial"/>
          <w:b/>
          <w:bCs/>
          <w:sz w:val="20"/>
          <w:szCs w:val="20"/>
        </w:rPr>
        <w:t xml:space="preserve">FIG. 8: </w:t>
      </w:r>
      <w:r>
        <w:rPr>
          <w:rFonts w:ascii="Arial" w:cs="Arial" w:eastAsia="Arial" w:hAnsi="Arial"/>
          <w:sz w:val="20"/>
          <w:szCs w:val="20"/>
        </w:rPr>
        <w:t xml:space="preserve">Reference-model validation (Section 8). Selection → comparison → divergence → output.</w:t>
      </w:r>
    </w:p>
    <w:p>
      <w:pPr>
        <w:spacing w:after="80"/>
      </w:pPr>
      <w:r>
        <w:rPr>
          <w:rFonts w:ascii="Arial" w:cs="Arial" w:eastAsia="Arial" w:hAnsi="Arial"/>
          <w:b/>
          <w:bCs/>
          <w:sz w:val="20"/>
          <w:szCs w:val="20"/>
        </w:rPr>
        <w:t xml:space="preserve">FIG. 9: </w:t>
      </w:r>
      <w:r>
        <w:rPr>
          <w:rFonts w:ascii="Arial" w:cs="Arial" w:eastAsia="Arial" w:hAnsi="Arial"/>
          <w:sz w:val="20"/>
          <w:szCs w:val="20"/>
        </w:rPr>
        <w:t xml:space="preserve">Cross-dataset comparison workflow (Section 9). Multiple event records → shared comparison.</w:t>
      </w:r>
    </w:p>
    <w:p>
      <w:pPr>
        <w:spacing w:after="80"/>
      </w:pPr>
      <w:r>
        <w:rPr>
          <w:rFonts w:ascii="Arial" w:cs="Arial" w:eastAsia="Arial" w:hAnsi="Arial"/>
          <w:b/>
          <w:bCs/>
          <w:sz w:val="20"/>
          <w:szCs w:val="20"/>
        </w:rPr>
        <w:t xml:space="preserve">FIG. 10: </w:t>
      </w:r>
      <w:r>
        <w:rPr>
          <w:rFonts w:ascii="Arial" w:cs="Arial" w:eastAsia="Arial" w:hAnsi="Arial"/>
          <w:sz w:val="20"/>
          <w:szCs w:val="20"/>
        </w:rPr>
        <w:t xml:space="preserve">Output interface (Section 11). Source identity + protocol + ratio + zone + validation.</w:t>
      </w:r>
    </w:p>
    <w:p>
      <w:pPr>
        <w:spacing w:after="80"/>
      </w:pPr>
      <w:r>
        <w:rPr>
          <w:rFonts w:ascii="Arial" w:cs="Arial" w:eastAsia="Arial" w:hAnsi="Arial"/>
          <w:b/>
          <w:bCs/>
          <w:sz w:val="20"/>
          <w:szCs w:val="20"/>
        </w:rPr>
        <w:t xml:space="preserve">FIG. 11: </w:t>
      </w:r>
      <w:r>
        <w:rPr>
          <w:rFonts w:ascii="Arial" w:cs="Arial" w:eastAsia="Arial" w:hAnsi="Arial"/>
          <w:sz w:val="20"/>
          <w:szCs w:val="20"/>
        </w:rPr>
        <w:t xml:space="preserve">Input families (Section 2). Event-cycle, concentration-distribution, rate-or-participation.</w:t>
      </w:r>
    </w:p>
    <w:p>
      <w:pPr>
        <w:spacing w:after="80"/>
      </w:pPr>
      <w:r>
        <w:rPr>
          <w:rFonts w:ascii="Arial" w:cs="Arial" w:eastAsia="Arial" w:hAnsi="Arial"/>
          <w:b/>
          <w:bCs/>
          <w:sz w:val="20"/>
          <w:szCs w:val="20"/>
        </w:rPr>
        <w:t xml:space="preserve">FIG. 12: </w:t>
      </w:r>
      <w:r>
        <w:rPr>
          <w:rFonts w:ascii="Arial" w:cs="Arial" w:eastAsia="Arial" w:hAnsi="Arial"/>
          <w:sz w:val="20"/>
          <w:szCs w:val="20"/>
        </w:rPr>
        <w:t xml:space="preserve">Reproducibility framework (Section 12). Versioning of protocols, thresholds, records, models.</w:t>
      </w:r>
    </w:p>
    <w:p>
      <w:pPr>
        <w:spacing w:after="100"/>
      </w:pPr>
      <w:r>
        <w:rPr>
          <w:rFonts w:ascii="Arial" w:cs="Arial" w:eastAsia="Arial" w:hAnsi="Arial"/>
          <w:sz w:val="20"/>
          <w:szCs w:val="20"/>
        </w:rPr>
        <w:t xml:space="preserve">No orphaned figures. No missing figure references. Terminology is aligned between figure descriptions and spec text.</w:t>
      </w:r>
    </w:p>
    <w:p>
      <w:r>
        <w:br w:type="page"/>
      </w:r>
    </w:p>
    <w:p>
      <w:pPr>
        <w:pStyle w:val="Heading1"/>
        <w:spacing w:after="120" w:before="300"/>
      </w:pPr>
      <w:r>
        <w:rPr>
          <w:rFonts w:ascii="Arial" w:cs="Arial" w:eastAsia="Arial" w:hAnsi="Arial"/>
          <w:b/>
          <w:bCs/>
        </w:rPr>
        <w:t xml:space="preserve">5. FORMULA SCOPE CONTROL</w:t>
      </w:r>
    </w:p>
    <w:p>
      <w:pPr>
        <w:spacing w:after="100"/>
      </w:pPr>
      <w:r>
        <w:rPr>
          <w:rFonts w:ascii="Arial" w:cs="Arial" w:eastAsia="Arial" w:hAnsi="Arial"/>
          <w:sz w:val="20"/>
          <w:szCs w:val="20"/>
        </w:rPr>
        <w:t xml:space="preserve">The filing-facing packet uses exactly one formula embodiment: R = x / (x + y^2). This appears in Section 5 of the Detailed Description and in Claim 5. The specification correctly frames this as ‘in one embodiment’ and states the essential element is that the ratio is dimensionless, bounded, and computed from declared complementary partitions.</w:t>
      </w:r>
    </w:p>
    <w:p>
      <w:pPr>
        <w:spacing w:after="80"/>
      </w:pPr>
      <w:r>
        <w:rPr>
          <w:rFonts w:ascii="Arial" w:cs="Arial" w:eastAsia="Arial" w:hAnsi="Arial"/>
          <w:b/>
          <w:bCs/>
          <w:sz w:val="20"/>
          <w:szCs w:val="20"/>
        </w:rPr>
        <w:t xml:space="preserve">K(t) formula: </w:t>
      </w:r>
      <w:r>
        <w:rPr>
          <w:rFonts w:ascii="Arial" w:cs="Arial" w:eastAsia="Arial" w:hAnsi="Arial"/>
          <w:sz w:val="20"/>
          <w:szCs w:val="20"/>
        </w:rPr>
        <w:t xml:space="preserve">Not present in any of the 6 filing PDFs. Clean.</w:t>
      </w:r>
    </w:p>
    <w:p>
      <w:pPr>
        <w:spacing w:after="80"/>
      </w:pPr>
      <w:r>
        <w:rPr>
          <w:rFonts w:ascii="Arial" w:cs="Arial" w:eastAsia="Arial" w:hAnsi="Arial"/>
          <w:b/>
          <w:bCs/>
          <w:sz w:val="20"/>
          <w:szCs w:val="20"/>
        </w:rPr>
        <w:t xml:space="preserve">3E / epsilon / dual-operation: </w:t>
      </w:r>
      <w:r>
        <w:rPr>
          <w:rFonts w:ascii="Arial" w:cs="Arial" w:eastAsia="Arial" w:hAnsi="Arial"/>
          <w:sz w:val="20"/>
          <w:szCs w:val="20"/>
        </w:rPr>
        <w:t xml:space="preserve">Not present. Clean.</w:t>
      </w:r>
    </w:p>
    <w:p>
      <w:pPr>
        <w:spacing w:after="80"/>
      </w:pPr>
      <w:r>
        <w:rPr>
          <w:rFonts w:ascii="Arial" w:cs="Arial" w:eastAsia="Arial" w:hAnsi="Arial"/>
          <w:b/>
          <w:bCs/>
          <w:sz w:val="20"/>
          <w:szCs w:val="20"/>
        </w:rPr>
        <w:t xml:space="preserve">Quantum extensions (Glyph-Q): </w:t>
      </w:r>
      <w:r>
        <w:rPr>
          <w:rFonts w:ascii="Arial" w:cs="Arial" w:eastAsia="Arial" w:hAnsi="Arial"/>
          <w:sz w:val="20"/>
          <w:szCs w:val="20"/>
        </w:rPr>
        <w:t xml:space="preserve">Not present. Clean.</w:t>
      </w:r>
    </w:p>
    <w:p>
      <w:pPr>
        <w:spacing w:after="80"/>
      </w:pPr>
      <w:r>
        <w:rPr>
          <w:rFonts w:ascii="Arial" w:cs="Arial" w:eastAsia="Arial" w:hAnsi="Arial"/>
          <w:b/>
          <w:bCs/>
          <w:sz w:val="20"/>
          <w:szCs w:val="20"/>
        </w:rPr>
        <w:t xml:space="preserve">0.39 attractor / convergence proof: </w:t>
      </w:r>
      <w:r>
        <w:rPr>
          <w:rFonts w:ascii="Arial" w:cs="Arial" w:eastAsia="Arial" w:hAnsi="Arial"/>
          <w:sz w:val="20"/>
          <w:szCs w:val="20"/>
        </w:rPr>
        <w:t xml:space="preserve">Not present. Clean.</w:t>
      </w:r>
    </w:p>
    <w:p>
      <w:pPr>
        <w:spacing w:after="100"/>
      </w:pPr>
      <w:r>
        <w:rPr>
          <w:rFonts w:ascii="Arial" w:cs="Arial" w:eastAsia="Arial" w:hAnsi="Arial"/>
          <w:sz w:val="20"/>
          <w:szCs w:val="20"/>
        </w:rPr>
        <w:t xml:space="preserve">The filing packet is scoped to operational method-and-system only. No theoretical leakage.</w:t>
      </w:r>
    </w:p>
    <w:p>
      <w:pPr>
        <w:pStyle w:val="Heading1"/>
        <w:spacing w:after="120" w:before="300"/>
      </w:pPr>
      <w:r>
        <w:rPr>
          <w:rFonts w:ascii="Arial" w:cs="Arial" w:eastAsia="Arial" w:hAnsi="Arial"/>
          <w:b/>
          <w:bCs/>
        </w:rPr>
        <w:t xml:space="preserve">6. ADMISSIBILITY &amp; REPRODUCIBILITY CLOSURE</w:t>
      </w:r>
    </w:p>
    <w:p>
      <w:pPr>
        <w:spacing w:after="80"/>
      </w:pPr>
      <w:r>
        <w:rPr>
          <w:rFonts w:ascii="Arial" w:cs="Arial" w:eastAsia="Arial" w:hAnsi="Arial"/>
          <w:b/>
          <w:bCs/>
          <w:sz w:val="20"/>
          <w:szCs w:val="20"/>
        </w:rPr>
        <w:t xml:space="preserve">Declared mapping before computation: </w:t>
      </w:r>
      <w:r>
        <w:rPr>
          <w:rFonts w:ascii="Arial" w:cs="Arial" w:eastAsia="Arial" w:hAnsi="Arial"/>
          <w:sz w:val="20"/>
          <w:szCs w:val="20"/>
        </w:rPr>
        <w:t xml:space="preserve">Explicitly stated in Section 3 and enforced in Claim 1 step (b): ‘the domain-mapping rules being declared prior to computation.’ Section 3 states: ‘computation shall not proceed unless a valid mapping-rule version is present.’ Strong.</w:t>
      </w:r>
    </w:p>
    <w:p>
      <w:pPr>
        <w:spacing w:after="80"/>
      </w:pPr>
      <w:r>
        <w:rPr>
          <w:rFonts w:ascii="Arial" w:cs="Arial" w:eastAsia="Arial" w:hAnsi="Arial"/>
          <w:b/>
          <w:bCs/>
          <w:sz w:val="20"/>
          <w:szCs w:val="20"/>
        </w:rPr>
        <w:t xml:space="preserve">MECE partitions: </w:t>
      </w:r>
      <w:r>
        <w:rPr>
          <w:rFonts w:ascii="Arial" w:cs="Arial" w:eastAsia="Arial" w:hAnsi="Arial"/>
          <w:sz w:val="20"/>
          <w:szCs w:val="20"/>
        </w:rPr>
        <w:t xml:space="preserve">Section 4 states mutually exclusive and collectively exhaustive within defined scope. Claim 3 adds programmatic verification with halt-on-failure. FIG. 2 shows construction flow. Strong.</w:t>
      </w:r>
    </w:p>
    <w:p>
      <w:pPr>
        <w:spacing w:after="80"/>
      </w:pPr>
      <w:r>
        <w:rPr>
          <w:rFonts w:ascii="Arial" w:cs="Arial" w:eastAsia="Arial" w:hAnsi="Arial"/>
          <w:b/>
          <w:bCs/>
          <w:sz w:val="20"/>
          <w:szCs w:val="20"/>
        </w:rPr>
        <w:t xml:space="preserve">Construction from observable source fields: </w:t>
      </w:r>
      <w:r>
        <w:rPr>
          <w:rFonts w:ascii="Arial" w:cs="Arial" w:eastAsia="Arial" w:hAnsi="Arial"/>
          <w:sz w:val="20"/>
          <w:szCs w:val="20"/>
        </w:rPr>
        <w:t xml:space="preserve">Section 2 specifies observable measurements. Section 3 specifies extraction from input data. FIG. 11 shows input families. Adequate.</w:t>
      </w:r>
    </w:p>
    <w:p>
      <w:pPr>
        <w:spacing w:after="80"/>
      </w:pPr>
      <w:r>
        <w:rPr>
          <w:rFonts w:ascii="Arial" w:cs="Arial" w:eastAsia="Arial" w:hAnsi="Arial"/>
          <w:b/>
          <w:bCs/>
          <w:sz w:val="20"/>
          <w:szCs w:val="20"/>
        </w:rPr>
        <w:t xml:space="preserve">Protocol reproducibility: </w:t>
      </w:r>
      <w:r>
        <w:rPr>
          <w:rFonts w:ascii="Arial" w:cs="Arial" w:eastAsia="Arial" w:hAnsi="Arial"/>
          <w:sz w:val="20"/>
          <w:szCs w:val="20"/>
        </w:rPr>
        <w:t xml:space="preserve">Section 12 covers versioning and replay logic. Claim 15 (system) and Claim 17 (deterministic execution) lock this. FIG. 5 and FIG. 12 support it. Strong.</w:t>
      </w:r>
    </w:p>
    <w:p>
      <w:pPr>
        <w:spacing w:after="80"/>
      </w:pPr>
      <w:r>
        <w:rPr>
          <w:rFonts w:ascii="Arial" w:cs="Arial" w:eastAsia="Arial" w:hAnsi="Arial"/>
          <w:b/>
          <w:bCs/>
          <w:sz w:val="20"/>
          <w:szCs w:val="20"/>
        </w:rPr>
        <w:t xml:space="preserve">Versioning for third-party replay: </w:t>
      </w:r>
      <w:r>
        <w:rPr>
          <w:rFonts w:ascii="Arial" w:cs="Arial" w:eastAsia="Arial" w:hAnsi="Arial"/>
          <w:sz w:val="20"/>
          <w:szCs w:val="20"/>
        </w:rPr>
        <w:t xml:space="preserve">Mapping-protocol version, threshold-set version, source-data identifier, event-record version, reference-model version all explicitly listed in Section 12 and Claims 15/17. FIG. 12 is dedicated to this. Strong.</w:t>
      </w:r>
    </w:p>
    <w:p>
      <w:pPr>
        <w:pStyle w:val="Heading1"/>
        <w:spacing w:after="120" w:before="300"/>
      </w:pPr>
      <w:r>
        <w:rPr>
          <w:rFonts w:ascii="Arial" w:cs="Arial" w:eastAsia="Arial" w:hAnsi="Arial"/>
          <w:b/>
          <w:bCs/>
        </w:rPr>
        <w:t xml:space="preserve">7. WHAT IS ALREADY COMPLETE</w:t>
      </w:r>
    </w:p>
    <w:p>
      <w:pPr>
        <w:spacing w:after="100"/>
      </w:pPr>
      <w:r>
        <w:rPr>
          <w:rFonts w:ascii="Arial" w:cs="Arial" w:eastAsia="Arial" w:hAnsi="Arial"/>
          <w:sz w:val="20"/>
          <w:szCs w:val="20"/>
        </w:rPr>
        <w:t xml:space="preserve">Cover page with title, inventor, assignee, filing date. Field of the Invention. Background of the Invention. Summary of the Invention. Brief Description of the Drawings (FIG. 1-12). Detailed Description (Sections 1-12 plus Section 9A). 20 claims (method 1-10, system 11-16, determinism 17, CRM 18, output 19, schema 20). Abstract (under 150 words). All 12 figures as patent-style block diagrams. Threshold language locked at approximately 0.30 / approximately 0.50. Formula scope limited to operational R = x / (x + y^2) embodiment. No theory contamination. No K(t), no Glyph-Q, no epsilon, no 3E in filing materials.</w:t>
      </w:r>
    </w:p>
    <w:p>
      <w:pPr>
        <w:pStyle w:val="Heading1"/>
        <w:spacing w:after="120" w:before="300"/>
      </w:pPr>
      <w:r>
        <w:rPr>
          <w:rFonts w:ascii="Arial" w:cs="Arial" w:eastAsia="Arial" w:hAnsi="Arial"/>
          <w:b/>
          <w:bCs/>
        </w:rPr>
        <w:t xml:space="preserve">8. WHAT MUST BE EXCLUDED FROM FILING</w:t>
      </w:r>
    </w:p>
    <w:p>
      <w:pPr>
        <w:spacing w:after="100"/>
      </w:pPr>
      <w:r>
        <w:rPr>
          <w:rFonts w:ascii="Arial" w:cs="Arial" w:eastAsia="Arial" w:hAnsi="Arial"/>
          <w:sz w:val="20"/>
          <w:szCs w:val="20"/>
        </w:rPr>
        <w:t xml:space="preserve">Do not upload any of the following to USPTO:</w:t>
      </w:r>
    </w:p>
    <w:p>
      <w:pPr>
        <w:spacing w:after="80"/>
      </w:pPr>
      <w:r>
        <w:rPr>
          <w:rFonts w:ascii="Arial" w:cs="Arial" w:eastAsia="Arial" w:hAnsi="Arial"/>
          <w:b/>
          <w:bCs/>
          <w:sz w:val="20"/>
          <w:szCs w:val="20"/>
        </w:rPr>
        <w:t xml:space="preserve">_filing_text_corrected.pdf: </w:t>
      </w:r>
      <w:r>
        <w:rPr>
          <w:rFonts w:ascii="Arial" w:cs="Arial" w:eastAsia="Arial" w:hAnsi="Arial"/>
          <w:sz w:val="20"/>
          <w:szCs w:val="20"/>
        </w:rPr>
        <w:t xml:space="preserve">Has figure ordering error and truncated description.</w:t>
      </w:r>
    </w:p>
    <w:p>
      <w:pPr>
        <w:spacing w:after="80"/>
      </w:pPr>
      <w:r>
        <w:rPr>
          <w:rFonts w:ascii="Arial" w:cs="Arial" w:eastAsia="Arial" w:hAnsi="Arial"/>
          <w:b/>
          <w:bCs/>
          <w:sz w:val="20"/>
          <w:szCs w:val="20"/>
        </w:rPr>
        <w:t xml:space="preserve">Any .pages, .docx, or .html patent drafts from local folders: </w:t>
      </w:r>
      <w:r>
        <w:rPr>
          <w:rFonts w:ascii="Arial" w:cs="Arial" w:eastAsia="Arial" w:hAnsi="Arial"/>
          <w:sz w:val="20"/>
          <w:szCs w:val="20"/>
        </w:rPr>
        <w:t xml:space="preserve">Older versions. Superseded.</w:t>
      </w:r>
    </w:p>
    <w:p>
      <w:pPr>
        <w:spacing w:after="80"/>
      </w:pPr>
      <w:r>
        <w:rPr>
          <w:rFonts w:ascii="Arial" w:cs="Arial" w:eastAsia="Arial" w:hAnsi="Arial"/>
          <w:b/>
          <w:bCs/>
          <w:sz w:val="20"/>
          <w:szCs w:val="20"/>
        </w:rPr>
        <w:t xml:space="preserve">Notion patent pages: </w:t>
      </w:r>
      <w:r>
        <w:rPr>
          <w:rFonts w:ascii="Arial" w:cs="Arial" w:eastAsia="Arial" w:hAnsi="Arial"/>
          <w:sz w:val="20"/>
          <w:szCs w:val="20"/>
        </w:rPr>
        <w:t xml:space="preserve">Multiple duplicates of K(t)-era drafts. Not filing-facing.</w:t>
      </w:r>
    </w:p>
    <w:p>
      <w:pPr>
        <w:spacing w:after="80"/>
      </w:pPr>
      <w:r>
        <w:rPr>
          <w:rFonts w:ascii="Arial" w:cs="Arial" w:eastAsia="Arial" w:hAnsi="Arial"/>
          <w:b/>
          <w:bCs/>
          <w:sz w:val="20"/>
          <w:szCs w:val="20"/>
        </w:rPr>
        <w:t xml:space="preserve">Google Drive documents: </w:t>
      </w:r>
      <w:r>
        <w:rPr>
          <w:rFonts w:ascii="Arial" w:cs="Arial" w:eastAsia="Arial" w:hAnsi="Arial"/>
          <w:sz w:val="20"/>
          <w:szCs w:val="20"/>
        </w:rPr>
        <w:t xml:space="preserve">K(t) framework language. Theory-first. Not filing-facing.</w:t>
      </w:r>
    </w:p>
    <w:p>
      <w:pPr>
        <w:spacing w:after="80"/>
      </w:pPr>
      <w:r>
        <w:rPr>
          <w:rFonts w:ascii="Arial" w:cs="Arial" w:eastAsia="Arial" w:hAnsi="Arial"/>
          <w:b/>
          <w:bCs/>
          <w:sz w:val="20"/>
          <w:szCs w:val="20"/>
        </w:rPr>
        <w:t xml:space="preserve">CLAUDE.md convergence proof / Glyph-Q spec: </w:t>
      </w:r>
      <w:r>
        <w:rPr>
          <w:rFonts w:ascii="Arial" w:cs="Arial" w:eastAsia="Arial" w:hAnsi="Arial"/>
          <w:sz w:val="20"/>
          <w:szCs w:val="20"/>
        </w:rPr>
        <w:t xml:space="preserve">Research documentation. Not for filing.</w:t>
      </w:r>
    </w:p>
    <w:p>
      <w:pPr>
        <w:spacing w:after="80"/>
      </w:pPr>
      <w:r>
        <w:rPr>
          <w:rFonts w:ascii="Arial" w:cs="Arial" w:eastAsia="Arial" w:hAnsi="Arial"/>
          <w:b/>
          <w:bCs/>
          <w:sz w:val="20"/>
          <w:szCs w:val="20"/>
        </w:rPr>
        <w:t xml:space="preserve">EBSCO/Wikipedia/NotebookLM PDFs: </w:t>
      </w:r>
      <w:r>
        <w:rPr>
          <w:rFonts w:ascii="Arial" w:cs="Arial" w:eastAsia="Arial" w:hAnsi="Arial"/>
          <w:sz w:val="20"/>
          <w:szCs w:val="20"/>
        </w:rPr>
        <w:t xml:space="preserve">Reference material. Not filing attachments.</w:t>
      </w:r>
    </w:p>
    <w:p>
      <w:pPr>
        <w:spacing w:after="80"/>
      </w:pPr>
      <w:r>
        <w:rPr>
          <w:rFonts w:ascii="Arial" w:cs="Arial" w:eastAsia="Arial" w:hAnsi="Arial"/>
          <w:b/>
          <w:bCs/>
          <w:sz w:val="20"/>
          <w:szCs w:val="20"/>
        </w:rPr>
        <w:t xml:space="preserve">Distribution tables, CSV data, simulation JSONs: </w:t>
      </w:r>
      <w:r>
        <w:rPr>
          <w:rFonts w:ascii="Arial" w:cs="Arial" w:eastAsia="Arial" w:hAnsi="Arial"/>
          <w:sz w:val="20"/>
          <w:szCs w:val="20"/>
        </w:rPr>
        <w:t xml:space="preserve">Evidentiary. Not filing attachments.</w:t>
      </w:r>
    </w:p>
    <w:p>
      <w:pPr>
        <w:spacing w:after="80"/>
      </w:pPr>
      <w:r>
        <w:rPr>
          <w:rFonts w:ascii="Arial" w:cs="Arial" w:eastAsia="Arial" w:hAnsi="Arial"/>
          <w:b/>
          <w:bCs/>
          <w:sz w:val="20"/>
          <w:szCs w:val="20"/>
        </w:rPr>
        <w:t xml:space="preserve">gev_000001-gev_000036 event records: </w:t>
      </w:r>
      <w:r>
        <w:rPr>
          <w:rFonts w:ascii="Arial" w:cs="Arial" w:eastAsia="Arial" w:hAnsi="Arial"/>
          <w:sz w:val="20"/>
          <w:szCs w:val="20"/>
        </w:rPr>
        <w:t xml:space="preserve">Implementation artifacts. Support only.</w:t>
      </w:r>
    </w:p>
    <w:p>
      <w:r>
        <w:br w:type="page"/>
      </w:r>
    </w:p>
    <w:p>
      <w:pPr>
        <w:pStyle w:val="Heading1"/>
        <w:spacing w:after="120" w:before="300"/>
      </w:pPr>
      <w:r>
        <w:rPr>
          <w:rFonts w:ascii="Arial" w:cs="Arial" w:eastAsia="Arial" w:hAnsi="Arial"/>
          <w:b/>
          <w:bCs/>
        </w:rPr>
        <w:t xml:space="preserve">9. SINGLE SOURCE OF TRUTH</w:t>
      </w:r>
    </w:p>
    <w:p>
      <w:pPr>
        <w:spacing w:after="100"/>
      </w:pPr>
      <w:r>
        <w:rPr>
          <w:rFonts w:ascii="Arial" w:cs="Arial" w:eastAsia="Arial" w:hAnsi="Arial"/>
          <w:sz w:val="20"/>
          <w:szCs w:val="20"/>
        </w:rPr>
        <w:t xml:space="preserve">Going forward, the master filing source is:</w:t>
      </w:r>
    </w:p>
    <w:p>
      <w:pPr>
        <w:spacing w:after="80"/>
      </w:pPr>
      <w:r>
        <w:rPr>
          <w:rFonts w:ascii="Arial" w:cs="Arial" w:eastAsia="Arial" w:hAnsi="Arial"/>
          <w:b/>
          <w:bCs/>
          <w:sz w:val="20"/>
          <w:szCs w:val="20"/>
        </w:rPr>
        <w:t xml:space="preserve">Primary: </w:t>
      </w:r>
      <w:r>
        <w:rPr>
          <w:rFonts w:ascii="Arial" w:cs="Arial" w:eastAsia="Arial" w:hAnsi="Arial"/>
          <w:sz w:val="20"/>
          <w:szCs w:val="20"/>
        </w:rPr>
        <w:t xml:space="preserve">FINAL_PATENT_FILING_READY_2026-04-05.pdf (uploaded to this session, 20 pages, 1.4MB)</w:t>
      </w:r>
    </w:p>
    <w:p>
      <w:pPr>
        <w:spacing w:after="80"/>
      </w:pPr>
      <w:r>
        <w:rPr>
          <w:rFonts w:ascii="Arial" w:cs="Arial" w:eastAsia="Arial" w:hAnsi="Arial"/>
          <w:b/>
          <w:bCs/>
          <w:sz w:val="20"/>
          <w:szCs w:val="20"/>
        </w:rPr>
        <w:t xml:space="preserve">Backup text: </w:t>
      </w:r>
      <w:r>
        <w:rPr>
          <w:rFonts w:ascii="Arial" w:cs="Arial" w:eastAsia="Arial" w:hAnsi="Arial"/>
          <w:sz w:val="20"/>
          <w:szCs w:val="20"/>
        </w:rPr>
        <w:t xml:space="preserve">FINAL_PATENT_PACKET_2026-04-05_cleaned.pdf (text-only, properly formatted)</w:t>
      </w:r>
    </w:p>
    <w:p>
      <w:pPr>
        <w:spacing w:after="80"/>
      </w:pPr>
      <w:r>
        <w:rPr>
          <w:rFonts w:ascii="Arial" w:cs="Arial" w:eastAsia="Arial" w:hAnsi="Arial"/>
          <w:b/>
          <w:bCs/>
          <w:sz w:val="20"/>
          <w:szCs w:val="20"/>
        </w:rPr>
        <w:t xml:space="preserve">Backup figures: </w:t>
      </w:r>
      <w:r>
        <w:rPr>
          <w:rFonts w:ascii="Arial" w:cs="Arial" w:eastAsia="Arial" w:hAnsi="Arial"/>
          <w:sz w:val="20"/>
          <w:szCs w:val="20"/>
        </w:rPr>
        <w:t xml:space="preserve">patent_figures_corrected_2026-04-05.pdf (figures-only, all 12)</w:t>
      </w:r>
    </w:p>
    <w:p>
      <w:pPr>
        <w:spacing w:after="100"/>
      </w:pPr>
      <w:r>
        <w:rPr>
          <w:rFonts w:ascii="Arial" w:cs="Arial" w:eastAsia="Arial" w:hAnsi="Arial"/>
          <w:sz w:val="20"/>
          <w:szCs w:val="20"/>
        </w:rPr>
        <w:t xml:space="preserve">All other patent drafts in local folders, Notion, and Google Drive are superseded and should not be used for filing.</w:t>
      </w:r>
    </w:p>
    <w:p>
      <w:pPr>
        <w:pStyle w:val="Heading1"/>
        <w:spacing w:after="120" w:before="300"/>
      </w:pPr>
      <w:r>
        <w:rPr>
          <w:rFonts w:ascii="Arial" w:cs="Arial" w:eastAsia="Arial" w:hAnsi="Arial"/>
          <w:b/>
          <w:bCs/>
        </w:rPr>
        <w:t xml:space="preserve">10. FILING ACTION SEQUENCE</w:t>
      </w:r>
    </w:p>
    <w:p>
      <w:pPr>
        <w:spacing w:after="100"/>
      </w:pPr>
      <w:r>
        <w:rPr>
          <w:rFonts w:ascii="Arial" w:cs="Arial" w:eastAsia="Arial" w:hAnsi="Arial"/>
          <w:sz w:val="20"/>
          <w:szCs w:val="20"/>
        </w:rPr>
        <w:t xml:space="preserve">Shortest correct path from current state to filed provisional:</w:t>
      </w:r>
    </w:p>
    <w:p>
      <w:pPr>
        <w:spacing w:after="80"/>
      </w:pPr>
      <w:r>
        <w:rPr>
          <w:rFonts w:ascii="Arial" w:cs="Arial" w:eastAsia="Arial" w:hAnsi="Arial"/>
          <w:b/>
          <w:bCs/>
          <w:sz w:val="20"/>
          <w:szCs w:val="20"/>
        </w:rPr>
        <w:t xml:space="preserve">Step 1 — </w:t>
      </w:r>
      <w:r>
        <w:rPr>
          <w:rFonts w:ascii="Arial" w:cs="Arial" w:eastAsia="Arial" w:hAnsi="Arial"/>
          <w:sz w:val="20"/>
          <w:szCs w:val="20"/>
        </w:rPr>
        <w:t xml:space="preserve">Log in to USPTO Patent Center (patentcenter.uspto.gov) with your ID.me credentials.</w:t>
      </w:r>
    </w:p>
    <w:p>
      <w:pPr>
        <w:spacing w:after="80"/>
      </w:pPr>
      <w:r>
        <w:rPr>
          <w:rFonts w:ascii="Arial" w:cs="Arial" w:eastAsia="Arial" w:hAnsi="Arial"/>
          <w:b/>
          <w:bCs/>
          <w:sz w:val="20"/>
          <w:szCs w:val="20"/>
        </w:rPr>
        <w:t xml:space="preserve">Step 2 — </w:t>
      </w:r>
      <w:r>
        <w:rPr>
          <w:rFonts w:ascii="Arial" w:cs="Arial" w:eastAsia="Arial" w:hAnsi="Arial"/>
          <w:sz w:val="20"/>
          <w:szCs w:val="20"/>
        </w:rPr>
        <w:t xml:space="preserve">Start a new provisional application (35 U.S.C. § 111(b)).</w:t>
      </w:r>
    </w:p>
    <w:p>
      <w:pPr>
        <w:spacing w:after="80"/>
      </w:pPr>
      <w:r>
        <w:rPr>
          <w:rFonts w:ascii="Arial" w:cs="Arial" w:eastAsia="Arial" w:hAnsi="Arial"/>
          <w:b/>
          <w:bCs/>
          <w:sz w:val="20"/>
          <w:szCs w:val="20"/>
        </w:rPr>
        <w:t xml:space="preserve">Step 3 — </w:t>
      </w:r>
      <w:r>
        <w:rPr>
          <w:rFonts w:ascii="Arial" w:cs="Arial" w:eastAsia="Arial" w:hAnsi="Arial"/>
          <w:sz w:val="20"/>
          <w:szCs w:val="20"/>
        </w:rPr>
        <w:t xml:space="preserve">Upload FINAL_PATENT_FILING_READY_2026-04-05.pdf as the specification (it contains the full text + figures in one document).</w:t>
      </w:r>
    </w:p>
    <w:p>
      <w:pPr>
        <w:spacing w:after="80"/>
      </w:pPr>
      <w:r>
        <w:rPr>
          <w:rFonts w:ascii="Arial" w:cs="Arial" w:eastAsia="Arial" w:hAnsi="Arial"/>
          <w:b/>
          <w:bCs/>
          <w:sz w:val="20"/>
          <w:szCs w:val="20"/>
        </w:rPr>
        <w:t xml:space="preserve">Step 4 — </w:t>
      </w:r>
      <w:r>
        <w:rPr>
          <w:rFonts w:ascii="Arial" w:cs="Arial" w:eastAsia="Arial" w:hAnsi="Arial"/>
          <w:sz w:val="20"/>
          <w:szCs w:val="20"/>
        </w:rPr>
        <w:t xml:space="preserve">Fill in the Application Data Sheet (ADS/SB-14): inventor Jair Valley, assignee Heyer Livin LLC, correspondence address.</w:t>
      </w:r>
    </w:p>
    <w:p>
      <w:pPr>
        <w:spacing w:after="80"/>
      </w:pPr>
      <w:r>
        <w:rPr>
          <w:rFonts w:ascii="Arial" w:cs="Arial" w:eastAsia="Arial" w:hAnsi="Arial"/>
          <w:b/>
          <w:bCs/>
          <w:sz w:val="20"/>
          <w:szCs w:val="20"/>
        </w:rPr>
        <w:t xml:space="preserve">Step 5 — </w:t>
      </w:r>
      <w:r>
        <w:rPr>
          <w:rFonts w:ascii="Arial" w:cs="Arial" w:eastAsia="Arial" w:hAnsi="Arial"/>
          <w:sz w:val="20"/>
          <w:szCs w:val="20"/>
        </w:rPr>
        <w:t xml:space="preserve">Certify Micro Entity Status (SB-16): gross income under $234,786, not named on more than 4 previously filed applications, not obligated to assign to entity that does not qualify.</w:t>
      </w:r>
    </w:p>
    <w:p>
      <w:pPr>
        <w:spacing w:after="80"/>
      </w:pPr>
      <w:r>
        <w:rPr>
          <w:rFonts w:ascii="Arial" w:cs="Arial" w:eastAsia="Arial" w:hAnsi="Arial"/>
          <w:b/>
          <w:bCs/>
          <w:sz w:val="20"/>
          <w:szCs w:val="20"/>
        </w:rPr>
        <w:t xml:space="preserve">Step 6 — </w:t>
      </w:r>
      <w:r>
        <w:rPr>
          <w:rFonts w:ascii="Arial" w:cs="Arial" w:eastAsia="Arial" w:hAnsi="Arial"/>
          <w:sz w:val="20"/>
          <w:szCs w:val="20"/>
        </w:rPr>
        <w:t xml:space="preserve">Pay the filing fee (~$80 micro entity provisional filing fee).</w:t>
      </w:r>
    </w:p>
    <w:p>
      <w:pPr>
        <w:spacing w:after="80"/>
      </w:pPr>
      <w:r>
        <w:rPr>
          <w:rFonts w:ascii="Arial" w:cs="Arial" w:eastAsia="Arial" w:hAnsi="Arial"/>
          <w:b/>
          <w:bCs/>
          <w:sz w:val="20"/>
          <w:szCs w:val="20"/>
        </w:rPr>
        <w:t xml:space="preserve">Step 7 — </w:t>
      </w:r>
      <w:r>
        <w:rPr>
          <w:rFonts w:ascii="Arial" w:cs="Arial" w:eastAsia="Arial" w:hAnsi="Arial"/>
          <w:sz w:val="20"/>
          <w:szCs w:val="20"/>
        </w:rPr>
        <w:t xml:space="preserve">Submit. Record the confirmation number and application number immediately.</w:t>
      </w:r>
    </w:p>
    <w:p>
      <w:pPr>
        <w:spacing w:after="80"/>
      </w:pPr>
      <w:r>
        <w:rPr>
          <w:rFonts w:ascii="Arial" w:cs="Arial" w:eastAsia="Arial" w:hAnsi="Arial"/>
          <w:b/>
          <w:bCs/>
          <w:sz w:val="20"/>
          <w:szCs w:val="20"/>
        </w:rPr>
        <w:t xml:space="preserve">Step 8 — </w:t>
      </w:r>
      <w:r>
        <w:rPr>
          <w:rFonts w:ascii="Arial" w:cs="Arial" w:eastAsia="Arial" w:hAnsi="Arial"/>
          <w:sz w:val="20"/>
          <w:szCs w:val="20"/>
        </w:rPr>
        <w:t xml:space="preserve">You have 12 months from the filing date to convert to a non-provisional application or the provisional expires.</w:t>
      </w:r>
    </w:p>
    <w:p>
      <w:pPr>
        <w:pStyle w:val="Heading1"/>
        <w:spacing w:after="120" w:before="300"/>
      </w:pPr>
      <w:r>
        <w:rPr>
          <w:rFonts w:ascii="Arial" w:cs="Arial" w:eastAsia="Arial" w:hAnsi="Arial"/>
          <w:b/>
          <w:bCs/>
        </w:rPr>
        <w:t xml:space="preserve">11. FULL SYSTEM INVENTORY SUMMARY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6240"/>
      </w:tblGrid>
      <w:tr>
        <w:tc>
          <w:tcPr>
            <w:tcW w:type="dxa" w:w="24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Location</w:t>
            </w:r>
          </w:p>
        </w:tc>
        <w:tc>
          <w:tcPr>
            <w:tcW w:type="dxa" w:w="12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Count</w:t>
            </w:r>
          </w:p>
        </w:tc>
        <w:tc>
          <w:tcPr>
            <w:tcW w:type="dxa" w:w="624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Contents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Glyph, the final mark</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~200</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Patent drafts (6+ versions), 24 figure PNGs (two sets), distribution tables (.csv/.xlsx/.numbers), Python code (glyph8.py, glyph_simulations.py, glyph_daily_feed.py), 26 event-record JSONs, web/site files (HTML/CSS), research PDFs (~40), deployment docs, JSON state files, Keynote source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datasets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SNT data table, timeline PDFs (2), convergence proof text, birth distribution tables, empty CSV, unemployment claims data</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patent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33</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Older patent HTML drafts (3), research assessments (2), historical source data, filing checklist, figure index, support map, 8 zero-byte broken PDF exports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proofs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Data convergence HTML, 2 zero-byte PDFs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8glyphs27/GLYPH8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~18</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glyph_constraint.py (14KB), glyph_system.py (12KB), automation.py, downloads_extractor.py, event_schema_v1.json, docs/ with architecture notes, downloads_corpus/ with 8 extracted texts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Notion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25+</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Patent app pages (3 copies), inventor disclosure (3 copies), study complete, master research doc, technical spec, replication guides (2), dataset pages (BCDE x3, A, B), file audit (3 copies), Glyph Kitchen section anchor</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333333"/>
                <w:sz w:val="18"/>
                <w:szCs w:val="18"/>
              </w:rPr>
              <w:t xml:space="preserve">Google Drive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Unified Research Report (K(t) + 39%), Operational Methodology Manual (K(t))</w:t>
            </w:r>
          </w:p>
        </w:tc>
      </w:tr>
    </w:tbl>
    <w:p>
      <w:r>
        <w:br w:type="page"/>
      </w:r>
    </w:p>
    <w:p>
      <w:pPr>
        <w:pStyle w:val="Heading1"/>
        <w:spacing w:after="120" w:before="300"/>
      </w:pPr>
      <w:r>
        <w:rPr>
          <w:rFonts w:ascii="Arial" w:cs="Arial" w:eastAsia="Arial" w:hAnsi="Arial"/>
          <w:b/>
          <w:bCs/>
        </w:rPr>
        <w:t xml:space="preserve">12. MASTER ACTION PLAN</w:t>
      </w:r>
    </w:p>
    <w:p>
      <w:pPr>
        <w:pStyle w:val="Heading2"/>
        <w:spacing w:after="120" w:before="300"/>
      </w:pPr>
      <w:r>
        <w:rPr>
          <w:rFonts w:ascii="Arial" w:cs="Arial" w:eastAsia="Arial" w:hAnsi="Arial"/>
          <w:b/>
          <w:bCs/>
        </w:rPr>
        <w:t xml:space="preserve">A. Patent Filing (TODAY)</w:t>
      </w:r>
    </w:p>
    <w:p>
      <w:pPr>
        <w:spacing w:after="100"/>
      </w:pPr>
      <w:r>
        <w:rPr>
          <w:rFonts w:ascii="Arial" w:cs="Arial" w:eastAsia="Arial" w:hAnsi="Arial"/>
          <w:sz w:val="20"/>
          <w:szCs w:val="20"/>
        </w:rPr>
        <w:t xml:space="preserve">File FINAL_PATENT_FILING_READY_2026-04-05.pdf at USPTO Patent Center. $80. Priority date established. Public repo exposure risk stops accumulating against you.</w:t>
      </w:r>
    </w:p>
    <w:p>
      <w:pPr>
        <w:pStyle w:val="Heading2"/>
        <w:spacing w:after="120" w:before="300"/>
      </w:pPr>
      <w:r>
        <w:rPr>
          <w:rFonts w:ascii="Arial" w:cs="Arial" w:eastAsia="Arial" w:hAnsi="Arial"/>
          <w:b/>
          <w:bCs/>
        </w:rPr>
        <w:t xml:space="preserve">B. File Cleanup (THIS WEEK)</w:t>
      </w:r>
    </w:p>
    <w:p>
      <w:pPr>
        <w:spacing w:after="100"/>
      </w:pPr>
      <w:r>
        <w:rPr>
          <w:rFonts w:ascii="Arial" w:cs="Arial" w:eastAsia="Arial" w:hAnsi="Arial"/>
          <w:sz w:val="20"/>
          <w:szCs w:val="20"/>
        </w:rPr>
        <w:t xml:space="preserve">Create a clean folder structure. Move all superseded patent drafts into an /archive subfolder. Keep only the 6 uploaded PDFs + the event schema + the claim-to-figure mapping table as active patent materials. Delete zero-byte PDFs. Consolidate duplicate distribution tables.</w:t>
      </w:r>
    </w:p>
    <w:p>
      <w:pPr>
        <w:pStyle w:val="Heading2"/>
        <w:spacing w:after="120" w:before="300"/>
      </w:pPr>
      <w:r>
        <w:rPr>
          <w:rFonts w:ascii="Arial" w:cs="Arial" w:eastAsia="Arial" w:hAnsi="Arial"/>
          <w:b/>
          <w:bCs/>
        </w:rPr>
        <w:t xml:space="preserve">C. Notion Cleanup (THIS WEEK)</w:t>
      </w:r>
    </w:p>
    <w:p>
      <w:pPr>
        <w:spacing w:after="100"/>
      </w:pPr>
      <w:r>
        <w:rPr>
          <w:rFonts w:ascii="Arial" w:cs="Arial" w:eastAsia="Arial" w:hAnsi="Arial"/>
          <w:sz w:val="20"/>
          <w:szCs w:val="20"/>
        </w:rPr>
        <w:t xml:space="preserve">Delete or archive the duplicate patent pages (3 copies of provisional app, 3 copies of inventor disclosure, 3 copies of file audit, 3 copies of BCDE dataset). Keep one of each. Tag the surviving pages with filing status. Create a single Patent Filing Status page with the confirmation number once filed.</w:t>
      </w:r>
    </w:p>
    <w:p>
      <w:pPr>
        <w:pStyle w:val="Heading2"/>
        <w:spacing w:after="120" w:before="300"/>
      </w:pPr>
      <w:r>
        <w:rPr>
          <w:rFonts w:ascii="Arial" w:cs="Arial" w:eastAsia="Arial" w:hAnsi="Arial"/>
          <w:b/>
          <w:bCs/>
        </w:rPr>
        <w:t xml:space="preserve">D. Codebase Cleanup (NEXT WEEK)</w:t>
      </w:r>
    </w:p>
    <w:p>
      <w:pPr>
        <w:spacing w:after="100"/>
      </w:pPr>
      <w:r>
        <w:rPr>
          <w:rFonts w:ascii="Arial" w:cs="Arial" w:eastAsia="Arial" w:hAnsi="Arial"/>
          <w:sz w:val="20"/>
          <w:szCs w:val="20"/>
        </w:rPr>
        <w:t xml:space="preserve">The 8glyphs27/GLYPH8 repo has working code but no package structure. glyph_constraint.py and glyph_system.py are the core. downloads_extractor.py and automation.py are utilities. The event_schema_v1.json is shared between the repo and the local folder. Priorities: add random.seed(42) or document convergence argument, verify 21-field event schema matches write_event() output, add a requirements.txt to the repo if one does not exist, consider making the repo private until the patent is filed.</w:t>
      </w:r>
    </w:p>
    <w:p>
      <w:pPr>
        <w:pStyle w:val="Heading2"/>
        <w:spacing w:after="120" w:before="300"/>
      </w:pPr>
      <w:r>
        <w:rPr>
          <w:rFonts w:ascii="Arial" w:cs="Arial" w:eastAsia="Arial" w:hAnsi="Arial"/>
          <w:b/>
          <w:bCs/>
        </w:rPr>
        <w:t xml:space="preserve">E. Website (AFTER PATENT FILED)</w:t>
      </w:r>
    </w:p>
    <w:p>
      <w:pPr>
        <w:spacing w:after="100"/>
      </w:pPr>
      <w:r>
        <w:rPr>
          <w:rFonts w:ascii="Arial" w:cs="Arial" w:eastAsia="Arial" w:hAnsi="Arial"/>
          <w:sz w:val="20"/>
          <w:szCs w:val="20"/>
        </w:rPr>
        <w:t xml:space="preserve">heyerlivin.com root A record is parked. 8glyphs27 subdomain points to AWS Global Accelerator IPs (15.197.225.128, 3.33.251.168). GitHub Pages challenge TXT record exists. Options: build on DreamHost/WordPress (existing hosting), deploy static site to GitHub Pages, or use the Wix connector available in this session. Do not build the website before filing the patent.</w:t>
      </w:r>
    </w:p>
    <w:p>
      <w:pPr>
        <w:pBdr>
          <w:bottom w:val="single" w:color="1a1a2e" w:sz="6" w:space="1"/>
        </w:pBdr>
        <w:spacing w:after="200" w:before="400"/>
      </w:pPr>
    </w:p>
    <w:p>
      <w:pPr>
        <w:pStyle w:val="Heading1"/>
        <w:spacing w:after="120" w:before="300"/>
      </w:pPr>
      <w:r>
        <w:rPr>
          <w:rFonts w:ascii="Arial" w:cs="Arial" w:eastAsia="Arial" w:hAnsi="Arial"/>
          <w:b/>
          <w:bCs/>
        </w:rPr>
        <w:t xml:space="preserve">FINAL READINESS VERDICT</w:t>
      </w:r>
    </w:p>
    <w:p>
      <w:pPr>
        <w:shd w:fill="e8f5e9" w:val="clear"/>
        <w:spacing w:after="200"/>
      </w:pPr>
      <w:r>
        <w:rPr>
          <w:rFonts w:ascii="Arial" w:cs="Arial" w:eastAsia="Arial" w:hAnsi="Arial"/>
          <w:b/>
          <w:bCs/>
          <w:color w:val="1b5e20"/>
          <w:sz w:val="22"/>
          <w:szCs w:val="22"/>
        </w:rPr>
        <w:t xml:space="preserve">The patent is ready for filing after zero corrections. </w:t>
      </w:r>
      <w:r>
        <w:rPr>
          <w:rFonts w:ascii="Arial" w:cs="Arial" w:eastAsia="Arial" w:hAnsi="Arial"/>
          <w:color w:val="1b5e20"/>
          <w:sz w:val="20"/>
          <w:szCs w:val="20"/>
        </w:rPr>
        <w:t xml:space="preserve">FINAL_PATENT_FILING_READY_2026-04-05.pdf is a complete, internally consistent provisional patent application. It contains a cover page, full specification with 12 numbered sections plus Section 9A, Brief Description of Drawings for all 12 figures, all 12 figures as patent-style block diagrams, 20 claims with correct dependency structure across method/system/CRM categories, and an abstract under 150 words. Threshold language is locked at approximately 0.30 / approximately 0.50 with no drift. Formula scope is limited to the operational R = x/(x+y^2) embodiment with no theoretical contamination. Reproducibility protocol is explicitly locked through versioning, declared mapping, MECE verification, and deterministic execution claims. The only action required is Jonah logging in to USPTO Patent Center and uploading this single PDF with the ADS, micro-entity certification, and $80 payment.</w:t>
      </w:r>
    </w:p>
    <w:sectPr>
      <w:headerReference w:type="default" r:id="rId7"/>
      <w:footerReference w:type="default" r:id="rId8"/>
      <w:pgSz w:w="12240" w:h="15840"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4"/>
        <w:szCs w:val="14"/>
      </w:rPr>
      <w:t xml:space="preserve">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4"/>
        <w:szCs w:val="14"/>
      </w:rPr>
      <w:t xml:space="preserve">HEYER LIVIN LLC  |  CONFIDENTIAL  |  RECONCILIATION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6213e"/>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0f34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2026-04-06T13:09:36.436Z</dcterms:created>
  <dcterms:modified xsi:type="dcterms:W3CDTF">2026-04-06T13:09:36.437Z</dcterms:modified>
</cp:coreProperties>
</file>

<file path=docProps/custom.xml><?xml version="1.0" encoding="utf-8"?>
<Properties xmlns="http://schemas.openxmlformats.org/officeDocument/2006/custom-properties" xmlns:vt="http://schemas.openxmlformats.org/officeDocument/2006/docPropsVTypes"/>
</file>