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36"/>
        </w:rPr>
        <w:t>PATENT VARIABLE MAPPING</w:t>
      </w:r>
    </w:p>
    <w:p>
      <w:pPr>
        <w:jc w:val="center"/>
      </w:pPr>
      <w:r>
        <w:rPr>
          <w:rFonts w:ascii="Arial" w:hAnsi="Arial"/>
          <w:color w:val="444444"/>
          <w:sz w:val="24"/>
        </w:rPr>
        <w:t>Statistical Notation Integrated with K(t) Framework</w:t>
      </w:r>
    </w:p>
    <w:p>
      <w:pPr>
        <w:jc w:val="center"/>
      </w:pPr>
      <w:r>
        <w:rPr>
          <w:rFonts w:ascii="Arial" w:hAnsi="Arial"/>
          <w:color w:val="666666"/>
          <w:sz w:val="20"/>
        </w:rPr>
        <w:t>Heyer Livin LLC | Glyph Kitchen | April 2026</w:t>
      </w:r>
    </w:p>
    <w:p>
      <w:pPr>
        <w:pStyle w:val="Heading1"/>
      </w:pPr>
      <w:r>
        <w:t>1. HOW THE TWO VOCABULARIES WORK TOGETHER</w:t>
      </w:r>
    </w:p>
    <w:p>
      <w:r>
        <w:rPr>
          <w:rFonts w:ascii="Arial" w:hAnsi="Arial"/>
          <w:sz w:val="20"/>
        </w:rPr>
        <w:t>The K(t) framework is a statistical framework. It uses standard statistical tools for measurement, validation, and reporting. The confidence interval, permutation test, t-test, and KS test all operate directly on K(t) outputs. Stats vocabulary is the measurement language. K(t) vocabulary is the structural language. They are not separate systems. They are two registers of the same system.</w:t>
      </w:r>
    </w:p>
    <w:p>
      <w:r>
        <w:rPr>
          <w:rFonts w:ascii="Arial" w:hAnsi="Arial"/>
          <w:sz w:val="20"/>
        </w:rPr>
        <w:t>In patent claims, K(t) terms name the objects. Stats terms describe how those objects are measured and validated. The mapping below shows which stats term applies to which K(t) operation and what language the patent should use when combining them.</w:t>
      </w:r>
    </w:p>
    <w:p>
      <w:pPr>
        <w:pStyle w:val="Heading1"/>
      </w:pPr>
      <w:r>
        <w:t>2. INTEGRATED SYMBOL MAP</w:t>
      </w:r>
    </w:p>
    <w:p>
      <w:r>
        <w:rPr>
          <w:rFonts w:ascii="Arial" w:hAnsi="Arial"/>
          <w:sz w:val="20"/>
        </w:rPr>
        <w:t>Each row shows: what the stats symbol does, what it measures inside K(t), and the patent term that integrates both.</w:t>
      </w:r>
    </w:p>
    <w:tbl>
      <w:tblPr>
        <w:tblW w:type="auto" w:w="0"/>
        <w:jc w:val="center"/>
        <w:tblLook w:firstColumn="1" w:firstRow="1" w:lastColumn="0" w:lastRow="0" w:noHBand="0" w:noVBand="1" w:val="04A0"/>
      </w:tblPr>
      <w:tblGrid>
        <w:gridCol w:w="2707"/>
        <w:gridCol w:w="2707"/>
        <w:gridCol w:w="2707"/>
        <w:gridCol w:w="2707"/>
        <w:gridCol w:w="2707"/>
      </w:tblGrid>
      <w:tr>
        <w:tc>
          <w:tcPr>
            <w:tcW w:type="dxa" w:w="1152"/>
            <w:shd w:fill="1A1A2E" w:val="clear"/>
          </w:tcPr>
          <w:p>
            <w:r/>
            <w:r>
              <w:rPr>
                <w:rFonts w:ascii="Arial" w:hAnsi="Arial"/>
                <w:b/>
                <w:color w:val="FFFFFF"/>
                <w:sz w:val="18"/>
              </w:rPr>
              <w:t>Symbol</w:t>
            </w:r>
          </w:p>
        </w:tc>
        <w:tc>
          <w:tcPr>
            <w:tcW w:type="dxa" w:w="3024"/>
            <w:shd w:fill="1A1A2E" w:val="clear"/>
          </w:tcPr>
          <w:p>
            <w:r/>
            <w:r>
              <w:rPr>
                <w:rFonts w:ascii="Arial" w:hAnsi="Arial"/>
                <w:b/>
                <w:color w:val="FFFFFF"/>
                <w:sz w:val="18"/>
              </w:rPr>
              <w:t>Stats Operation</w:t>
            </w:r>
          </w:p>
        </w:tc>
        <w:tc>
          <w:tcPr>
            <w:tcW w:type="dxa" w:w="3312"/>
            <w:shd w:fill="1A1A2E" w:val="clear"/>
          </w:tcPr>
          <w:p>
            <w:r/>
            <w:r>
              <w:rPr>
                <w:rFonts w:ascii="Arial" w:hAnsi="Arial"/>
                <w:b/>
                <w:color w:val="FFFFFF"/>
                <w:sz w:val="18"/>
              </w:rPr>
              <w:t>K(t) Operation</w:t>
            </w:r>
          </w:p>
        </w:tc>
        <w:tc>
          <w:tcPr>
            <w:tcW w:type="dxa" w:w="3024"/>
            <w:shd w:fill="1A1A2E" w:val="clear"/>
          </w:tcPr>
          <w:p>
            <w:r/>
            <w:r>
              <w:rPr>
                <w:rFonts w:ascii="Arial" w:hAnsi="Arial"/>
                <w:b/>
                <w:color w:val="FFFFFF"/>
                <w:sz w:val="18"/>
              </w:rPr>
              <w:t>Patent Term</w:t>
            </w:r>
          </w:p>
        </w:tc>
        <w:tc>
          <w:tcPr>
            <w:tcW w:type="dxa" w:w="3024"/>
            <w:shd w:fill="1A1A2E" w:val="clear"/>
          </w:tcPr>
          <w:p>
            <w:r/>
            <w:r>
              <w:rPr>
                <w:rFonts w:ascii="Arial" w:hAnsi="Arial"/>
                <w:b/>
                <w:color w:val="FFFFFF"/>
                <w:sz w:val="18"/>
              </w:rPr>
              <w:t>Integration Note</w:t>
            </w:r>
          </w:p>
        </w:tc>
      </w:tr>
      <w:tr>
        <w:tc>
          <w:tcPr>
            <w:tcW w:type="dxa" w:w="1152"/>
            <w:shd w:fill="F0F0F8" w:val="clear"/>
          </w:tcPr>
          <w:p>
            <w:r/>
            <w:r>
              <w:rPr>
                <w:rFonts w:ascii="Arial" w:hAnsi="Arial"/>
                <w:b/>
                <w:sz w:val="18"/>
              </w:rPr>
              <w:t>x̄</w:t>
            </w:r>
          </w:p>
        </w:tc>
        <w:tc>
          <w:tcPr>
            <w:tcW w:type="dxa" w:w="3024"/>
            <w:shd w:fill="F0F0F8" w:val="clear"/>
          </w:tcPr>
          <w:p>
            <w:r/>
            <w:r>
              <w:rPr>
                <w:rFonts w:ascii="Arial" w:hAnsi="Arial"/>
                <w:b w:val="0"/>
                <w:sz w:val="18"/>
              </w:rPr>
              <w:t>Compute sample mean from observed data</w:t>
            </w:r>
          </w:p>
        </w:tc>
        <w:tc>
          <w:tcPr>
            <w:tcW w:type="dxa" w:w="3312"/>
            <w:shd w:fill="F0F0F8" w:val="clear"/>
          </w:tcPr>
          <w:p>
            <w:r/>
            <w:r>
              <w:rPr>
                <w:rFonts w:ascii="Arial" w:hAnsi="Arial"/>
                <w:b w:val="0"/>
                <w:sz w:val="18"/>
              </w:rPr>
              <w:t>Compute K = x/(x+y²) for one dataset. The observed clustering ratio.</w:t>
            </w:r>
          </w:p>
        </w:tc>
        <w:tc>
          <w:tcPr>
            <w:tcW w:type="dxa" w:w="3024"/>
            <w:shd w:fill="F0F0F8" w:val="clear"/>
          </w:tcPr>
          <w:p>
            <w:r/>
            <w:r>
              <w:rPr>
                <w:rFonts w:ascii="Arial" w:hAnsi="Arial"/>
                <w:b/>
                <w:sz w:val="18"/>
              </w:rPr>
              <w:t>observed clustering ratio</w:t>
            </w:r>
          </w:p>
        </w:tc>
        <w:tc>
          <w:tcPr>
            <w:tcW w:type="dxa" w:w="3024"/>
            <w:shd w:fill="F0F0F8" w:val="clear"/>
          </w:tcPr>
          <w:p>
            <w:r/>
            <w:r>
              <w:rPr>
                <w:rFonts w:ascii="Arial" w:hAnsi="Arial"/>
                <w:b w:val="0"/>
                <w:sz w:val="18"/>
              </w:rPr>
              <w:t>x̄ applies. K IS a computed central value from observed events. Patent names the output; stats names the operation.</w:t>
            </w:r>
          </w:p>
        </w:tc>
      </w:tr>
      <w:tr>
        <w:tc>
          <w:tcPr>
            <w:tcW w:type="dxa" w:w="1152"/>
          </w:tcPr>
          <w:p>
            <w:r/>
            <w:r>
              <w:rPr>
                <w:rFonts w:ascii="Arial" w:hAnsi="Arial"/>
                <w:b/>
                <w:sz w:val="18"/>
              </w:rPr>
              <w:t>μ</w:t>
            </w:r>
          </w:p>
        </w:tc>
        <w:tc>
          <w:tcPr>
            <w:tcW w:type="dxa" w:w="3024"/>
          </w:tcPr>
          <w:p>
            <w:r/>
            <w:r>
              <w:rPr>
                <w:rFonts w:ascii="Arial" w:hAnsi="Arial"/>
                <w:b w:val="0"/>
                <w:sz w:val="18"/>
              </w:rPr>
              <w:t>The population mean: the true value the sample mean estimates</w:t>
            </w:r>
          </w:p>
        </w:tc>
        <w:tc>
          <w:tcPr>
            <w:tcW w:type="dxa" w:w="3312"/>
          </w:tcPr>
          <w:p>
            <w:r/>
            <w:r>
              <w:rPr>
                <w:rFonts w:ascii="Arial" w:hAnsi="Arial"/>
                <w:b w:val="0"/>
                <w:sz w:val="18"/>
              </w:rPr>
              <w:t>The structural attractor: 0.39. The value structurally constrained systems converge toward. Grand mean = 0.390992.</w:t>
            </w:r>
          </w:p>
        </w:tc>
        <w:tc>
          <w:tcPr>
            <w:tcW w:type="dxa" w:w="3024"/>
          </w:tcPr>
          <w:p>
            <w:r/>
            <w:r>
              <w:rPr>
                <w:rFonts w:ascii="Arial" w:hAnsi="Arial"/>
                <w:b/>
                <w:sz w:val="18"/>
              </w:rPr>
              <w:t>structural constant</w:t>
            </w:r>
            <w:r>
              <w:rPr>
                <w:rFonts w:ascii="Arial" w:hAnsi="Arial"/>
                <w:b w:val="0"/>
                <w:sz w:val="18"/>
              </w:rPr>
              <w:t xml:space="preserve"> (attractor value 0.39)</w:t>
            </w:r>
          </w:p>
        </w:tc>
        <w:tc>
          <w:tcPr>
            <w:tcW w:type="dxa" w:w="3024"/>
          </w:tcPr>
          <w:p>
            <w:r/>
            <w:r>
              <w:rPr>
                <w:rFonts w:ascii="Arial" w:hAnsi="Arial"/>
                <w:b w:val="0"/>
                <w:sz w:val="18"/>
              </w:rPr>
              <w:t>μ applies. 0.39 functions as the population parameter that K estimates. The difference: μ is predicted by the system, not estimated from samples.</w:t>
            </w:r>
          </w:p>
        </w:tc>
      </w:tr>
      <w:tr>
        <w:tc>
          <w:tcPr>
            <w:tcW w:type="dxa" w:w="1152"/>
            <w:shd w:fill="F0F0F8" w:val="clear"/>
          </w:tcPr>
          <w:p>
            <w:r/>
            <w:r>
              <w:rPr>
                <w:rFonts w:ascii="Arial" w:hAnsi="Arial"/>
                <w:b/>
                <w:sz w:val="18"/>
              </w:rPr>
              <w:t>σ</w:t>
            </w:r>
          </w:p>
        </w:tc>
        <w:tc>
          <w:tcPr>
            <w:tcW w:type="dxa" w:w="3024"/>
            <w:shd w:fill="F0F0F8" w:val="clear"/>
          </w:tcPr>
          <w:p>
            <w:r/>
            <w:r>
              <w:rPr>
                <w:rFonts w:ascii="Arial" w:hAnsi="Arial"/>
                <w:b w:val="0"/>
                <w:sz w:val="18"/>
              </w:rPr>
              <w:t>Population SD: spread of values around the mean</w:t>
            </w:r>
          </w:p>
        </w:tc>
        <w:tc>
          <w:tcPr>
            <w:tcW w:type="dxa" w:w="3312"/>
            <w:shd w:fill="F0F0F8" w:val="clear"/>
          </w:tcPr>
          <w:p>
            <w:r/>
            <w:r>
              <w:rPr>
                <w:rFonts w:ascii="Arial" w:hAnsi="Arial"/>
                <w:b w:val="0"/>
                <w:sz w:val="18"/>
              </w:rPr>
              <w:t>Cross-domain SD = 0.019778. How tightly 12 structural constants cluster around 0.39.</w:t>
            </w:r>
          </w:p>
        </w:tc>
        <w:tc>
          <w:tcPr>
            <w:tcW w:type="dxa" w:w="3024"/>
            <w:shd w:fill="F0F0F8" w:val="clear"/>
          </w:tcPr>
          <w:p>
            <w:r/>
            <w:r>
              <w:rPr>
                <w:rFonts w:ascii="Arial" w:hAnsi="Arial"/>
                <w:b/>
                <w:sz w:val="18"/>
              </w:rPr>
              <w:t>cross-domain clustering bandwidth</w:t>
            </w:r>
          </w:p>
        </w:tc>
        <w:tc>
          <w:tcPr>
            <w:tcW w:type="dxa" w:w="3024"/>
            <w:shd w:fill="F0F0F8" w:val="clear"/>
          </w:tcPr>
          <w:p>
            <w:r/>
            <w:r>
              <w:rPr>
                <w:rFonts w:ascii="Arial" w:hAnsi="Arial"/>
                <w:b w:val="0"/>
                <w:sz w:val="18"/>
              </w:rPr>
              <w:t>σ applies at the meta-level. Not spread within one dataset but spread of K values across 12 datasets. Patent specifies the level of analysis.</w:t>
            </w:r>
          </w:p>
        </w:tc>
      </w:tr>
      <w:tr>
        <w:tc>
          <w:tcPr>
            <w:tcW w:type="dxa" w:w="1152"/>
          </w:tcPr>
          <w:p>
            <w:r/>
            <w:r>
              <w:rPr>
                <w:rFonts w:ascii="Arial" w:hAnsi="Arial"/>
                <w:b/>
                <w:sz w:val="18"/>
              </w:rPr>
              <w:t>n</w:t>
            </w:r>
          </w:p>
        </w:tc>
        <w:tc>
          <w:tcPr>
            <w:tcW w:type="dxa" w:w="3024"/>
          </w:tcPr>
          <w:p>
            <w:r/>
            <w:r>
              <w:rPr>
                <w:rFonts w:ascii="Arial" w:hAnsi="Arial"/>
                <w:b w:val="0"/>
                <w:sz w:val="18"/>
              </w:rPr>
              <w:t>Sample size: number of observations drawn</w:t>
            </w:r>
          </w:p>
        </w:tc>
        <w:tc>
          <w:tcPr>
            <w:tcW w:type="dxa" w:w="3312"/>
          </w:tcPr>
          <w:p>
            <w:r/>
            <w:r>
              <w:rPr>
                <w:rFonts w:ascii="Arial" w:hAnsi="Arial"/>
                <w:b w:val="0"/>
                <w:sz w:val="18"/>
              </w:rPr>
              <w:t>Cycle length (3E). Total positions in one event cycle. Domain-given, not analyst-chosen.</w:t>
            </w:r>
          </w:p>
        </w:tc>
        <w:tc>
          <w:tcPr>
            <w:tcW w:type="dxa" w:w="3024"/>
          </w:tcPr>
          <w:p>
            <w:r/>
            <w:r>
              <w:rPr>
                <w:rFonts w:ascii="Arial" w:hAnsi="Arial"/>
                <w:b/>
                <w:sz w:val="18"/>
              </w:rPr>
              <w:t>cycle length</w:t>
            </w:r>
            <w:r>
              <w:rPr>
                <w:rFonts w:ascii="Arial" w:hAnsi="Arial"/>
                <w:b w:val="0"/>
                <w:sz w:val="18"/>
              </w:rPr>
              <w:t xml:space="preserve"> (N = 3E)</w:t>
            </w:r>
          </w:p>
        </w:tc>
        <w:tc>
          <w:tcPr>
            <w:tcW w:type="dxa" w:w="3024"/>
          </w:tcPr>
          <w:p>
            <w:r/>
            <w:r>
              <w:rPr>
                <w:rFonts w:ascii="Arial" w:hAnsi="Arial"/>
                <w:b w:val="0"/>
                <w:sz w:val="18"/>
              </w:rPr>
              <w:t>n applies operationally. Cycle length IS the sample size of the domain. The difference: n is given by the domain structure, not selected by the researcher.</w:t>
            </w:r>
          </w:p>
        </w:tc>
      </w:tr>
      <w:tr>
        <w:tc>
          <w:tcPr>
            <w:tcW w:type="dxa" w:w="1152"/>
            <w:shd w:fill="F0F0F8" w:val="clear"/>
          </w:tcPr>
          <w:p>
            <w:r/>
            <w:r>
              <w:rPr>
                <w:rFonts w:ascii="Arial" w:hAnsi="Arial"/>
                <w:b/>
                <w:sz w:val="18"/>
              </w:rPr>
              <w:t>z_c</w:t>
            </w:r>
          </w:p>
        </w:tc>
        <w:tc>
          <w:tcPr>
            <w:tcW w:type="dxa" w:w="3024"/>
            <w:shd w:fill="F0F0F8" w:val="clear"/>
          </w:tcPr>
          <w:p>
            <w:r/>
            <w:r>
              <w:rPr>
                <w:rFonts w:ascii="Arial" w:hAnsi="Arial"/>
                <w:b w:val="0"/>
                <w:sz w:val="18"/>
              </w:rPr>
              <w:t>Critical value from standard normal. Scales with confidence level (1.96 for 95%).</w:t>
            </w:r>
          </w:p>
        </w:tc>
        <w:tc>
          <w:tcPr>
            <w:tcW w:type="dxa" w:w="3312"/>
            <w:shd w:fill="F0F0F8" w:val="clear"/>
          </w:tcPr>
          <w:p>
            <w:r/>
            <w:r>
              <w:rPr>
                <w:rFonts w:ascii="Arial" w:hAnsi="Arial"/>
                <w:b w:val="0"/>
                <w:sz w:val="18"/>
              </w:rPr>
              <w:t>Used in the validation layer. z_c validates whether K values cluster tighter than random. NOT used to set zone boundaries.</w:t>
            </w:r>
          </w:p>
        </w:tc>
        <w:tc>
          <w:tcPr>
            <w:tcW w:type="dxa" w:w="3024"/>
            <w:shd w:fill="F0F0F8" w:val="clear"/>
          </w:tcPr>
          <w:p>
            <w:r/>
            <w:r>
              <w:rPr>
                <w:rFonts w:ascii="Arial" w:hAnsi="Arial"/>
                <w:b/>
                <w:sz w:val="18"/>
              </w:rPr>
              <w:t>critical value</w:t>
            </w:r>
            <w:r>
              <w:rPr>
                <w:rFonts w:ascii="Arial" w:hAnsi="Arial"/>
                <w:b w:val="0"/>
                <w:sz w:val="18"/>
              </w:rPr>
              <w:t xml:space="preserve"> (validation layer only)</w:t>
            </w:r>
          </w:p>
        </w:tc>
        <w:tc>
          <w:tcPr>
            <w:tcW w:type="dxa" w:w="3024"/>
            <w:shd w:fill="F0F0F8" w:val="clear"/>
          </w:tcPr>
          <w:p>
            <w:r/>
            <w:r>
              <w:rPr>
                <w:rFonts w:ascii="Arial" w:hAnsi="Arial"/>
                <w:b w:val="0"/>
                <w:sz w:val="18"/>
              </w:rPr>
              <w:t>z_c applies to validation, not classification. Zone thresholds (0.30/0.50) are structural. z_c confirms those thresholds are statistically distinguishable from random.</w:t>
            </w:r>
          </w:p>
        </w:tc>
      </w:tr>
      <w:tr>
        <w:tc>
          <w:tcPr>
            <w:tcW w:type="dxa" w:w="1152"/>
          </w:tcPr>
          <w:p>
            <w:r/>
            <w:r>
              <w:rPr>
                <w:rFonts w:ascii="Arial" w:hAnsi="Arial"/>
                <w:b/>
                <w:sz w:val="18"/>
              </w:rPr>
              <w:t>E</w:t>
            </w:r>
          </w:p>
        </w:tc>
        <w:tc>
          <w:tcPr>
            <w:tcW w:type="dxa" w:w="3024"/>
          </w:tcPr>
          <w:p>
            <w:r/>
            <w:r>
              <w:rPr>
                <w:rFonts w:ascii="Arial" w:hAnsi="Arial"/>
                <w:b w:val="0"/>
                <w:sz w:val="18"/>
              </w:rPr>
              <w:t>Margin of error: E = z_c(σ/√n). Distance from sample mean to CI edge.</w:t>
            </w:r>
          </w:p>
        </w:tc>
        <w:tc>
          <w:tcPr>
            <w:tcW w:type="dxa" w:w="3312"/>
          </w:tcPr>
          <w:p>
            <w:r/>
            <w:r>
              <w:rPr>
                <w:rFonts w:ascii="Arial" w:hAnsi="Arial"/>
                <w:b w:val="0"/>
                <w:sz w:val="18"/>
              </w:rPr>
              <w:t>Distance from attractor: d = |K − 0.39|. Measures deviation from the structural constant.</w:t>
            </w:r>
          </w:p>
        </w:tc>
        <w:tc>
          <w:tcPr>
            <w:tcW w:type="dxa" w:w="3024"/>
          </w:tcPr>
          <w:p>
            <w:r/>
            <w:r>
              <w:rPr>
                <w:rFonts w:ascii="Arial" w:hAnsi="Arial"/>
                <w:b/>
                <w:sz w:val="18"/>
              </w:rPr>
              <w:t>deviation magnitude</w:t>
            </w:r>
          </w:p>
        </w:tc>
        <w:tc>
          <w:tcPr>
            <w:tcW w:type="dxa" w:w="3024"/>
          </w:tcPr>
          <w:p>
            <w:r/>
            <w:r>
              <w:rPr>
                <w:rFonts w:ascii="Arial" w:hAnsi="Arial"/>
                <w:b w:val="0"/>
                <w:sz w:val="18"/>
              </w:rPr>
              <w:t>E applies to the CI of the structural mean: 0.390992 ± 0.0112. d measures per-dataset deviation. Patent uses E for aggregate validation and d for per-dataset classification.</w:t>
            </w:r>
          </w:p>
        </w:tc>
      </w:tr>
      <w:tr>
        <w:tc>
          <w:tcPr>
            <w:tcW w:type="dxa" w:w="1152"/>
            <w:shd w:fill="F0F0F8" w:val="clear"/>
          </w:tcPr>
          <w:p>
            <w:r/>
            <w:r>
              <w:rPr>
                <w:rFonts w:ascii="Arial" w:hAnsi="Arial"/>
                <w:b/>
                <w:sz w:val="18"/>
              </w:rPr>
              <w:t>CI</w:t>
            </w:r>
          </w:p>
        </w:tc>
        <w:tc>
          <w:tcPr>
            <w:tcW w:type="dxa" w:w="3024"/>
            <w:shd w:fill="F0F0F8" w:val="clear"/>
          </w:tcPr>
          <w:p>
            <w:r/>
            <w:r>
              <w:rPr>
                <w:rFonts w:ascii="Arial" w:hAnsi="Arial"/>
                <w:b w:val="0"/>
                <w:sz w:val="18"/>
              </w:rPr>
              <w:t>Confidence interval: (x̄ − E, x̄ + E). Range where true mean likely falls.</w:t>
            </w:r>
          </w:p>
        </w:tc>
        <w:tc>
          <w:tcPr>
            <w:tcW w:type="dxa" w:w="3312"/>
            <w:shd w:fill="F0F0F8" w:val="clear"/>
          </w:tcPr>
          <w:p>
            <w:r/>
            <w:r>
              <w:rPr>
                <w:rFonts w:ascii="Arial" w:hAnsi="Arial"/>
                <w:b w:val="0"/>
                <w:sz w:val="18"/>
              </w:rPr>
              <w:t>95% CI of structural mean: [0.3798, 0.4022]. AND fixed structural band: [0.30, 0.50).</w:t>
            </w:r>
          </w:p>
        </w:tc>
        <w:tc>
          <w:tcPr>
            <w:tcW w:type="dxa" w:w="3024"/>
            <w:shd w:fill="F0F0F8" w:val="clear"/>
          </w:tcPr>
          <w:p>
            <w:r/>
            <w:r>
              <w:rPr>
                <w:rFonts w:ascii="Arial" w:hAnsi="Arial"/>
                <w:b/>
                <w:sz w:val="18"/>
              </w:rPr>
              <w:t>structural confidence interval</w:t>
            </w:r>
            <w:r>
              <w:rPr>
                <w:rFonts w:ascii="Arial" w:hAnsi="Arial"/>
                <w:b w:val="0"/>
                <w:sz w:val="18"/>
              </w:rPr>
              <w:t xml:space="preserve"> [0.3798, 0.4022]</w:t>
            </w:r>
          </w:p>
        </w:tc>
        <w:tc>
          <w:tcPr>
            <w:tcW w:type="dxa" w:w="3024"/>
            <w:shd w:fill="F0F0F8" w:val="clear"/>
          </w:tcPr>
          <w:p>
            <w:r/>
            <w:r>
              <w:rPr>
                <w:rFonts w:ascii="Arial" w:hAnsi="Arial"/>
                <w:b w:val="0"/>
                <w:sz w:val="18"/>
              </w:rPr>
              <w:t>CI applies directly. The 95% CI proves attractor ≠ 0.50 and ≠ 0.00. The structural band [0.30, 0.50) is classification, not CI. Patent uses both: CI for proof, band for classification.</w:t>
            </w:r>
          </w:p>
        </w:tc>
      </w:tr>
      <w:tr>
        <w:tc>
          <w:tcPr>
            <w:tcW w:type="dxa" w:w="1152"/>
          </w:tcPr>
          <w:p>
            <w:r/>
            <w:r>
              <w:rPr>
                <w:rFonts w:ascii="Arial" w:hAnsi="Arial"/>
                <w:b/>
                <w:sz w:val="18"/>
              </w:rPr>
              <w:t>n=(z_cσ/E)²</w:t>
            </w:r>
          </w:p>
        </w:tc>
        <w:tc>
          <w:tcPr>
            <w:tcW w:type="dxa" w:w="3024"/>
          </w:tcPr>
          <w:p>
            <w:r/>
            <w:r>
              <w:rPr>
                <w:rFonts w:ascii="Arial" w:hAnsi="Arial"/>
                <w:b w:val="0"/>
                <w:sz w:val="18"/>
              </w:rPr>
              <w:t>Min sample size: how many observations needed for desired precision</w:t>
            </w:r>
          </w:p>
        </w:tc>
        <w:tc>
          <w:tcPr>
            <w:tcW w:type="dxa" w:w="3312"/>
          </w:tcPr>
          <w:p>
            <w:r/>
            <w:r>
              <w:rPr>
                <w:rFonts w:ascii="Arial" w:hAnsi="Arial"/>
                <w:b w:val="0"/>
                <w:sz w:val="18"/>
              </w:rPr>
              <w:t>External power argument. Patent cites this to show 12 datasets with SD = 0.019778 provide sufficient power.</w:t>
            </w:r>
          </w:p>
        </w:tc>
        <w:tc>
          <w:tcPr>
            <w:tcW w:type="dxa" w:w="3024"/>
          </w:tcPr>
          <w:p>
            <w:r/>
            <w:r>
              <w:rPr>
                <w:rFonts w:ascii="Arial" w:hAnsi="Arial"/>
                <w:b/>
                <w:sz w:val="18"/>
              </w:rPr>
              <w:t>statistical power verification</w:t>
            </w:r>
          </w:p>
        </w:tc>
        <w:tc>
          <w:tcPr>
            <w:tcW w:type="dxa" w:w="3024"/>
          </w:tcPr>
          <w:p>
            <w:r/>
            <w:r>
              <w:rPr>
                <w:rFonts w:ascii="Arial" w:hAnsi="Arial"/>
                <w:b w:val="0"/>
                <w:sz w:val="18"/>
              </w:rPr>
              <w:t>Formula applies externally. Glyph does not prescribe min n. But the patent uses this formula to preempt the objection that 12 datasets is too few.</w:t>
            </w:r>
          </w:p>
        </w:tc>
      </w:tr>
      <w:tr>
        <w:tc>
          <w:tcPr>
            <w:tcW w:type="dxa" w:w="1152"/>
            <w:shd w:fill="F0F0F8" w:val="clear"/>
          </w:tcPr>
          <w:p>
            <w:r/>
            <w:r>
              <w:rPr>
                <w:rFonts w:ascii="Arial" w:hAnsi="Arial"/>
                <w:b/>
                <w:sz w:val="18"/>
              </w:rPr>
              <w:t>x̄ − μ</w:t>
            </w:r>
          </w:p>
        </w:tc>
        <w:tc>
          <w:tcPr>
            <w:tcW w:type="dxa" w:w="3024"/>
            <w:shd w:fill="F0F0F8" w:val="clear"/>
          </w:tcPr>
          <w:p>
            <w:r/>
            <w:r>
              <w:rPr>
                <w:rFonts w:ascii="Arial" w:hAnsi="Arial"/>
                <w:b w:val="0"/>
                <w:sz w:val="18"/>
              </w:rPr>
              <w:t>Sampling error: difference between observed and true mean</w:t>
            </w:r>
          </w:p>
        </w:tc>
        <w:tc>
          <w:tcPr>
            <w:tcW w:type="dxa" w:w="3312"/>
            <w:shd w:fill="F0F0F8" w:val="clear"/>
          </w:tcPr>
          <w:p>
            <w:r/>
            <w:r>
              <w:rPr>
                <w:rFonts w:ascii="Arial" w:hAnsi="Arial"/>
                <w:b w:val="0"/>
                <w:sz w:val="18"/>
              </w:rPr>
              <w:t>Structural residual: K(observed) − 0.39. Deviation from predicted attractor.</w:t>
            </w:r>
          </w:p>
        </w:tc>
        <w:tc>
          <w:tcPr>
            <w:tcW w:type="dxa" w:w="3024"/>
            <w:shd w:fill="F0F0F8" w:val="clear"/>
          </w:tcPr>
          <w:p>
            <w:r/>
            <w:r>
              <w:rPr>
                <w:rFonts w:ascii="Arial" w:hAnsi="Arial"/>
                <w:b/>
                <w:sz w:val="18"/>
              </w:rPr>
              <w:t>structural residual</w:t>
            </w:r>
          </w:p>
        </w:tc>
        <w:tc>
          <w:tcPr>
            <w:tcW w:type="dxa" w:w="3024"/>
            <w:shd w:fill="F0F0F8" w:val="clear"/>
          </w:tcPr>
          <w:p>
            <w:r/>
            <w:r>
              <w:rPr>
                <w:rFonts w:ascii="Arial" w:hAnsi="Arial"/>
                <w:b w:val="0"/>
                <w:sz w:val="18"/>
              </w:rPr>
              <w:t>The stats formula applies. The interpretation shifts: not random sampling error but structural deviation under constraint. Patent specifies the generating process.</w:t>
            </w:r>
          </w:p>
        </w:tc>
      </w:tr>
      <w:tr>
        <w:tc>
          <w:tcPr>
            <w:tcW w:type="dxa" w:w="1152"/>
          </w:tcPr>
          <w:p>
            <w:r/>
            <w:r>
              <w:rPr>
                <w:rFonts w:ascii="Arial" w:hAnsi="Arial"/>
                <w:b/>
                <w:sz w:val="18"/>
              </w:rPr>
              <w:t>ε</w:t>
            </w:r>
          </w:p>
        </w:tc>
        <w:tc>
          <w:tcPr>
            <w:tcW w:type="dxa" w:w="3024"/>
          </w:tcPr>
          <w:p>
            <w:r/>
            <w:r>
              <w:rPr>
                <w:rFonts w:ascii="Arial" w:hAnsi="Arial"/>
                <w:b w:val="0"/>
                <w:sz w:val="18"/>
              </w:rPr>
              <w:t>Not in Ch. 6 curriculum.</w:t>
            </w:r>
          </w:p>
        </w:tc>
        <w:tc>
          <w:tcPr>
            <w:tcW w:type="dxa" w:w="3312"/>
          </w:tcPr>
          <w:p>
            <w:r/>
            <w:r>
              <w:rPr>
                <w:rFonts w:ascii="Arial" w:hAnsi="Arial"/>
                <w:b w:val="0"/>
                <w:sz w:val="18"/>
              </w:rPr>
              <w:t>Irreducible freedom quantum. ε = √2 − 1 = 0.41421356. From fixed-point equation ε = 1/(2+ε).</w:t>
            </w:r>
          </w:p>
        </w:tc>
        <w:tc>
          <w:tcPr>
            <w:tcW w:type="dxa" w:w="3024"/>
          </w:tcPr>
          <w:p>
            <w:r/>
            <w:r>
              <w:rPr>
                <w:rFonts w:ascii="Arial" w:hAnsi="Arial"/>
                <w:b/>
                <w:sz w:val="18"/>
              </w:rPr>
              <w:t>irreducible freedom quantum</w:t>
            </w:r>
          </w:p>
        </w:tc>
        <w:tc>
          <w:tcPr>
            <w:tcW w:type="dxa" w:w="3024"/>
          </w:tcPr>
          <w:p>
            <w:r/>
            <w:r>
              <w:rPr>
                <w:rFonts w:ascii="Arial" w:hAnsi="Arial"/>
                <w:b w:val="0"/>
                <w:sz w:val="18"/>
              </w:rPr>
              <w:t>No stats analogue in this chapter. Unique to Glyph-Q. Patent defines from first principles. This is where K(t) extends beyond standard statistics.</w:t>
            </w:r>
          </w:p>
        </w:tc>
      </w:tr>
      <w:tr>
        <w:tc>
          <w:tcPr>
            <w:tcW w:type="dxa" w:w="1152"/>
          </w:tcPr>
          <w:p/>
        </w:tc>
        <w:tc>
          <w:tcPr>
            <w:tcW w:type="dxa" w:w="3024"/>
          </w:tcPr>
          <w:p/>
        </w:tc>
        <w:tc>
          <w:tcPr>
            <w:tcW w:type="dxa" w:w="3312"/>
          </w:tcPr>
          <w:p/>
        </w:tc>
        <w:tc>
          <w:tcPr>
            <w:tcW w:type="dxa" w:w="3024"/>
          </w:tcPr>
          <w:p/>
        </w:tc>
        <w:tc>
          <w:tcPr>
            <w:tcW w:type="dxa" w:w="3024"/>
          </w:tcPr>
          <w:p/>
        </w:tc>
      </w:tr>
    </w:tbl>
    <w:p>
      <w:r>
        <w:br w:type="page"/>
      </w:r>
    </w:p>
    <w:p>
      <w:pPr>
        <w:pStyle w:val="Heading1"/>
      </w:pPr>
      <w:r>
        <w:t>3. FORMULA INTEGRATION</w:t>
      </w:r>
    </w:p>
    <w:p>
      <w:r>
        <w:rPr>
          <w:rFonts w:ascii="Arial" w:hAnsi="Arial"/>
          <w:sz w:val="20"/>
        </w:rPr>
        <w:t>Each row shows how K(t) operations USE stats formulas. The patent cites both: the K(t) operation as the inventive step and the stats formula as the validation method.</w:t>
      </w:r>
    </w:p>
    <w:tbl>
      <w:tblPr>
        <w:tblW w:type="auto" w:w="0"/>
        <w:jc w:val="center"/>
        <w:tblLook w:firstColumn="1" w:firstRow="1" w:lastColumn="0" w:lastRow="0" w:noHBand="0" w:noVBand="1" w:val="04A0"/>
      </w:tblPr>
      <w:tblGrid>
        <w:gridCol w:w="3384"/>
        <w:gridCol w:w="3384"/>
        <w:gridCol w:w="3384"/>
        <w:gridCol w:w="3384"/>
      </w:tblGrid>
      <w:tr>
        <w:tc>
          <w:tcPr>
            <w:tcW w:type="dxa" w:w="2160"/>
            <w:shd w:fill="1A1A2E" w:val="clear"/>
          </w:tcPr>
          <w:p>
            <w:r/>
            <w:r>
              <w:rPr>
                <w:rFonts w:ascii="Arial" w:hAnsi="Arial"/>
                <w:b/>
                <w:color w:val="FFFFFF"/>
                <w:sz w:val="18"/>
              </w:rPr>
              <w:t>Operation</w:t>
            </w:r>
          </w:p>
        </w:tc>
        <w:tc>
          <w:tcPr>
            <w:tcW w:type="dxa" w:w="4032"/>
            <w:shd w:fill="1A1A2E" w:val="clear"/>
          </w:tcPr>
          <w:p>
            <w:r/>
            <w:r>
              <w:rPr>
                <w:rFonts w:ascii="Arial" w:hAnsi="Arial"/>
                <w:b/>
                <w:color w:val="FFFFFF"/>
                <w:sz w:val="18"/>
              </w:rPr>
              <w:t>K(t) Formula (Inventive Step)</w:t>
            </w:r>
          </w:p>
        </w:tc>
        <w:tc>
          <w:tcPr>
            <w:tcW w:type="dxa" w:w="4032"/>
            <w:shd w:fill="1A1A2E" w:val="clear"/>
          </w:tcPr>
          <w:p>
            <w:r/>
            <w:r>
              <w:rPr>
                <w:rFonts w:ascii="Arial" w:hAnsi="Arial"/>
                <w:b/>
                <w:color w:val="FFFFFF"/>
                <w:sz w:val="18"/>
              </w:rPr>
              <w:t>Stats Validation Method</w:t>
            </w:r>
          </w:p>
        </w:tc>
        <w:tc>
          <w:tcPr>
            <w:tcW w:type="dxa" w:w="3312"/>
            <w:shd w:fill="1A1A2E" w:val="clear"/>
          </w:tcPr>
          <w:p>
            <w:r/>
            <w:r>
              <w:rPr>
                <w:rFonts w:ascii="Arial" w:hAnsi="Arial"/>
                <w:b/>
                <w:color w:val="FFFFFF"/>
                <w:sz w:val="18"/>
              </w:rPr>
              <w:t>Patent Claim Language</w:t>
            </w:r>
          </w:p>
        </w:tc>
      </w:tr>
      <w:tr>
        <w:tc>
          <w:tcPr>
            <w:tcW w:type="dxa" w:w="2160"/>
            <w:shd w:fill="F0F0F8" w:val="clear"/>
          </w:tcPr>
          <w:p>
            <w:r/>
            <w:r>
              <w:rPr>
                <w:rFonts w:ascii="Arial" w:hAnsi="Arial"/>
                <w:b/>
                <w:sz w:val="18"/>
              </w:rPr>
              <w:t>Compute ratio</w:t>
            </w:r>
          </w:p>
        </w:tc>
        <w:tc>
          <w:tcPr>
            <w:tcW w:type="dxa" w:w="4032"/>
            <w:shd w:fill="F0F0F8" w:val="clear"/>
          </w:tcPr>
          <w:p>
            <w:r/>
            <w:r>
              <w:rPr>
                <w:rFonts w:ascii="Arial" w:hAnsi="Arial"/>
                <w:b w:val="0"/>
                <w:sz w:val="18"/>
              </w:rPr>
              <w:t>K(t) = x(a,b,c) / [x(a,b,c) + y(a,b,c)²]</w:t>
            </w:r>
          </w:p>
        </w:tc>
        <w:tc>
          <w:tcPr>
            <w:tcW w:type="dxa" w:w="4032"/>
            <w:shd w:fill="F0F0F8" w:val="clear"/>
          </w:tcPr>
          <w:p>
            <w:r/>
            <w:r>
              <w:rPr>
                <w:rFonts w:ascii="Arial" w:hAnsi="Arial"/>
                <w:b w:val="0"/>
                <w:sz w:val="18"/>
              </w:rPr>
              <w:t>Descriptive statistics: ratio computation</w:t>
            </w:r>
          </w:p>
        </w:tc>
        <w:tc>
          <w:tcPr>
            <w:tcW w:type="dxa" w:w="3312"/>
            <w:shd w:fill="F0F0F8" w:val="clear"/>
          </w:tcPr>
          <w:p>
            <w:r/>
            <w:r>
              <w:rPr>
                <w:rFonts w:ascii="Arial" w:hAnsi="Arial"/>
                <w:b w:val="0"/>
                <w:sz w:val="18"/>
              </w:rPr>
              <w:t>computing a constraint ratio from event position and cycle length</w:t>
            </w:r>
          </w:p>
        </w:tc>
      </w:tr>
      <w:tr>
        <w:tc>
          <w:tcPr>
            <w:tcW w:type="dxa" w:w="2160"/>
          </w:tcPr>
          <w:p>
            <w:r/>
            <w:r>
              <w:rPr>
                <w:rFonts w:ascii="Arial" w:hAnsi="Arial"/>
                <w:b/>
                <w:sz w:val="18"/>
              </w:rPr>
              <w:t>Measure central tendency</w:t>
            </w:r>
          </w:p>
        </w:tc>
        <w:tc>
          <w:tcPr>
            <w:tcW w:type="dxa" w:w="4032"/>
          </w:tcPr>
          <w:p>
            <w:r/>
            <w:r>
              <w:rPr>
                <w:rFonts w:ascii="Arial" w:hAnsi="Arial"/>
                <w:b w:val="0"/>
                <w:sz w:val="18"/>
              </w:rPr>
              <w:t>K̄ = mean of K values across events</w:t>
            </w:r>
          </w:p>
        </w:tc>
        <w:tc>
          <w:tcPr>
            <w:tcW w:type="dxa" w:w="4032"/>
          </w:tcPr>
          <w:p>
            <w:r/>
            <w:r>
              <w:rPr>
                <w:rFonts w:ascii="Arial" w:hAnsi="Arial"/>
                <w:b w:val="0"/>
                <w:sz w:val="18"/>
              </w:rPr>
              <w:t>x̄ = (1/n)∑x_i applied to K values</w:t>
            </w:r>
          </w:p>
        </w:tc>
        <w:tc>
          <w:tcPr>
            <w:tcW w:type="dxa" w:w="3312"/>
          </w:tcPr>
          <w:p>
            <w:r/>
            <w:r>
              <w:rPr>
                <w:rFonts w:ascii="Arial" w:hAnsi="Arial"/>
                <w:b w:val="0"/>
                <w:sz w:val="18"/>
              </w:rPr>
              <w:t>determining the mean clustering ratio across measured events</w:t>
            </w:r>
          </w:p>
        </w:tc>
      </w:tr>
      <w:tr>
        <w:tc>
          <w:tcPr>
            <w:tcW w:type="dxa" w:w="2160"/>
            <w:shd w:fill="F0F0F8" w:val="clear"/>
          </w:tcPr>
          <w:p>
            <w:r/>
            <w:r>
              <w:rPr>
                <w:rFonts w:ascii="Arial" w:hAnsi="Arial"/>
                <w:b/>
                <w:sz w:val="18"/>
              </w:rPr>
              <w:t>Classify result</w:t>
            </w:r>
          </w:p>
        </w:tc>
        <w:tc>
          <w:tcPr>
            <w:tcW w:type="dxa" w:w="4032"/>
            <w:shd w:fill="F0F0F8" w:val="clear"/>
          </w:tcPr>
          <w:p>
            <w:r/>
            <w:r>
              <w:rPr>
                <w:rFonts w:ascii="Arial" w:hAnsi="Arial"/>
                <w:b w:val="0"/>
                <w:sz w:val="18"/>
              </w:rPr>
              <w:t>K &lt; 0.30: SUBORDINATED</w:t>
              <w:br/>
              <w:t>0.30 ≤ K &lt; 0.50: STRUCTURAL</w:t>
              <w:br/>
              <w:t>K ≥ 0.50: DOMINANT</w:t>
            </w:r>
          </w:p>
        </w:tc>
        <w:tc>
          <w:tcPr>
            <w:tcW w:type="dxa" w:w="4032"/>
            <w:shd w:fill="F0F0F8" w:val="clear"/>
          </w:tcPr>
          <w:p>
            <w:r/>
            <w:r>
              <w:rPr>
                <w:rFonts w:ascii="Arial" w:hAnsi="Arial"/>
                <w:b w:val="0"/>
                <w:sz w:val="18"/>
              </w:rPr>
              <w:t>Zone thresholds are structural. CI validates zones are distinguishable from random.</w:t>
            </w:r>
          </w:p>
        </w:tc>
        <w:tc>
          <w:tcPr>
            <w:tcW w:type="dxa" w:w="3312"/>
            <w:shd w:fill="F0F0F8" w:val="clear"/>
          </w:tcPr>
          <w:p>
            <w:r/>
            <w:r>
              <w:rPr>
                <w:rFonts w:ascii="Arial" w:hAnsi="Arial"/>
                <w:b w:val="0"/>
                <w:sz w:val="18"/>
              </w:rPr>
              <w:t>classifying the ratio into a constraint zone based on fixed structural thresholds</w:t>
            </w:r>
          </w:p>
        </w:tc>
      </w:tr>
      <w:tr>
        <w:tc>
          <w:tcPr>
            <w:tcW w:type="dxa" w:w="2160"/>
          </w:tcPr>
          <w:p>
            <w:r/>
            <w:r>
              <w:rPr>
                <w:rFonts w:ascii="Arial" w:hAnsi="Arial"/>
                <w:b/>
                <w:sz w:val="18"/>
              </w:rPr>
              <w:t>Validate convergence</w:t>
            </w:r>
          </w:p>
        </w:tc>
        <w:tc>
          <w:tcPr>
            <w:tcW w:type="dxa" w:w="4032"/>
          </w:tcPr>
          <w:p>
            <w:r/>
            <w:r>
              <w:rPr>
                <w:rFonts w:ascii="Arial" w:hAnsi="Arial"/>
                <w:b w:val="0"/>
                <w:sz w:val="18"/>
              </w:rPr>
              <w:t>12 constants cluster at X̄ = 0.390992, SD = 0.019778</w:t>
            </w:r>
          </w:p>
        </w:tc>
        <w:tc>
          <w:tcPr>
            <w:tcW w:type="dxa" w:w="4032"/>
          </w:tcPr>
          <w:p>
            <w:r/>
            <w:r>
              <w:rPr>
                <w:rFonts w:ascii="Arial" w:hAnsi="Arial"/>
                <w:b w:val="0"/>
                <w:sz w:val="18"/>
              </w:rPr>
              <w:t>95% CI: [0.3798, 0.4022]; t-test: p = 0.8652; permutation: p &lt; 10⁻¹⁰</w:t>
            </w:r>
          </w:p>
        </w:tc>
        <w:tc>
          <w:tcPr>
            <w:tcW w:type="dxa" w:w="3312"/>
          </w:tcPr>
          <w:p>
            <w:r/>
            <w:r>
              <w:rPr>
                <w:rFonts w:ascii="Arial" w:hAnsi="Arial"/>
                <w:b w:val="0"/>
                <w:sz w:val="18"/>
              </w:rPr>
              <w:t>validating cross-domain convergence to the predicted structural attractor within a 95% confidence interval</w:t>
            </w:r>
          </w:p>
        </w:tc>
      </w:tr>
      <w:tr>
        <w:tc>
          <w:tcPr>
            <w:tcW w:type="dxa" w:w="2160"/>
            <w:shd w:fill="F0F0F8" w:val="clear"/>
          </w:tcPr>
          <w:p>
            <w:r/>
            <w:r>
              <w:rPr>
                <w:rFonts w:ascii="Arial" w:hAnsi="Arial"/>
                <w:b/>
                <w:sz w:val="18"/>
              </w:rPr>
              <w:t>Reject random null</w:t>
            </w:r>
          </w:p>
        </w:tc>
        <w:tc>
          <w:tcPr>
            <w:tcW w:type="dxa" w:w="4032"/>
            <w:shd w:fill="F0F0F8" w:val="clear"/>
          </w:tcPr>
          <w:p>
            <w:r/>
            <w:r>
              <w:rPr>
                <w:rFonts w:ascii="Arial" w:hAnsi="Arial"/>
                <w:b w:val="0"/>
                <w:sz w:val="18"/>
              </w:rPr>
              <w:t>Structural constants ≠ random draws from per-dataset nulls</w:t>
            </w:r>
          </w:p>
        </w:tc>
        <w:tc>
          <w:tcPr>
            <w:tcW w:type="dxa" w:w="4032"/>
            <w:shd w:fill="F0F0F8" w:val="clear"/>
          </w:tcPr>
          <w:p>
            <w:r/>
            <w:r>
              <w:rPr>
                <w:rFonts w:ascii="Arial" w:hAnsi="Arial"/>
                <w:b w:val="0"/>
                <w:sz w:val="18"/>
              </w:rPr>
              <w:t>KS: D = 0.5627, p = 0.0004; Levene: W = 6.5401, p = 0.0180</w:t>
            </w:r>
          </w:p>
        </w:tc>
        <w:tc>
          <w:tcPr>
            <w:tcW w:type="dxa" w:w="3312"/>
            <w:shd w:fill="F0F0F8" w:val="clear"/>
          </w:tcPr>
          <w:p>
            <w:r/>
            <w:r>
              <w:rPr>
                <w:rFonts w:ascii="Arial" w:hAnsi="Arial"/>
                <w:b w:val="0"/>
                <w:sz w:val="18"/>
              </w:rPr>
              <w:t>demonstrating observed clustering is statistically incompatible with random-process generation</w:t>
            </w:r>
          </w:p>
        </w:tc>
      </w:tr>
      <w:tr>
        <w:tc>
          <w:tcPr>
            <w:tcW w:type="dxa" w:w="2160"/>
          </w:tcPr>
          <w:p>
            <w:r/>
            <w:r>
              <w:rPr>
                <w:rFonts w:ascii="Arial" w:hAnsi="Arial"/>
                <w:b/>
                <w:sz w:val="18"/>
              </w:rPr>
              <w:t>Determine power</w:t>
            </w:r>
          </w:p>
        </w:tc>
        <w:tc>
          <w:tcPr>
            <w:tcW w:type="dxa" w:w="4032"/>
          </w:tcPr>
          <w:p>
            <w:r/>
            <w:r>
              <w:rPr>
                <w:rFonts w:ascii="Arial" w:hAnsi="Arial"/>
                <w:b w:val="0"/>
                <w:sz w:val="18"/>
              </w:rPr>
              <w:t>12 datasets, SD = 0.019778</w:t>
            </w:r>
          </w:p>
        </w:tc>
        <w:tc>
          <w:tcPr>
            <w:tcW w:type="dxa" w:w="4032"/>
          </w:tcPr>
          <w:p>
            <w:r/>
            <w:r>
              <w:rPr>
                <w:rFonts w:ascii="Arial" w:hAnsi="Arial"/>
                <w:b w:val="0"/>
                <w:sz w:val="18"/>
              </w:rPr>
              <w:t>n = (z_cσ/E)² applied externally</w:t>
            </w:r>
          </w:p>
        </w:tc>
        <w:tc>
          <w:tcPr>
            <w:tcW w:type="dxa" w:w="3312"/>
          </w:tcPr>
          <w:p>
            <w:r/>
            <w:r>
              <w:rPr>
                <w:rFonts w:ascii="Arial" w:hAnsi="Arial"/>
                <w:b w:val="0"/>
                <w:sz w:val="18"/>
              </w:rPr>
              <w:t>verifying dataset count provides sufficient statistical power</w:t>
            </w:r>
          </w:p>
        </w:tc>
      </w:tr>
      <w:tr>
        <w:tc>
          <w:tcPr>
            <w:tcW w:type="dxa" w:w="2160"/>
            <w:shd w:fill="F0F0F8" w:val="clear"/>
          </w:tcPr>
          <w:p>
            <w:r/>
            <w:r>
              <w:rPr>
                <w:rFonts w:ascii="Arial" w:hAnsi="Arial"/>
                <w:b/>
                <w:sz w:val="18"/>
              </w:rPr>
              <w:t>Ground state derivation</w:t>
            </w:r>
          </w:p>
        </w:tc>
        <w:tc>
          <w:tcPr>
            <w:tcW w:type="dxa" w:w="4032"/>
            <w:shd w:fill="F0F0F8" w:val="clear"/>
          </w:tcPr>
          <w:p>
            <w:r/>
            <w:r>
              <w:rPr>
                <w:rFonts w:ascii="Arial" w:hAnsi="Arial"/>
                <w:b w:val="0"/>
                <w:sz w:val="18"/>
              </w:rPr>
              <w:t>λ₀ = 0.39 (eigenvalue of constraint Hamiltonian H)</w:t>
            </w:r>
          </w:p>
        </w:tc>
        <w:tc>
          <w:tcPr>
            <w:tcW w:type="dxa" w:w="4032"/>
            <w:shd w:fill="F0F0F8" w:val="clear"/>
          </w:tcPr>
          <w:p>
            <w:r/>
            <w:r>
              <w:rPr>
                <w:rFonts w:ascii="Arial" w:hAnsi="Arial"/>
                <w:b w:val="0"/>
                <w:sz w:val="18"/>
              </w:rPr>
              <w:t>Glyph-Q theoretical framework. No standard stats analogue.</w:t>
            </w:r>
          </w:p>
        </w:tc>
        <w:tc>
          <w:tcPr>
            <w:tcW w:type="dxa" w:w="3312"/>
            <w:shd w:fill="F0F0F8" w:val="clear"/>
          </w:tcPr>
          <w:p>
            <w:r/>
            <w:r>
              <w:rPr>
                <w:rFonts w:ascii="Arial" w:hAnsi="Arial"/>
                <w:b w:val="0"/>
                <w:sz w:val="18"/>
              </w:rPr>
              <w:t>deriving the structural attractor as the ground state eigenvalue of the system constraint operator</w:t>
            </w:r>
          </w:p>
        </w:tc>
      </w:tr>
    </w:tbl>
    <w:p>
      <w:r>
        <w:br w:type="page"/>
      </w:r>
    </w:p>
    <w:p>
      <w:pPr>
        <w:pStyle w:val="Heading1"/>
      </w:pPr>
      <w:r>
        <w:t>4. PATENT VOCABULARY</w:t>
      </w:r>
    </w:p>
    <w:p>
      <w:r>
        <w:rPr>
          <w:rFonts w:ascii="Arial" w:hAnsi="Arial"/>
          <w:sz w:val="20"/>
        </w:rPr>
        <w:t>The patent uses integrated terms that combine statistical precision with K(t) structural meaning. The left column is the stats vocabulary. The right column is the patent term that incorporates it. The center column shows why the integration works.</w:t>
      </w:r>
    </w:p>
    <w:tbl>
      <w:tblPr>
        <w:tblW w:type="auto" w:w="0"/>
        <w:jc w:val="center"/>
        <w:tblLook w:firstColumn="1" w:firstRow="1" w:lastColumn="0" w:lastRow="0" w:noHBand="0" w:noVBand="1" w:val="04A0"/>
      </w:tblPr>
      <w:tblGrid>
        <w:gridCol w:w="4512"/>
        <w:gridCol w:w="4512"/>
        <w:gridCol w:w="4512"/>
      </w:tblGrid>
      <w:tr>
        <w:tc>
          <w:tcPr>
            <w:tcW w:type="dxa" w:w="2592"/>
            <w:shd w:fill="1A1A2E" w:val="clear"/>
          </w:tcPr>
          <w:p>
            <w:r/>
            <w:r>
              <w:rPr>
                <w:rFonts w:ascii="Arial" w:hAnsi="Arial"/>
                <w:b/>
                <w:color w:val="FFFFFF"/>
                <w:sz w:val="18"/>
              </w:rPr>
              <w:t>Stats Term</w:t>
            </w:r>
          </w:p>
        </w:tc>
        <w:tc>
          <w:tcPr>
            <w:tcW w:type="dxa" w:w="6480"/>
            <w:shd w:fill="1A1A2E" w:val="clear"/>
          </w:tcPr>
          <w:p>
            <w:r/>
            <w:r>
              <w:rPr>
                <w:rFonts w:ascii="Arial" w:hAnsi="Arial"/>
                <w:b/>
                <w:color w:val="FFFFFF"/>
                <w:sz w:val="18"/>
              </w:rPr>
              <w:t>How It Functions in K(t)</w:t>
            </w:r>
          </w:p>
        </w:tc>
        <w:tc>
          <w:tcPr>
            <w:tcW w:type="dxa" w:w="4464"/>
            <w:shd w:fill="1A1A2E" w:val="clear"/>
          </w:tcPr>
          <w:p>
            <w:r/>
            <w:r>
              <w:rPr>
                <w:rFonts w:ascii="Arial" w:hAnsi="Arial"/>
                <w:b/>
                <w:color w:val="FFFFFF"/>
                <w:sz w:val="18"/>
              </w:rPr>
              <w:t>Patent Term (Integrated)</w:t>
            </w:r>
          </w:p>
        </w:tc>
      </w:tr>
      <w:tr>
        <w:tc>
          <w:tcPr>
            <w:tcW w:type="dxa" w:w="2592"/>
            <w:shd w:fill="F0F0F8" w:val="clear"/>
          </w:tcPr>
          <w:p>
            <w:r/>
            <w:r>
              <w:rPr>
                <w:rFonts w:ascii="Arial" w:hAnsi="Arial"/>
                <w:b/>
                <w:sz w:val="18"/>
              </w:rPr>
              <w:t>sample mean</w:t>
            </w:r>
          </w:p>
        </w:tc>
        <w:tc>
          <w:tcPr>
            <w:tcW w:type="dxa" w:w="6480"/>
            <w:shd w:fill="F0F0F8" w:val="clear"/>
          </w:tcPr>
          <w:p>
            <w:r/>
            <w:r>
              <w:rPr>
                <w:rFonts w:ascii="Arial" w:hAnsi="Arial"/>
                <w:b w:val="0"/>
                <w:sz w:val="18"/>
              </w:rPr>
              <w:t>K is computed the same way: aggregate observed values, divide by count. The output is a ratio, not a raw average.</w:t>
            </w:r>
          </w:p>
        </w:tc>
        <w:tc>
          <w:tcPr>
            <w:tcW w:type="dxa" w:w="4464"/>
            <w:shd w:fill="F0F0F8" w:val="clear"/>
          </w:tcPr>
          <w:p>
            <w:r/>
            <w:r>
              <w:rPr>
                <w:rFonts w:ascii="Arial" w:hAnsi="Arial"/>
                <w:b/>
                <w:sz w:val="18"/>
              </w:rPr>
              <w:t>observed clustering ratio</w:t>
            </w:r>
          </w:p>
        </w:tc>
      </w:tr>
      <w:tr>
        <w:tc>
          <w:tcPr>
            <w:tcW w:type="dxa" w:w="2592"/>
          </w:tcPr>
          <w:p>
            <w:r/>
            <w:r>
              <w:rPr>
                <w:rFonts w:ascii="Arial" w:hAnsi="Arial"/>
                <w:b/>
                <w:sz w:val="18"/>
              </w:rPr>
              <w:t>population mean</w:t>
            </w:r>
          </w:p>
        </w:tc>
        <w:tc>
          <w:tcPr>
            <w:tcW w:type="dxa" w:w="6480"/>
          </w:tcPr>
          <w:p>
            <w:r/>
            <w:r>
              <w:rPr>
                <w:rFonts w:ascii="Arial" w:hAnsi="Arial"/>
                <w:b w:val="0"/>
                <w:sz w:val="18"/>
              </w:rPr>
              <w:t>0.39 serves as the population parameter: the value K converges toward across all domains. Predicted rather than estimated.</w:t>
            </w:r>
          </w:p>
        </w:tc>
        <w:tc>
          <w:tcPr>
            <w:tcW w:type="dxa" w:w="4464"/>
          </w:tcPr>
          <w:p>
            <w:r/>
            <w:r>
              <w:rPr>
                <w:rFonts w:ascii="Arial" w:hAnsi="Arial"/>
                <w:b/>
                <w:sz w:val="18"/>
              </w:rPr>
              <w:t>structural constant</w:t>
            </w:r>
            <w:r>
              <w:rPr>
                <w:rFonts w:ascii="Arial" w:hAnsi="Arial"/>
                <w:b w:val="0"/>
                <w:sz w:val="18"/>
              </w:rPr>
              <w:t xml:space="preserve"> / structural attractor</w:t>
            </w:r>
          </w:p>
        </w:tc>
      </w:tr>
      <w:tr>
        <w:tc>
          <w:tcPr>
            <w:tcW w:type="dxa" w:w="2592"/>
            <w:shd w:fill="F0F0F8" w:val="clear"/>
          </w:tcPr>
          <w:p>
            <w:r/>
            <w:r>
              <w:rPr>
                <w:rFonts w:ascii="Arial" w:hAnsi="Arial"/>
                <w:b/>
                <w:sz w:val="18"/>
              </w:rPr>
              <w:t>margin of error</w:t>
            </w:r>
          </w:p>
        </w:tc>
        <w:tc>
          <w:tcPr>
            <w:tcW w:type="dxa" w:w="6480"/>
            <w:shd w:fill="F0F0F8" w:val="clear"/>
          </w:tcPr>
          <w:p>
            <w:r/>
            <w:r>
              <w:rPr>
                <w:rFonts w:ascii="Arial" w:hAnsi="Arial"/>
                <w:b w:val="0"/>
                <w:sz w:val="18"/>
              </w:rPr>
              <w:t>E = z_c(σ/√n) computes the aggregate validation band. d = |K − 0.39| measures per-dataset deviation. Both are distance measures.</w:t>
            </w:r>
          </w:p>
        </w:tc>
        <w:tc>
          <w:tcPr>
            <w:tcW w:type="dxa" w:w="4464"/>
            <w:shd w:fill="F0F0F8" w:val="clear"/>
          </w:tcPr>
          <w:p>
            <w:r/>
            <w:r>
              <w:rPr>
                <w:rFonts w:ascii="Arial" w:hAnsi="Arial"/>
                <w:b/>
                <w:sz w:val="18"/>
              </w:rPr>
              <w:t>deviation magnitude</w:t>
            </w:r>
          </w:p>
        </w:tc>
      </w:tr>
      <w:tr>
        <w:tc>
          <w:tcPr>
            <w:tcW w:type="dxa" w:w="2592"/>
          </w:tcPr>
          <w:p>
            <w:r/>
            <w:r>
              <w:rPr>
                <w:rFonts w:ascii="Arial" w:hAnsi="Arial"/>
                <w:b/>
                <w:sz w:val="18"/>
              </w:rPr>
              <w:t>confidence interval</w:t>
            </w:r>
          </w:p>
        </w:tc>
        <w:tc>
          <w:tcPr>
            <w:tcW w:type="dxa" w:w="6480"/>
          </w:tcPr>
          <w:p>
            <w:r/>
            <w:r>
              <w:rPr>
                <w:rFonts w:ascii="Arial" w:hAnsi="Arial"/>
                <w:b w:val="0"/>
                <w:sz w:val="18"/>
              </w:rPr>
              <w:t>CI applies directly to the 12 structural constants: [0.3798, 0.4022]. The structural band [0.30, 0.50) is classification, not CI.</w:t>
            </w:r>
          </w:p>
        </w:tc>
        <w:tc>
          <w:tcPr>
            <w:tcW w:type="dxa" w:w="4464"/>
          </w:tcPr>
          <w:p>
            <w:r/>
            <w:r>
              <w:rPr>
                <w:rFonts w:ascii="Arial" w:hAnsi="Arial"/>
                <w:b/>
                <w:sz w:val="18"/>
              </w:rPr>
              <w:t>structural confidence interval</w:t>
            </w:r>
            <w:r>
              <w:rPr>
                <w:rFonts w:ascii="Arial" w:hAnsi="Arial"/>
                <w:b w:val="0"/>
                <w:sz w:val="18"/>
              </w:rPr>
              <w:t xml:space="preserve"> (validation); </w:t>
            </w:r>
            <w:r>
              <w:rPr>
                <w:rFonts w:ascii="Arial" w:hAnsi="Arial"/>
                <w:b/>
                <w:sz w:val="18"/>
              </w:rPr>
              <w:t>constraint zone</w:t>
            </w:r>
            <w:r>
              <w:rPr>
                <w:rFonts w:ascii="Arial" w:hAnsi="Arial"/>
                <w:b w:val="0"/>
                <w:sz w:val="18"/>
              </w:rPr>
              <w:t xml:space="preserve"> (classification)</w:t>
            </w:r>
          </w:p>
        </w:tc>
      </w:tr>
      <w:tr>
        <w:tc>
          <w:tcPr>
            <w:tcW w:type="dxa" w:w="2592"/>
            <w:shd w:fill="F0F0F8" w:val="clear"/>
          </w:tcPr>
          <w:p>
            <w:r/>
            <w:r>
              <w:rPr>
                <w:rFonts w:ascii="Arial" w:hAnsi="Arial"/>
                <w:b/>
                <w:sz w:val="18"/>
              </w:rPr>
              <w:t>sample size</w:t>
            </w:r>
          </w:p>
        </w:tc>
        <w:tc>
          <w:tcPr>
            <w:tcW w:type="dxa" w:w="6480"/>
            <w:shd w:fill="F0F0F8" w:val="clear"/>
          </w:tcPr>
          <w:p>
            <w:r/>
            <w:r>
              <w:rPr>
                <w:rFonts w:ascii="Arial" w:hAnsi="Arial"/>
                <w:b w:val="0"/>
                <w:sz w:val="18"/>
              </w:rPr>
              <w:t>Cycle length IS sample size in K(t). Domain-given (52 cards, 1321 people), not analyst-chosen.</w:t>
            </w:r>
          </w:p>
        </w:tc>
        <w:tc>
          <w:tcPr>
            <w:tcW w:type="dxa" w:w="4464"/>
            <w:shd w:fill="F0F0F8" w:val="clear"/>
          </w:tcPr>
          <w:p>
            <w:r/>
            <w:r>
              <w:rPr>
                <w:rFonts w:ascii="Arial" w:hAnsi="Arial"/>
                <w:b/>
                <w:sz w:val="18"/>
              </w:rPr>
              <w:t>cycle length</w:t>
            </w:r>
            <w:r>
              <w:rPr>
                <w:rFonts w:ascii="Arial" w:hAnsi="Arial"/>
                <w:b w:val="0"/>
                <w:sz w:val="18"/>
              </w:rPr>
              <w:t xml:space="preserve"> (N = 3E)</w:t>
            </w:r>
          </w:p>
        </w:tc>
      </w:tr>
      <w:tr>
        <w:tc>
          <w:tcPr>
            <w:tcW w:type="dxa" w:w="2592"/>
          </w:tcPr>
          <w:p>
            <w:r/>
            <w:r>
              <w:rPr>
                <w:rFonts w:ascii="Arial" w:hAnsi="Arial"/>
                <w:b/>
                <w:sz w:val="18"/>
              </w:rPr>
              <w:t>critical value</w:t>
            </w:r>
          </w:p>
        </w:tc>
        <w:tc>
          <w:tcPr>
            <w:tcW w:type="dxa" w:w="6480"/>
          </w:tcPr>
          <w:p>
            <w:r/>
            <w:r>
              <w:rPr>
                <w:rFonts w:ascii="Arial" w:hAnsi="Arial"/>
                <w:b w:val="0"/>
                <w:sz w:val="18"/>
              </w:rPr>
              <w:t>z_c operates in the validation layer: confirms clustering is tighter than chance. Does not set zone boundaries.</w:t>
            </w:r>
          </w:p>
        </w:tc>
        <w:tc>
          <w:tcPr>
            <w:tcW w:type="dxa" w:w="4464"/>
          </w:tcPr>
          <w:p>
            <w:r/>
            <w:r>
              <w:rPr>
                <w:rFonts w:ascii="Arial" w:hAnsi="Arial"/>
                <w:b/>
                <w:sz w:val="18"/>
              </w:rPr>
              <w:t>critical value</w:t>
            </w:r>
            <w:r>
              <w:rPr>
                <w:rFonts w:ascii="Arial" w:hAnsi="Arial"/>
                <w:b w:val="0"/>
                <w:sz w:val="18"/>
              </w:rPr>
              <w:t xml:space="preserve"> (validation layer)</w:t>
            </w:r>
          </w:p>
        </w:tc>
      </w:tr>
      <w:tr>
        <w:tc>
          <w:tcPr>
            <w:tcW w:type="dxa" w:w="2592"/>
            <w:shd w:fill="F0F0F8" w:val="clear"/>
          </w:tcPr>
          <w:p>
            <w:r/>
            <w:r>
              <w:rPr>
                <w:rFonts w:ascii="Arial" w:hAnsi="Arial"/>
                <w:b/>
                <w:sz w:val="18"/>
              </w:rPr>
              <w:t>standard deviation</w:t>
            </w:r>
          </w:p>
        </w:tc>
        <w:tc>
          <w:tcPr>
            <w:tcW w:type="dxa" w:w="6480"/>
            <w:shd w:fill="F0F0F8" w:val="clear"/>
          </w:tcPr>
          <w:p>
            <w:r/>
            <w:r>
              <w:rPr>
                <w:rFonts w:ascii="Arial" w:hAnsi="Arial"/>
                <w:b w:val="0"/>
                <w:sz w:val="18"/>
              </w:rPr>
              <w:t>SD = 0.019778 across 12 constants. Standard formula. Operates at meta-level (across domains, not within one).</w:t>
            </w:r>
          </w:p>
        </w:tc>
        <w:tc>
          <w:tcPr>
            <w:tcW w:type="dxa" w:w="4464"/>
            <w:shd w:fill="F0F0F8" w:val="clear"/>
          </w:tcPr>
          <w:p>
            <w:r/>
            <w:r>
              <w:rPr>
                <w:rFonts w:ascii="Arial" w:hAnsi="Arial"/>
                <w:b/>
                <w:sz w:val="18"/>
              </w:rPr>
              <w:t>cross-domain clustering bandwidth</w:t>
            </w:r>
          </w:p>
        </w:tc>
      </w:tr>
      <w:tr>
        <w:tc>
          <w:tcPr>
            <w:tcW w:type="dxa" w:w="2592"/>
          </w:tcPr>
          <w:p>
            <w:r/>
            <w:r>
              <w:rPr>
                <w:rFonts w:ascii="Arial" w:hAnsi="Arial"/>
                <w:b/>
                <w:sz w:val="18"/>
              </w:rPr>
              <w:t>null hypothesis</w:t>
            </w:r>
          </w:p>
        </w:tc>
        <w:tc>
          <w:tcPr>
            <w:tcW w:type="dxa" w:w="6480"/>
          </w:tcPr>
          <w:p>
            <w:r/>
            <w:r>
              <w:rPr>
                <w:rFonts w:ascii="Arial" w:hAnsi="Arial"/>
                <w:b w:val="0"/>
                <w:sz w:val="18"/>
              </w:rPr>
              <w:t>Same concept, same function. The null is that structural constants are random draws from per-dataset distributions.</w:t>
            </w:r>
          </w:p>
        </w:tc>
        <w:tc>
          <w:tcPr>
            <w:tcW w:type="dxa" w:w="4464"/>
          </w:tcPr>
          <w:p>
            <w:r/>
            <w:r>
              <w:rPr>
                <w:rFonts w:ascii="Arial" w:hAnsi="Arial"/>
                <w:b/>
                <w:sz w:val="18"/>
              </w:rPr>
              <w:t>random-process null</w:t>
            </w:r>
          </w:p>
        </w:tc>
      </w:tr>
      <w:tr>
        <w:tc>
          <w:tcPr>
            <w:tcW w:type="dxa" w:w="2592"/>
            <w:shd w:fill="F0F0F8" w:val="clear"/>
          </w:tcPr>
          <w:p>
            <w:r/>
            <w:r>
              <w:rPr>
                <w:rFonts w:ascii="Arial" w:hAnsi="Arial"/>
                <w:b/>
                <w:sz w:val="18"/>
              </w:rPr>
              <w:t>sampling error</w:t>
            </w:r>
          </w:p>
        </w:tc>
        <w:tc>
          <w:tcPr>
            <w:tcW w:type="dxa" w:w="6480"/>
            <w:shd w:fill="F0F0F8" w:val="clear"/>
          </w:tcPr>
          <w:p>
            <w:r/>
            <w:r>
              <w:rPr>
                <w:rFonts w:ascii="Arial" w:hAnsi="Arial"/>
                <w:b w:val="0"/>
                <w:sz w:val="18"/>
              </w:rPr>
              <w:t>Same formula: observed minus expected. Generating process: constraint detection, not random draw.</w:t>
            </w:r>
          </w:p>
        </w:tc>
        <w:tc>
          <w:tcPr>
            <w:tcW w:type="dxa" w:w="4464"/>
            <w:shd w:fill="F0F0F8" w:val="clear"/>
          </w:tcPr>
          <w:p>
            <w:r/>
            <w:r>
              <w:rPr>
                <w:rFonts w:ascii="Arial" w:hAnsi="Arial"/>
                <w:b/>
                <w:sz w:val="18"/>
              </w:rPr>
              <w:t>structural residual</w:t>
            </w:r>
          </w:p>
        </w:tc>
      </w:tr>
      <w:tr>
        <w:tc>
          <w:tcPr>
            <w:tcW w:type="dxa" w:w="2592"/>
          </w:tcPr>
          <w:p>
            <w:r/>
            <w:r>
              <w:rPr>
                <w:rFonts w:ascii="Arial" w:hAnsi="Arial"/>
                <w:b/>
                <w:sz w:val="18"/>
              </w:rPr>
              <w:t>significance level</w:t>
            </w:r>
          </w:p>
        </w:tc>
        <w:tc>
          <w:tcPr>
            <w:tcW w:type="dxa" w:w="6480"/>
          </w:tcPr>
          <w:p>
            <w:r/>
            <w:r>
              <w:rPr>
                <w:rFonts w:ascii="Arial" w:hAnsi="Arial"/>
                <w:b w:val="0"/>
                <w:sz w:val="18"/>
              </w:rPr>
              <w:t>Same concept: the threshold for rejecting the null. p &lt; 0.05, p &lt; 0.01, etc.</w:t>
            </w:r>
          </w:p>
        </w:tc>
        <w:tc>
          <w:tcPr>
            <w:tcW w:type="dxa" w:w="4464"/>
          </w:tcPr>
          <w:p>
            <w:r/>
            <w:r>
              <w:rPr>
                <w:rFonts w:ascii="Arial" w:hAnsi="Arial"/>
                <w:b/>
                <w:sz w:val="18"/>
              </w:rPr>
              <w:t>rejection threshold</w:t>
            </w:r>
          </w:p>
        </w:tc>
      </w:tr>
    </w:tbl>
    <w:p>
      <w:r>
        <w:br w:type="page"/>
      </w:r>
    </w:p>
    <w:p>
      <w:pPr>
        <w:pStyle w:val="Heading1"/>
      </w:pPr>
      <w:r>
        <w:t>5. WHERE K(t) EXTENDS BEYOND STANDARD STATISTICS</w:t>
      </w:r>
    </w:p>
    <w:p>
      <w:r>
        <w:rPr>
          <w:rFonts w:ascii="Arial" w:hAnsi="Arial"/>
          <w:sz w:val="20"/>
        </w:rPr>
        <w:t>Most of the K(t) framework operates within standard statistical methods. These are the operations that have no stats-chapter analogue and constitute the inventive steps in the patent:</w:t>
      </w:r>
    </w:p>
    <w:p>
      <w:r>
        <w:rPr>
          <w:rFonts w:ascii="Arial" w:hAnsi="Arial"/>
          <w:b/>
          <w:sz w:val="20"/>
        </w:rPr>
        <w:t xml:space="preserve">Zone Classification: </w:t>
      </w:r>
      <w:r>
        <w:rPr>
          <w:rFonts w:ascii="Arial" w:hAnsi="Arial"/>
          <w:sz w:val="20"/>
        </w:rPr>
        <w:t>K &lt; 0.30 = SUBORDINATED, 0.30 ≤ K &lt; 0.50 = STRUCTURAL, K ≥ 0.50 = DOMINANT. No standard statistical test produces a three-zone structural classification with fixed thresholds.</w:t>
      </w:r>
    </w:p>
    <w:p>
      <w:r>
        <w:rPr>
          <w:rFonts w:ascii="Arial" w:hAnsi="Arial"/>
          <w:b/>
          <w:sz w:val="20"/>
        </w:rPr>
        <w:t xml:space="preserve">Structural Attractor Prediction: </w:t>
      </w:r>
      <w:r>
        <w:rPr>
          <w:rFonts w:ascii="Arial" w:hAnsi="Arial"/>
          <w:sz w:val="20"/>
        </w:rPr>
        <w:t>The system predicts that constrained systems converge to 0.39 before measurement. Standard statistics measures after the fact. The prediction is the inventive claim.</w:t>
      </w:r>
    </w:p>
    <w:p>
      <w:r>
        <w:rPr>
          <w:rFonts w:ascii="Arial" w:hAnsi="Arial"/>
          <w:b/>
          <w:sz w:val="20"/>
        </w:rPr>
        <w:t xml:space="preserve">resolveField(): </w:t>
      </w:r>
      <w:r>
        <w:rPr>
          <w:rFonts w:ascii="Arial" w:hAnsi="Arial"/>
          <w:sz w:val="20"/>
        </w:rPr>
        <w:t>Field resolution before choice. The method resolves the constraint field, then computes K(t). Standard statistics starts from data. K(t) starts from structure.</w:t>
      </w:r>
    </w:p>
    <w:p>
      <w:r>
        <w:rPr>
          <w:rFonts w:ascii="Arial" w:hAnsi="Arial"/>
          <w:b/>
          <w:sz w:val="20"/>
        </w:rPr>
        <w:t xml:space="preserve">3E Cycle Architecture: </w:t>
      </w:r>
      <w:r>
        <w:rPr>
          <w:rFonts w:ascii="Arial" w:hAnsi="Arial"/>
          <w:sz w:val="20"/>
        </w:rPr>
        <w:t>1(Self) + 2(Interaction) = 3(Reality). The cycle length IS 3E. No standard formula defines cycle length from first principles.</w:t>
      </w:r>
    </w:p>
    <w:p>
      <w:r>
        <w:rPr>
          <w:rFonts w:ascii="Arial" w:hAnsi="Arial"/>
          <w:b/>
          <w:sz w:val="20"/>
        </w:rPr>
        <w:t xml:space="preserve">Constraint Hamiltonian (Glyph-Q): </w:t>
      </w:r>
      <w:r>
        <w:rPr>
          <w:rFonts w:ascii="Arial" w:hAnsi="Arial"/>
          <w:sz w:val="20"/>
        </w:rPr>
        <w:t>λ₀ = 0.39 as ground state eigenvalue. The quantum reformulation derives the attractor from operator theory, not from counting.</w:t>
      </w:r>
    </w:p>
    <w:p>
      <w:r>
        <w:rPr>
          <w:rFonts w:ascii="Arial" w:hAnsi="Arial"/>
          <w:b/>
          <w:sz w:val="20"/>
        </w:rPr>
        <w:t xml:space="preserve">Epsilon Quantum: </w:t>
      </w:r>
      <w:r>
        <w:rPr>
          <w:rFonts w:ascii="Arial" w:hAnsi="Arial"/>
          <w:sz w:val="20"/>
        </w:rPr>
        <w:t>ε = √2 − 1 = 0.41421356. Irreducible freedom under constraint. No stats-chapter analogue.</w:t>
      </w:r>
    </w:p>
    <w:p>
      <w:r>
        <w:rPr>
          <w:rFonts w:ascii="Arial" w:hAnsi="Arial"/>
          <w:b/>
          <w:sz w:val="20"/>
        </w:rPr>
        <w:t xml:space="preserve">Zone-Dependent Operations: </w:t>
      </w:r>
      <w:r>
        <w:rPr>
          <w:rFonts w:ascii="Arial" w:hAnsi="Arial"/>
          <w:sz w:val="20"/>
        </w:rPr>
        <w:t>SUBORDINATED: 3E × K(t). STRUCTURAL: dual computation K(t)/(3E) AND (3E)/K(t) simultaneously until context collapses. DOMINANT: K(t) = x/(3E). Operations change based on zone.</w:t>
      </w:r>
    </w:p>
    <w:p>
      <w:pPr>
        <w:pStyle w:val="Heading1"/>
      </w:pPr>
      <w:r>
        <w:t>6. VALIDATION EQUATIONS FOR PATENT</w:t>
      </w:r>
    </w:p>
    <w:p>
      <w:r>
        <w:rPr>
          <w:rFonts w:ascii="Arial" w:hAnsi="Arial"/>
          <w:sz w:val="20"/>
        </w:rPr>
        <w:t>Standard statistical tests applied to K(t) outputs. The patent cites them as external validation of the inventive claims:</w:t>
      </w:r>
    </w:p>
    <w:p>
      <w:r>
        <w:rPr>
          <w:rFonts w:ascii="Arial" w:hAnsi="Arial"/>
          <w:b/>
          <w:sz w:val="20"/>
        </w:rPr>
        <w:t xml:space="preserve">CI for structural mean: </w:t>
      </w:r>
      <w:r>
        <w:rPr>
          <w:rFonts w:ascii="Arial" w:hAnsi="Arial"/>
          <w:sz w:val="20"/>
        </w:rPr>
        <w:t>X̄ ± t_c(s/√n) = 0.390992 ± t_0.025(0.019778/√12) = [0.3798, 0.4022]</w:t>
      </w:r>
    </w:p>
    <w:p>
      <w:r>
        <w:rPr>
          <w:rFonts w:ascii="Arial" w:hAnsi="Arial"/>
          <w:b/>
          <w:sz w:val="20"/>
        </w:rPr>
        <w:t xml:space="preserve">Permutation test: </w:t>
      </w:r>
      <w:r>
        <w:rPr>
          <w:rFonts w:ascii="Arial" w:hAnsi="Arial"/>
          <w:sz w:val="20"/>
        </w:rPr>
        <w:t>P(SD ≤ 0.019778 | random draw from per-dataset nulls) &lt; 10⁻¹⁰</w:t>
      </w:r>
    </w:p>
    <w:p>
      <w:r>
        <w:rPr>
          <w:rFonts w:ascii="Arial" w:hAnsi="Arial"/>
          <w:b/>
          <w:sz w:val="20"/>
        </w:rPr>
        <w:t xml:space="preserve">One-sample t-test: </w:t>
      </w:r>
      <w:r>
        <w:rPr>
          <w:rFonts w:ascii="Arial" w:hAnsi="Arial"/>
          <w:sz w:val="20"/>
        </w:rPr>
        <w:t>t = (0.390992 − 0.39) / (0.019778/√12) = 0.1738, p = 0.8652</w:t>
      </w:r>
    </w:p>
    <w:p>
      <w:r>
        <w:rPr>
          <w:rFonts w:ascii="Arial" w:hAnsi="Arial"/>
          <w:b/>
          <w:sz w:val="20"/>
        </w:rPr>
        <w:t xml:space="preserve">KS test: </w:t>
      </w:r>
      <w:r>
        <w:rPr>
          <w:rFonts w:ascii="Arial" w:hAnsi="Arial"/>
          <w:sz w:val="20"/>
        </w:rPr>
        <w:t>D = 0.5627, p = 0.0004 (structural constants ≠ Uniform[0,1])</w:t>
      </w:r>
    </w:p>
    <w:p>
      <w:r>
        <w:rPr>
          <w:rFonts w:ascii="Arial" w:hAnsi="Arial"/>
          <w:b/>
          <w:sz w:val="20"/>
        </w:rPr>
        <w:t xml:space="preserve">Levene test: </w:t>
      </w:r>
      <w:r>
        <w:rPr>
          <w:rFonts w:ascii="Arial" w:hAnsi="Arial"/>
          <w:sz w:val="20"/>
        </w:rPr>
        <w:t>W = 6.5401, p = 0.0180 (structural variance &lt; random variance)</w:t>
      </w:r>
    </w:p>
    <w:p>
      <w:pPr>
        <w:pStyle w:val="Heading1"/>
      </w:pPr>
      <w:r>
        <w:t>7. FUNCTIONAL LAYERS (NOT SEPARATIONS)</w:t>
      </w:r>
    </w:p>
    <w:p>
      <w:r>
        <w:rPr>
          <w:rFonts w:ascii="Arial" w:hAnsi="Arial"/>
          <w:sz w:val="20"/>
        </w:rPr>
        <w:t>The stats vocabulary and K(t) vocabulary are not separate systems. They are the same system operating at different functional layers:</w:t>
      </w:r>
    </w:p>
    <w:p>
      <w:r>
        <w:rPr>
          <w:rFonts w:ascii="Arial" w:hAnsi="Arial"/>
          <w:b/>
          <w:sz w:val="20"/>
        </w:rPr>
        <w:t xml:space="preserve">Measurement layer (stats): </w:t>
      </w:r>
      <w:r>
        <w:rPr>
          <w:rFonts w:ascii="Arial" w:hAnsi="Arial"/>
          <w:sz w:val="20"/>
        </w:rPr>
        <w:t>Computes ratios, means, deviations, intervals. Standard formulas apply directly.</w:t>
      </w:r>
    </w:p>
    <w:p>
      <w:r>
        <w:rPr>
          <w:rFonts w:ascii="Arial" w:hAnsi="Arial"/>
          <w:b/>
          <w:sz w:val="20"/>
        </w:rPr>
        <w:t xml:space="preserve">Classification layer (K(t)): </w:t>
      </w:r>
      <w:r>
        <w:rPr>
          <w:rFonts w:ascii="Arial" w:hAnsi="Arial"/>
          <w:sz w:val="20"/>
        </w:rPr>
        <w:t>Maps computed values to zones. Structural thresholds, not z-scores.</w:t>
      </w:r>
    </w:p>
    <w:p>
      <w:r>
        <w:rPr>
          <w:rFonts w:ascii="Arial" w:hAnsi="Arial"/>
          <w:b/>
          <w:sz w:val="20"/>
        </w:rPr>
        <w:t xml:space="preserve">Prediction layer (K(t)): </w:t>
      </w:r>
      <w:r>
        <w:rPr>
          <w:rFonts w:ascii="Arial" w:hAnsi="Arial"/>
          <w:sz w:val="20"/>
        </w:rPr>
        <w:t>Predicts the attractor value before measurement. The inventive step.</w:t>
      </w:r>
    </w:p>
    <w:p>
      <w:r>
        <w:rPr>
          <w:rFonts w:ascii="Arial" w:hAnsi="Arial"/>
          <w:b/>
          <w:sz w:val="20"/>
        </w:rPr>
        <w:t xml:space="preserve">Validation layer (stats): </w:t>
      </w:r>
      <w:r>
        <w:rPr>
          <w:rFonts w:ascii="Arial" w:hAnsi="Arial"/>
          <w:sz w:val="20"/>
        </w:rPr>
        <w:t>Confirms predictions using CI, permutation, t-test, KS. Standard tests applied to K(t) outputs.</w:t>
      </w:r>
    </w:p>
    <w:p>
      <w:r>
        <w:rPr>
          <w:rFonts w:ascii="Arial" w:hAnsi="Arial"/>
          <w:b/>
          <w:sz w:val="20"/>
        </w:rPr>
        <w:t xml:space="preserve">Theoretical layer (Glyph-Q): </w:t>
      </w:r>
      <w:r>
        <w:rPr>
          <w:rFonts w:ascii="Arial" w:hAnsi="Arial"/>
          <w:sz w:val="20"/>
        </w:rPr>
        <w:t>Derives the attractor from operator eigenvalues. Extends beyond standard statistics.</w:t>
      </w:r>
    </w:p>
    <w:p>
      <w:r>
        <w:rPr>
          <w:rFonts w:ascii="Arial" w:hAnsi="Arial"/>
          <w:sz w:val="20"/>
        </w:rPr>
        <w:t>The patent claims the classification, prediction, and theoretical layers as inventive. The measurement and validation layers use standard statistics and are cited as evidence, not as inventions.</w:t>
      </w:r>
    </w:p>
    <w:p>
      <w:pPr>
        <w:spacing w:before="400"/>
      </w:pPr>
      <w:r>
        <w:rPr>
          <w:i/>
          <w:color w:val="888888"/>
          <w:sz w:val="16"/>
        </w:rPr>
        <w:t>GLYPH KITCHEN — QmPYcVJCV8277 Adjacent | Working reference for patent claim drafting | Protection level: internal</w:t>
      </w:r>
    </w:p>
    <w:sectPr w:rsidR="00FC693F" w:rsidRPr="0006063C" w:rsidSect="00034616">
      <w:pgSz w:w="15840" w:h="12240" w:orient="landscape"/>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D2D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