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PATENT VARIABLE MAPPING SHEET</w:t>
      </w:r>
    </w:p>
    <w:p>
      <w:pPr>
        <w:jc w:val="center"/>
      </w:pPr>
      <w:r>
        <w:rPr>
          <w:rFonts w:ascii="Arial" w:hAnsi="Arial"/>
          <w:sz w:val="24"/>
        </w:rPr>
        <w:t>Standard Statistical Notation vs. K(t) Framework</w:t>
      </w:r>
    </w:p>
    <w:p>
      <w:pPr>
        <w:jc w:val="center"/>
      </w:pPr>
      <w:r>
        <w:rPr>
          <w:color w:val="666666"/>
          <w:sz w:val="20"/>
        </w:rPr>
        <w:t>Heyer Livin LLC | Glyph Kitchen | April 2026</w:t>
      </w:r>
    </w:p>
    <w:p/>
    <w:p>
      <w:pPr>
        <w:pStyle w:val="Heading1"/>
      </w:pPr>
      <w:r>
        <w:t>1. SEPARATION OF FRAMEWORKS</w:t>
      </w:r>
    </w:p>
    <w:p>
      <w:r>
        <w:t>The confidence interval formula belongs to frequentist inferential statistics. The K(t) constraint detection method belongs to the Glyph system. They are not the same kind of object. This document maps where terms align, where they diverge, and where the patent language must not conflate them.</w:t>
      </w:r>
    </w:p>
    <w:p/>
    <w:p>
      <w:pPr>
        <w:pStyle w:val="Heading1"/>
      </w:pPr>
      <w:r>
        <w:t>2. SYMBOL-BY-SYMBOL MAPPING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tcPr>
          <w:p>
            <w:r>
              <w:rPr>
                <w:rFonts w:ascii="Arial" w:hAnsi="Arial"/>
                <w:b/>
                <w:sz w:val="18"/>
              </w:rPr>
              <w:t>Symbol</w:t>
            </w:r>
          </w:p>
        </w:tc>
        <w:tc>
          <w:tcPr>
            <w:tcW w:type="dxa" w:w="3024"/>
          </w:tcPr>
          <w:p>
            <w:r>
              <w:rPr>
                <w:rFonts w:ascii="Arial" w:hAnsi="Arial"/>
                <w:b/>
                <w:sz w:val="18"/>
              </w:rPr>
              <w:t>Stats Meaning (Ch. 6)</w:t>
            </w:r>
          </w:p>
        </w:tc>
        <w:tc>
          <w:tcPr>
            <w:tcW w:type="dxa" w:w="3312"/>
          </w:tcPr>
          <w:p>
            <w:r>
              <w:rPr>
                <w:rFonts w:ascii="Arial" w:hAnsi="Arial"/>
                <w:b/>
                <w:sz w:val="18"/>
              </w:rPr>
              <w:t>K(t) Framework Equivalent</w:t>
            </w:r>
          </w:p>
        </w:tc>
        <w:tc>
          <w:tcPr>
            <w:tcW w:type="dxa" w:w="3168"/>
          </w:tcPr>
          <w:p>
            <w:r>
              <w:rPr>
                <w:rFonts w:ascii="Arial" w:hAnsi="Arial"/>
                <w:b/>
                <w:sz w:val="18"/>
              </w:rPr>
              <w:t>Patent Note</w:t>
            </w:r>
          </w:p>
        </w:tc>
      </w:tr>
      <w:tr>
        <w:tc>
          <w:tcPr>
            <w:tcW w:type="dxa" w:w="1296"/>
          </w:tcPr>
          <w:p>
            <w:r>
              <w:rPr>
                <w:rFonts w:ascii="Arial" w:hAnsi="Arial"/>
                <w:sz w:val="18"/>
              </w:rPr>
              <w:t>x̄ (x-bar)</w:t>
            </w:r>
          </w:p>
        </w:tc>
        <w:tc>
          <w:tcPr>
            <w:tcW w:type="dxa" w:w="3024"/>
          </w:tcPr>
          <w:p>
            <w:r>
              <w:rPr>
                <w:rFonts w:ascii="Arial" w:hAnsi="Arial"/>
                <w:sz w:val="18"/>
              </w:rPr>
              <w:t>Sample mean. The average of observed values from a sample drawn from a population.</w:t>
            </w:r>
          </w:p>
        </w:tc>
        <w:tc>
          <w:tcPr>
            <w:tcW w:type="dxa" w:w="3312"/>
          </w:tcPr>
          <w:p>
            <w:r>
              <w:rPr>
                <w:rFonts w:ascii="Arial" w:hAnsi="Arial"/>
                <w:sz w:val="18"/>
              </w:rPr>
              <w:t>Observed clustering ratio for a single dataset. The measured K value before classification.</w:t>
            </w:r>
          </w:p>
        </w:tc>
        <w:tc>
          <w:tcPr>
            <w:tcW w:type="dxa" w:w="3168"/>
          </w:tcPr>
          <w:p>
            <w:r>
              <w:rPr>
                <w:rFonts w:ascii="Arial" w:hAnsi="Arial"/>
                <w:sz w:val="18"/>
              </w:rPr>
              <w:t>Patent uses "observed ratio" or "measured clustering ratio." Do not call it x-bar in claims.</w:t>
            </w:r>
          </w:p>
        </w:tc>
      </w:tr>
      <w:tr>
        <w:tc>
          <w:tcPr>
            <w:tcW w:type="dxa" w:w="1296"/>
          </w:tcPr>
          <w:p>
            <w:r>
              <w:rPr>
                <w:rFonts w:ascii="Arial" w:hAnsi="Arial"/>
                <w:sz w:val="18"/>
              </w:rPr>
              <w:t>μ (mu)</w:t>
            </w:r>
          </w:p>
        </w:tc>
        <w:tc>
          <w:tcPr>
            <w:tcW w:type="dxa" w:w="3024"/>
          </w:tcPr>
          <w:p>
            <w:r>
              <w:rPr>
                <w:rFonts w:ascii="Arial" w:hAnsi="Arial"/>
                <w:sz w:val="18"/>
              </w:rPr>
              <w:t>Population mean. The true average of the entire population, usually unknown.</w:t>
            </w:r>
          </w:p>
        </w:tc>
        <w:tc>
          <w:tcPr>
            <w:tcW w:type="dxa" w:w="3312"/>
          </w:tcPr>
          <w:p>
            <w:r>
              <w:rPr>
                <w:rFonts w:ascii="Arial" w:hAnsi="Arial"/>
                <w:sz w:val="18"/>
              </w:rPr>
              <w:t>The structural attractor (0.39). The value that structurally constrained systems converge toward.</w:t>
            </w:r>
          </w:p>
        </w:tc>
        <w:tc>
          <w:tcPr>
            <w:tcW w:type="dxa" w:w="3168"/>
          </w:tcPr>
          <w:p>
            <w:r>
              <w:rPr>
                <w:rFonts w:ascii="Arial" w:hAnsi="Arial"/>
                <w:sz w:val="18"/>
              </w:rPr>
              <w:t>Patent calls this "structural constant" or "ground state eigenvalue." The 0.39 is not estimated from samples—it is the target the system predicts.</w:t>
            </w:r>
          </w:p>
        </w:tc>
      </w:tr>
      <w:tr>
        <w:tc>
          <w:tcPr>
            <w:tcW w:type="dxa" w:w="1296"/>
          </w:tcPr>
          <w:p>
            <w:r>
              <w:rPr>
                <w:rFonts w:ascii="Arial" w:hAnsi="Arial"/>
                <w:sz w:val="18"/>
              </w:rPr>
              <w:t>σ (sigma)</w:t>
            </w:r>
          </w:p>
        </w:tc>
        <w:tc>
          <w:tcPr>
            <w:tcW w:type="dxa" w:w="3024"/>
          </w:tcPr>
          <w:p>
            <w:r>
              <w:rPr>
                <w:rFonts w:ascii="Arial" w:hAnsi="Arial"/>
                <w:sz w:val="18"/>
              </w:rPr>
              <w:t>Population standard deviation. Known spread of the full population.</w:t>
            </w:r>
          </w:p>
        </w:tc>
        <w:tc>
          <w:tcPr>
            <w:tcW w:type="dxa" w:w="3312"/>
          </w:tcPr>
          <w:p>
            <w:r>
              <w:rPr>
                <w:rFonts w:ascii="Arial" w:hAnsi="Arial"/>
                <w:sz w:val="18"/>
              </w:rPr>
              <w:t>No direct equivalent. Cross-dataset SD of structural constants = 0.019778. This is descriptive, not a population parameter.</w:t>
            </w:r>
          </w:p>
        </w:tc>
        <w:tc>
          <w:tcPr>
            <w:tcW w:type="dxa" w:w="3168"/>
          </w:tcPr>
          <w:p>
            <w:r>
              <w:rPr>
                <w:rFonts w:ascii="Arial" w:hAnsi="Arial"/>
                <w:sz w:val="18"/>
              </w:rPr>
              <w:t>Patent uses "cross-domain variance" or "clustering bandwidth." Do not claim sigma is known in the K(t) sense.</w:t>
            </w:r>
          </w:p>
        </w:tc>
      </w:tr>
      <w:tr>
        <w:tc>
          <w:tcPr>
            <w:tcW w:type="dxa" w:w="1296"/>
          </w:tcPr>
          <w:p>
            <w:r>
              <w:rPr>
                <w:rFonts w:ascii="Arial" w:hAnsi="Arial"/>
                <w:sz w:val="18"/>
              </w:rPr>
              <w:t>n</w:t>
            </w:r>
          </w:p>
        </w:tc>
        <w:tc>
          <w:tcPr>
            <w:tcW w:type="dxa" w:w="3024"/>
          </w:tcPr>
          <w:p>
            <w:r>
              <w:rPr>
                <w:rFonts w:ascii="Arial" w:hAnsi="Arial"/>
                <w:sz w:val="18"/>
              </w:rPr>
              <w:t>Sample size. Number of observations drawn.</w:t>
            </w:r>
          </w:p>
        </w:tc>
        <w:tc>
          <w:tcPr>
            <w:tcW w:type="dxa" w:w="3312"/>
          </w:tcPr>
          <w:p>
            <w:r>
              <w:rPr>
                <w:rFonts w:ascii="Arial" w:hAnsi="Arial"/>
                <w:sz w:val="18"/>
              </w:rPr>
              <w:t>Cycle length. The total number of positions in one measured event cycle (e.g., 52 cards, 1321 people, 81 occupations).</w:t>
            </w:r>
          </w:p>
        </w:tc>
        <w:tc>
          <w:tcPr>
            <w:tcW w:type="dxa" w:w="3168"/>
          </w:tcPr>
          <w:p>
            <w:r>
              <w:rPr>
                <w:rFonts w:ascii="Arial" w:hAnsi="Arial"/>
                <w:sz w:val="18"/>
              </w:rPr>
              <w:t>Patent uses "cycle length" (N or cycle_length). The event record architecture defines this per domain.</w:t>
            </w:r>
          </w:p>
        </w:tc>
      </w:tr>
      <w:tr>
        <w:tc>
          <w:tcPr>
            <w:tcW w:type="dxa" w:w="1296"/>
          </w:tcPr>
          <w:p>
            <w:r>
              <w:rPr>
                <w:rFonts w:ascii="Arial" w:hAnsi="Arial"/>
                <w:sz w:val="18"/>
              </w:rPr>
              <w:t>z_c</w:t>
            </w:r>
          </w:p>
        </w:tc>
        <w:tc>
          <w:tcPr>
            <w:tcW w:type="dxa" w:w="3024"/>
          </w:tcPr>
          <w:p>
            <w:r>
              <w:rPr>
                <w:rFonts w:ascii="Arial" w:hAnsi="Arial"/>
                <w:sz w:val="18"/>
              </w:rPr>
              <w:t>Critical value. Tied to confidence level (1.645 for 90%, 1.96 for 95%, 2.575 for 99%).</w:t>
            </w:r>
          </w:p>
        </w:tc>
        <w:tc>
          <w:tcPr>
            <w:tcW w:type="dxa" w:w="3312"/>
          </w:tcPr>
          <w:p>
            <w:r>
              <w:rPr>
                <w:rFonts w:ascii="Arial" w:hAnsi="Arial"/>
                <w:sz w:val="18"/>
              </w:rPr>
              <w:t>No direct equivalent. The three-zone classification (subordinated / structural / dominant) is not based on z-scores.</w:t>
            </w:r>
          </w:p>
        </w:tc>
        <w:tc>
          <w:tcPr>
            <w:tcW w:type="dxa" w:w="3168"/>
          </w:tcPr>
          <w:p>
            <w:r>
              <w:rPr>
                <w:rFonts w:ascii="Arial" w:hAnsi="Arial"/>
                <w:sz w:val="18"/>
              </w:rPr>
              <w:t>Do not map z_c to band boundaries. The 0.30 and 0.50 thresholds are structural, not derived from a normal distribution.</w:t>
            </w:r>
          </w:p>
        </w:tc>
      </w:tr>
      <w:tr>
        <w:tc>
          <w:tcPr>
            <w:tcW w:type="dxa" w:w="1296"/>
          </w:tcPr>
          <w:p>
            <w:r>
              <w:rPr>
                <w:rFonts w:ascii="Arial" w:hAnsi="Arial"/>
                <w:sz w:val="18"/>
              </w:rPr>
              <w:t>E</w:t>
            </w:r>
          </w:p>
        </w:tc>
        <w:tc>
          <w:tcPr>
            <w:tcW w:type="dxa" w:w="3024"/>
          </w:tcPr>
          <w:p>
            <w:r>
              <w:rPr>
                <w:rFonts w:ascii="Arial" w:hAnsi="Arial"/>
                <w:sz w:val="18"/>
              </w:rPr>
              <w:t>Margin of error. E = z_c(σ/√n). The distance from sample mean to either end of the confidence interval.</w:t>
            </w:r>
          </w:p>
        </w:tc>
        <w:tc>
          <w:tcPr>
            <w:tcW w:type="dxa" w:w="3312"/>
          </w:tcPr>
          <w:p>
            <w:r>
              <w:rPr>
                <w:rFonts w:ascii="Arial" w:hAnsi="Arial"/>
                <w:sz w:val="18"/>
              </w:rPr>
              <w:t>Distance from attractor. d = |K − 0.39|. Measures how far an observed ratio sits from the structural constant.</w:t>
            </w:r>
          </w:p>
        </w:tc>
        <w:tc>
          <w:tcPr>
            <w:tcW w:type="dxa" w:w="3168"/>
          </w:tcPr>
          <w:p>
            <w:r>
              <w:rPr>
                <w:rFonts w:ascii="Arial" w:hAnsi="Arial"/>
                <w:sz w:val="18"/>
              </w:rPr>
              <w:t>E measures sampling uncertainty. d measures structural deviation. They are not interchangeable. Patent should use "distance from structural constant" or "deviation magnitude."</w:t>
            </w:r>
          </w:p>
        </w:tc>
      </w:tr>
      <w:tr>
        <w:tc>
          <w:tcPr>
            <w:tcW w:type="dxa" w:w="1296"/>
          </w:tcPr>
          <w:p>
            <w:r>
              <w:rPr>
                <w:rFonts w:ascii="Arial" w:hAnsi="Arial"/>
                <w:sz w:val="18"/>
              </w:rPr>
              <w:t>(x̄ − E, x̄ + E)</w:t>
            </w:r>
          </w:p>
        </w:tc>
        <w:tc>
          <w:tcPr>
            <w:tcW w:type="dxa" w:w="3024"/>
          </w:tcPr>
          <w:p>
            <w:r>
              <w:rPr>
                <w:rFonts w:ascii="Arial" w:hAnsi="Arial"/>
                <w:sz w:val="18"/>
              </w:rPr>
              <w:t>Confidence interval. The range within which the true population mean is expected to fall at a given confidence level.</w:t>
            </w:r>
          </w:p>
        </w:tc>
        <w:tc>
          <w:tcPr>
            <w:tcW w:type="dxa" w:w="3312"/>
          </w:tcPr>
          <w:p>
            <w:r>
              <w:rPr>
                <w:rFonts w:ascii="Arial" w:hAnsi="Arial"/>
                <w:sz w:val="18"/>
              </w:rPr>
              <w:t>Structural band [0.30, 0.50). The range within which structurally constrained ratios cluster.</w:t>
            </w:r>
          </w:p>
        </w:tc>
        <w:tc>
          <w:tcPr>
            <w:tcW w:type="dxa" w:w="3168"/>
          </w:tcPr>
          <w:p>
            <w:r>
              <w:rPr>
                <w:rFonts w:ascii="Arial" w:hAnsi="Arial"/>
                <w:sz w:val="18"/>
              </w:rPr>
              <w:t>The CI is symmetric around x-bar and changes with sample size. The structural band is fixed and domain-independent. Patent must not describe the band as a confidence interval.</w:t>
            </w:r>
          </w:p>
        </w:tc>
      </w:tr>
      <w:tr>
        <w:tc>
          <w:tcPr>
            <w:tcW w:type="dxa" w:w="1296"/>
          </w:tcPr>
          <w:p>
            <w:r>
              <w:rPr>
                <w:rFonts w:ascii="Arial" w:hAnsi="Arial"/>
                <w:sz w:val="18"/>
              </w:rPr>
              <w:t>n = (z_cσ/E)²</w:t>
            </w:r>
          </w:p>
        </w:tc>
        <w:tc>
          <w:tcPr>
            <w:tcW w:type="dxa" w:w="3024"/>
          </w:tcPr>
          <w:p>
            <w:r>
              <w:rPr>
                <w:rFonts w:ascii="Arial" w:hAnsi="Arial"/>
                <w:sz w:val="18"/>
              </w:rPr>
              <w:t>Minimum sample size formula. Determines how many observations are needed for a desired margin of error.</w:t>
            </w:r>
          </w:p>
        </w:tc>
        <w:tc>
          <w:tcPr>
            <w:tcW w:type="dxa" w:w="3312"/>
          </w:tcPr>
          <w:p>
            <w:r>
              <w:rPr>
                <w:rFonts w:ascii="Arial" w:hAnsi="Arial"/>
                <w:sz w:val="18"/>
              </w:rPr>
              <w:t>No direct equivalent. Glyph does not prescribe minimum sample sizes. Cycle length is given by the domain, not chosen by the analyst.</w:t>
            </w:r>
          </w:p>
        </w:tc>
        <w:tc>
          <w:tcPr>
            <w:tcW w:type="dxa" w:w="3168"/>
          </w:tcPr>
          <w:p>
            <w:r>
              <w:rPr>
                <w:rFonts w:ascii="Arial" w:hAnsi="Arial"/>
                <w:sz w:val="18"/>
              </w:rPr>
              <w:t>Patent does not need a minimum-n formula. The method works on whatever cycle length the domain provides.</w:t>
            </w:r>
          </w:p>
        </w:tc>
      </w:tr>
      <w:tr>
        <w:tc>
          <w:tcPr>
            <w:tcW w:type="dxa" w:w="1296"/>
          </w:tcPr>
          <w:p>
            <w:r>
              <w:rPr>
                <w:rFonts w:ascii="Arial" w:hAnsi="Arial"/>
                <w:sz w:val="18"/>
              </w:rPr>
              <w:t>x̄ − μ</w:t>
            </w:r>
          </w:p>
        </w:tc>
        <w:tc>
          <w:tcPr>
            <w:tcW w:type="dxa" w:w="3024"/>
          </w:tcPr>
          <w:p>
            <w:r>
              <w:rPr>
                <w:rFonts w:ascii="Arial" w:hAnsi="Arial"/>
                <w:sz w:val="18"/>
              </w:rPr>
              <w:t>Sampling error. The difference between sample mean and population mean.</w:t>
            </w:r>
          </w:p>
        </w:tc>
        <w:tc>
          <w:tcPr>
            <w:tcW w:type="dxa" w:w="3312"/>
          </w:tcPr>
          <w:p>
            <w:r>
              <w:rPr>
                <w:rFonts w:ascii="Arial" w:hAnsi="Arial"/>
                <w:sz w:val="18"/>
              </w:rPr>
              <w:t>Structural residual. K(observed) − 0.39. How far the measured ratio deviates from the predicted attractor.</w:t>
            </w:r>
          </w:p>
        </w:tc>
        <w:tc>
          <w:tcPr>
            <w:tcW w:type="dxa" w:w="3168"/>
          </w:tcPr>
          <w:p>
            <w:r>
              <w:rPr>
                <w:rFonts w:ascii="Arial" w:hAnsi="Arial"/>
                <w:sz w:val="18"/>
              </w:rPr>
              <w:t>Patent uses "residual" or "deviation from structural constant." Sampling error implies random draw; structural residual implies constraint detection.</w:t>
            </w:r>
          </w:p>
        </w:tc>
      </w:tr>
      <w:tr>
        <w:tc>
          <w:tcPr>
            <w:tcW w:type="dxa" w:w="1296"/>
          </w:tcPr>
          <w:p>
            <w:r>
              <w:rPr>
                <w:rFonts w:ascii="Arial" w:hAnsi="Arial"/>
                <w:sz w:val="18"/>
              </w:rPr>
              <w:t>ε (epsilon)</w:t>
            </w:r>
          </w:p>
        </w:tc>
        <w:tc>
          <w:tcPr>
            <w:tcW w:type="dxa" w:w="3024"/>
          </w:tcPr>
          <w:p>
            <w:r>
              <w:rPr>
                <w:rFonts w:ascii="Arial" w:hAnsi="Arial"/>
                <w:sz w:val="18"/>
              </w:rPr>
              <w:t>Not used in this stats chapter.</w:t>
            </w:r>
          </w:p>
        </w:tc>
        <w:tc>
          <w:tcPr>
            <w:tcW w:type="dxa" w:w="3312"/>
          </w:tcPr>
          <w:p>
            <w:r>
              <w:rPr>
                <w:rFonts w:ascii="Arial" w:hAnsi="Arial"/>
                <w:sz w:val="18"/>
              </w:rPr>
              <w:t>Irreducible quantum of freedom. ε = √2 − 1 = 0.41421356. The minimum residual amplitude that cannot be squeezed to zero by any constraint in this class.</w:t>
            </w:r>
          </w:p>
        </w:tc>
        <w:tc>
          <w:tcPr>
            <w:tcW w:type="dxa" w:w="3168"/>
          </w:tcPr>
          <w:p>
            <w:r>
              <w:rPr>
                <w:rFonts w:ascii="Arial" w:hAnsi="Arial"/>
                <w:sz w:val="18"/>
              </w:rPr>
              <w:t>This is unique to Glyph-Q. No stats-chapter analogue. Patent defines epsilon from the fixed-point equation ε = 1/(2+ε).</w:t>
            </w:r>
          </w:p>
        </w:tc>
      </w:tr>
    </w:tbl>
    <w:p/>
    <w:p>
      <w:pPr>
        <w:pStyle w:val="Heading1"/>
      </w:pPr>
      <w:r>
        <w:t>3. FORMULA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r>
              <w:rPr>
                <w:rFonts w:ascii="Arial" w:hAnsi="Arial"/>
                <w:b/>
                <w:sz w:val="18"/>
              </w:rPr>
              <w:t>Operation</w:t>
            </w:r>
          </w:p>
        </w:tc>
        <w:tc>
          <w:tcPr>
            <w:tcW w:type="dxa" w:w="3888"/>
          </w:tcPr>
          <w:p>
            <w:r>
              <w:rPr>
                <w:rFonts w:ascii="Arial" w:hAnsi="Arial"/>
                <w:b/>
                <w:sz w:val="18"/>
              </w:rPr>
              <w:t>Stats Formula (Ch. 6)</w:t>
            </w:r>
          </w:p>
        </w:tc>
        <w:tc>
          <w:tcPr>
            <w:tcW w:type="dxa" w:w="4752"/>
          </w:tcPr>
          <w:p>
            <w:r>
              <w:rPr>
                <w:rFonts w:ascii="Arial" w:hAnsi="Arial"/>
                <w:b/>
                <w:sz w:val="18"/>
              </w:rPr>
              <w:t>K(t) Formula (Patent)</w:t>
            </w:r>
          </w:p>
        </w:tc>
      </w:tr>
      <w:tr>
        <w:tc>
          <w:tcPr>
            <w:tcW w:type="dxa" w:w="2160"/>
          </w:tcPr>
          <w:p>
            <w:r>
              <w:rPr>
                <w:rFonts w:ascii="Arial" w:hAnsi="Arial"/>
                <w:sz w:val="18"/>
              </w:rPr>
              <w:t>Compute ratio</w:t>
            </w:r>
          </w:p>
        </w:tc>
        <w:tc>
          <w:tcPr>
            <w:tcW w:type="dxa" w:w="3888"/>
          </w:tcPr>
          <w:p>
            <w:r>
              <w:rPr>
                <w:rFonts w:ascii="Arial" w:hAnsi="Arial"/>
                <w:sz w:val="18"/>
              </w:rPr>
              <w:t>Not applicable (stats starts with raw data, not ratios)</w:t>
            </w:r>
          </w:p>
        </w:tc>
        <w:tc>
          <w:tcPr>
            <w:tcW w:type="dxa" w:w="4752"/>
          </w:tcPr>
          <w:p>
            <w:r>
              <w:rPr>
                <w:rFonts w:ascii="Arial" w:hAnsi="Arial"/>
                <w:sz w:val="18"/>
              </w:rPr>
              <w:t>r = event_position / cycle_length</w:t>
            </w:r>
          </w:p>
        </w:tc>
      </w:tr>
      <w:tr>
        <w:tc>
          <w:tcPr>
            <w:tcW w:type="dxa" w:w="2160"/>
          </w:tcPr>
          <w:p>
            <w:r>
              <w:rPr>
                <w:rFonts w:ascii="Arial" w:hAnsi="Arial"/>
                <w:sz w:val="18"/>
              </w:rPr>
              <w:t>Measure central tendency</w:t>
            </w:r>
          </w:p>
        </w:tc>
        <w:tc>
          <w:tcPr>
            <w:tcW w:type="dxa" w:w="3888"/>
          </w:tcPr>
          <w:p>
            <w:r>
              <w:rPr>
                <w:rFonts w:ascii="Arial" w:hAnsi="Arial"/>
                <w:sz w:val="18"/>
              </w:rPr>
              <w:t>x̄ = (1/n)∑x_i</w:t>
            </w:r>
          </w:p>
        </w:tc>
        <w:tc>
          <w:tcPr>
            <w:tcW w:type="dxa" w:w="4752"/>
          </w:tcPr>
          <w:p>
            <w:r>
              <w:rPr>
                <w:rFonts w:ascii="Arial" w:hAnsi="Arial"/>
                <w:sz w:val="18"/>
              </w:rPr>
              <w:t>K = r (single event) or K̄ = mean of r across events in domain</w:t>
            </w:r>
          </w:p>
        </w:tc>
      </w:tr>
      <w:tr>
        <w:tc>
          <w:tcPr>
            <w:tcW w:type="dxa" w:w="2160"/>
          </w:tcPr>
          <w:p>
            <w:r>
              <w:rPr>
                <w:rFonts w:ascii="Arial" w:hAnsi="Arial"/>
                <w:sz w:val="18"/>
              </w:rPr>
              <w:t>Measure uncertainty band</w:t>
            </w:r>
          </w:p>
        </w:tc>
        <w:tc>
          <w:tcPr>
            <w:tcW w:type="dxa" w:w="3888"/>
          </w:tcPr>
          <w:p>
            <w:r>
              <w:rPr>
                <w:rFonts w:ascii="Arial" w:hAnsi="Arial"/>
                <w:sz w:val="18"/>
              </w:rPr>
              <w:t>E = z_c(σ/√n)</w:t>
            </w:r>
          </w:p>
        </w:tc>
        <w:tc>
          <w:tcPr>
            <w:tcW w:type="dxa" w:w="4752"/>
          </w:tcPr>
          <w:p>
            <w:r>
              <w:rPr>
                <w:rFonts w:ascii="Arial" w:hAnsi="Arial"/>
                <w:sz w:val="18"/>
              </w:rPr>
              <w:t>d = |K − 0.39|  (distance from attractor)</w:t>
            </w:r>
          </w:p>
        </w:tc>
      </w:tr>
      <w:tr>
        <w:tc>
          <w:tcPr>
            <w:tcW w:type="dxa" w:w="2160"/>
          </w:tcPr>
          <w:p>
            <w:r>
              <w:rPr>
                <w:rFonts w:ascii="Arial" w:hAnsi="Arial"/>
                <w:sz w:val="18"/>
              </w:rPr>
              <w:t>Construct interval</w:t>
            </w:r>
          </w:p>
        </w:tc>
        <w:tc>
          <w:tcPr>
            <w:tcW w:type="dxa" w:w="3888"/>
          </w:tcPr>
          <w:p>
            <w:r>
              <w:rPr>
                <w:rFonts w:ascii="Arial" w:hAnsi="Arial"/>
                <w:sz w:val="18"/>
              </w:rPr>
              <w:t>(x̄ − E, x̄ + E)</w:t>
            </w:r>
          </w:p>
        </w:tc>
        <w:tc>
          <w:tcPr>
            <w:tcW w:type="dxa" w:w="4752"/>
          </w:tcPr>
          <w:p>
            <w:r>
              <w:rPr>
                <w:rFonts w:ascii="Arial" w:hAnsi="Arial"/>
                <w:sz w:val="18"/>
              </w:rPr>
              <w:t>[0.30, 0.50)  structural band (fixed, not sample-dependent)</w:t>
            </w:r>
          </w:p>
        </w:tc>
      </w:tr>
      <w:tr>
        <w:tc>
          <w:tcPr>
            <w:tcW w:type="dxa" w:w="2160"/>
          </w:tcPr>
          <w:p>
            <w:r>
              <w:rPr>
                <w:rFonts w:ascii="Arial" w:hAnsi="Arial"/>
                <w:sz w:val="18"/>
              </w:rPr>
              <w:t>Classify result</w:t>
            </w:r>
          </w:p>
        </w:tc>
        <w:tc>
          <w:tcPr>
            <w:tcW w:type="dxa" w:w="3888"/>
          </w:tcPr>
          <w:p>
            <w:r>
              <w:rPr>
                <w:rFonts w:ascii="Arial" w:hAnsi="Arial"/>
                <w:sz w:val="18"/>
              </w:rPr>
              <w:t>Not applicable (CI does not classify)</w:t>
            </w:r>
          </w:p>
        </w:tc>
        <w:tc>
          <w:tcPr>
            <w:tcW w:type="dxa" w:w="4752"/>
          </w:tcPr>
          <w:p>
            <w:r>
              <w:rPr>
                <w:rFonts w:ascii="Arial" w:hAnsi="Arial"/>
                <w:sz w:val="18"/>
              </w:rPr>
              <w:t>K &lt; 0.30: SUBORDINATED</w:t>
              <w:br/>
              <w:t>0.30 ≤ K &lt; 0.50: STRUCTURAL</w:t>
              <w:br/>
              <w:t xml:space="preserve"> K ≥ 0.50: DOMINANT</w:t>
            </w:r>
          </w:p>
        </w:tc>
      </w:tr>
      <w:tr>
        <w:tc>
          <w:tcPr>
            <w:tcW w:type="dxa" w:w="2160"/>
          </w:tcPr>
          <w:p>
            <w:r>
              <w:rPr>
                <w:rFonts w:ascii="Arial" w:hAnsi="Arial"/>
                <w:sz w:val="18"/>
              </w:rPr>
              <w:t>Determine required observations</w:t>
            </w:r>
          </w:p>
        </w:tc>
        <w:tc>
          <w:tcPr>
            <w:tcW w:type="dxa" w:w="3888"/>
          </w:tcPr>
          <w:p>
            <w:r>
              <w:rPr>
                <w:rFonts w:ascii="Arial" w:hAnsi="Arial"/>
                <w:sz w:val="18"/>
              </w:rPr>
              <w:t>n = (z_cσ/E)²</w:t>
            </w:r>
          </w:p>
        </w:tc>
        <w:tc>
          <w:tcPr>
            <w:tcW w:type="dxa" w:w="4752"/>
          </w:tcPr>
          <w:p>
            <w:r>
              <w:rPr>
                <w:rFonts w:ascii="Arial" w:hAnsi="Arial"/>
                <w:sz w:val="18"/>
              </w:rPr>
              <w:t>Not applicable (cycle_length is domain-given)</w:t>
            </w:r>
          </w:p>
        </w:tc>
      </w:tr>
      <w:tr>
        <w:tc>
          <w:tcPr>
            <w:tcW w:type="dxa" w:w="2160"/>
          </w:tcPr>
          <w:p>
            <w:r>
              <w:rPr>
                <w:rFonts w:ascii="Arial" w:hAnsi="Arial"/>
                <w:sz w:val="18"/>
              </w:rPr>
              <w:t>Test against null</w:t>
            </w:r>
          </w:p>
        </w:tc>
        <w:tc>
          <w:tcPr>
            <w:tcW w:type="dxa" w:w="3888"/>
          </w:tcPr>
          <w:p>
            <w:r>
              <w:rPr>
                <w:rFonts w:ascii="Arial" w:hAnsi="Arial"/>
                <w:sz w:val="18"/>
              </w:rPr>
              <w:t>z = (x̄ − μ₀) / (σ/√n)</w:t>
            </w:r>
          </w:p>
        </w:tc>
        <w:tc>
          <w:tcPr>
            <w:tcW w:type="dxa" w:w="4752"/>
          </w:tcPr>
          <w:p>
            <w:r>
              <w:rPr>
                <w:rFonts w:ascii="Arial" w:hAnsi="Arial"/>
                <w:sz w:val="18"/>
              </w:rPr>
              <w:t>Permutation test: P(variance ≤ observed | random assignment) = 0.00e+00</w:t>
            </w:r>
          </w:p>
        </w:tc>
      </w:tr>
      <w:tr>
        <w:tc>
          <w:tcPr>
            <w:tcW w:type="dxa" w:w="2160"/>
          </w:tcPr>
          <w:p>
            <w:r>
              <w:rPr>
                <w:rFonts w:ascii="Arial" w:hAnsi="Arial"/>
                <w:sz w:val="18"/>
              </w:rPr>
              <w:t>Ground state / attractor</w:t>
            </w:r>
          </w:p>
        </w:tc>
        <w:tc>
          <w:tcPr>
            <w:tcW w:type="dxa" w:w="3888"/>
          </w:tcPr>
          <w:p>
            <w:r>
              <w:rPr>
                <w:rFonts w:ascii="Arial" w:hAnsi="Arial"/>
                <w:sz w:val="18"/>
              </w:rPr>
              <w:t>Not applicable</w:t>
            </w:r>
          </w:p>
        </w:tc>
        <w:tc>
          <w:tcPr>
            <w:tcW w:type="dxa" w:w="4752"/>
          </w:tcPr>
          <w:p>
            <w:r>
              <w:rPr>
                <w:rFonts w:ascii="Arial" w:hAnsi="Arial"/>
                <w:sz w:val="18"/>
              </w:rPr>
              <w:t>λ₀ = 0.39 (eigenvalue of constraint Hamiltonian H)</w:t>
            </w:r>
          </w:p>
        </w:tc>
      </w:tr>
    </w:tbl>
    <w:p/>
    <w:p>
      <w:pPr>
        <w:pStyle w:val="Heading1"/>
      </w:pPr>
      <w:r>
        <w:t>4. FALSE EQUIVALENCES TO AVOID IN PATENT LANGUAGE</w:t>
      </w:r>
    </w:p>
    <w:p>
      <w:r>
        <w:rPr>
          <w:b/>
          <w:sz w:val="20"/>
        </w:rPr>
        <w:t xml:space="preserve">E ≠ K(t):  </w:t>
      </w:r>
      <w:r>
        <w:rPr>
          <w:sz w:val="20"/>
        </w:rPr>
        <w:t>E is a margin of error that shrinks as sample size grows. K(t) is a structural ratio that converges to 0.39 regardless of sample size. Do not describe K(t) as a margin of error or confidence band.</w:t>
      </w:r>
    </w:p>
    <w:p>
      <w:r>
        <w:rPr>
          <w:b/>
          <w:sz w:val="20"/>
        </w:rPr>
        <w:t xml:space="preserve">CI ≠ Structural Band:  </w:t>
      </w:r>
      <w:r>
        <w:rPr>
          <w:sz w:val="20"/>
        </w:rPr>
        <w:t>A confidence interval is centered on a sample mean and depends on n, σ, and confidence level. The structural band [0.30, 0.50) is fixed across all domains and sample sizes. Do not describe the structural band as "the confidence interval of the attractor."</w:t>
      </w:r>
    </w:p>
    <w:p>
      <w:r>
        <w:rPr>
          <w:b/>
          <w:sz w:val="20"/>
        </w:rPr>
        <w:t xml:space="preserve">z_c ≠ Zone Boundaries:  </w:t>
      </w:r>
      <w:r>
        <w:rPr>
          <w:sz w:val="20"/>
        </w:rPr>
        <w:t>Critical values come from the standard normal distribution and scale with confidence level. The 0.30/0.50 zone boundaries are not derived from z-scores. Do not cite z_c as the source of band thresholds.</w:t>
      </w:r>
    </w:p>
    <w:p>
      <w:r>
        <w:rPr>
          <w:b/>
          <w:sz w:val="20"/>
        </w:rPr>
        <w:t xml:space="preserve">σ ≠ Cross-Dataset SD:  </w:t>
      </w:r>
      <w:r>
        <w:rPr>
          <w:sz w:val="20"/>
        </w:rPr>
        <w:t>Population σ is a parameter of a single distribution. The 0.019778 SD across 12 structural constants measures cross-domain clustering. They are different objects operating at different levels of analysis.</w:t>
      </w:r>
    </w:p>
    <w:p>
      <w:r>
        <w:rPr>
          <w:b/>
          <w:sz w:val="20"/>
        </w:rPr>
        <w:t xml:space="preserve">Sampling Error ≠ Structural Residual:  </w:t>
      </w:r>
      <w:r>
        <w:rPr>
          <w:sz w:val="20"/>
        </w:rPr>
        <w:t>Sampling error (x̄ − μ) assumes random draw from a population. Structural residual (K − 0.39) measures deviation from a predicted attractor under constraint. The generating processes are different.</w:t>
      </w:r>
    </w:p>
    <w:p/>
    <w:p>
      <w:pPr>
        <w:pStyle w:val="Heading1"/>
      </w:pPr>
      <w:r>
        <w:t>5. LEGITIMATE BRIDGES</w:t>
      </w:r>
    </w:p>
    <w:p>
      <w:r>
        <w:rPr>
          <w:b/>
          <w:sz w:val="20"/>
        </w:rPr>
        <w:t xml:space="preserve">95% CI of structural mean [0.3798, 0.4022]:  </w:t>
      </w:r>
      <w:r>
        <w:rPr>
          <w:sz w:val="20"/>
        </w:rPr>
        <w:t>This IS a legitimate confidence interval. It uses the standard formula applied to the 12 structural constants. The patent can cite this to show that the attractor is statistically distinguishable from 0.50 (random parity) and from 0.00 (full subordination).</w:t>
      </w:r>
    </w:p>
    <w:p>
      <w:r>
        <w:rPr>
          <w:b/>
          <w:sz w:val="20"/>
        </w:rPr>
        <w:t xml:space="preserve">Permutation test (p = 0.00e+00):  </w:t>
      </w:r>
      <w:r>
        <w:rPr>
          <w:sz w:val="20"/>
        </w:rPr>
        <w:t>Standard nonparametric test. The patent can cite this to show that the clustering of 12 constants near 0.39 would not occur under random assignment.</w:t>
      </w:r>
    </w:p>
    <w:p>
      <w:r>
        <w:rPr>
          <w:b/>
          <w:sz w:val="20"/>
        </w:rPr>
        <w:t xml:space="preserve">t-test: μ = 0.39 (p = 0.8652):  </w:t>
      </w:r>
      <w:r>
        <w:rPr>
          <w:sz w:val="20"/>
        </w:rPr>
        <w:t>Standard one-sample t-test. The patent can cite this to show that the mean structural constant is consistent with the predicted value of 0.39. High p-value supports the claim, not refutes it.</w:t>
      </w:r>
    </w:p>
    <w:p>
      <w:r>
        <w:rPr>
          <w:b/>
          <w:sz w:val="20"/>
        </w:rPr>
        <w:t xml:space="preserve">KS test (D = 0.5627, p = 0.0004):  </w:t>
      </w:r>
      <w:r>
        <w:rPr>
          <w:sz w:val="20"/>
        </w:rPr>
        <w:t>Standard distribution test. The patent can cite this to show that the structural constants do not follow a uniform distribution.</w:t>
      </w:r>
    </w:p>
    <w:p>
      <w:r>
        <w:rPr>
          <w:b/>
          <w:sz w:val="20"/>
        </w:rPr>
        <w:t xml:space="preserve">Minimum sample size reasoning:  </w:t>
      </w:r>
      <w:r>
        <w:rPr>
          <w:sz w:val="20"/>
        </w:rPr>
        <w:t>The formula n = (z_cσ/E)² is not used inside Glyph, but the patent can reference it externally to argue that 12 datasets with the observed SD provide sufficient power to detect the claimed clustering.</w:t>
      </w:r>
    </w:p>
    <w:p/>
    <w:p>
      <w:pPr>
        <w:pStyle w:val="Heading1"/>
      </w:pPr>
      <w:r>
        <w:t>6. PATENT VOCABULARY LOCKED</w:t>
      </w:r>
    </w:p>
    <w:tbl>
      <w:tblPr>
        <w:tblStyle w:val="TableGrid"/>
        <w:tblW w:type="auto" w:w="0"/>
        <w:jc w:val="center"/>
        <w:tblLook w:firstColumn="1" w:firstRow="1" w:lastColumn="0" w:lastRow="0" w:noHBand="0" w:noVBand="1" w:val="04A0"/>
      </w:tblPr>
      <w:tblGrid>
        <w:gridCol w:w="3120"/>
        <w:gridCol w:w="3120"/>
        <w:gridCol w:w="3120"/>
      </w:tblGrid>
      <w:tr>
        <w:tc>
          <w:tcPr>
            <w:tcW w:type="dxa" w:w="2880"/>
          </w:tcPr>
          <w:p>
            <w:r>
              <w:rPr>
                <w:rFonts w:ascii="Arial" w:hAnsi="Arial"/>
                <w:b/>
                <w:sz w:val="18"/>
              </w:rPr>
              <w:t>Stats Term (Do Not Use in Claims)</w:t>
            </w:r>
          </w:p>
        </w:tc>
        <w:tc>
          <w:tcPr>
            <w:tcW w:type="dxa" w:w="3600"/>
          </w:tcPr>
          <w:p>
            <w:r>
              <w:rPr>
                <w:rFonts w:ascii="Arial" w:hAnsi="Arial"/>
                <w:b/>
                <w:sz w:val="18"/>
              </w:rPr>
              <w:t>Patent Term (Use This)</w:t>
            </w:r>
          </w:p>
        </w:tc>
        <w:tc>
          <w:tcPr>
            <w:tcW w:type="dxa" w:w="4320"/>
          </w:tcPr>
          <w:p>
            <w:r>
              <w:rPr>
                <w:rFonts w:ascii="Arial" w:hAnsi="Arial"/>
                <w:b/>
                <w:sz w:val="18"/>
              </w:rPr>
              <w:t>Why</w:t>
            </w:r>
          </w:p>
        </w:tc>
      </w:tr>
      <w:tr>
        <w:tc>
          <w:tcPr>
            <w:tcW w:type="dxa" w:w="2880"/>
          </w:tcPr>
          <w:p>
            <w:r>
              <w:rPr>
                <w:rFonts w:ascii="Arial" w:hAnsi="Arial"/>
                <w:sz w:val="18"/>
              </w:rPr>
              <w:t>sample mean</w:t>
            </w:r>
          </w:p>
        </w:tc>
        <w:tc>
          <w:tcPr>
            <w:tcW w:type="dxa" w:w="3600"/>
          </w:tcPr>
          <w:p>
            <w:r>
              <w:rPr>
                <w:rFonts w:ascii="Arial" w:hAnsi="Arial"/>
                <w:sz w:val="18"/>
              </w:rPr>
              <w:t>observed clustering ratio</w:t>
            </w:r>
          </w:p>
        </w:tc>
        <w:tc>
          <w:tcPr>
            <w:tcW w:type="dxa" w:w="4320"/>
          </w:tcPr>
          <w:p>
            <w:r>
              <w:rPr>
                <w:rFonts w:ascii="Arial" w:hAnsi="Arial"/>
                <w:sz w:val="18"/>
              </w:rPr>
              <w:t>K is a ratio, not a sample average</w:t>
            </w:r>
          </w:p>
        </w:tc>
      </w:tr>
      <w:tr>
        <w:tc>
          <w:tcPr>
            <w:tcW w:type="dxa" w:w="2880"/>
          </w:tcPr>
          <w:p>
            <w:r>
              <w:rPr>
                <w:rFonts w:ascii="Arial" w:hAnsi="Arial"/>
                <w:sz w:val="18"/>
              </w:rPr>
              <w:t>population mean</w:t>
            </w:r>
          </w:p>
        </w:tc>
        <w:tc>
          <w:tcPr>
            <w:tcW w:type="dxa" w:w="3600"/>
          </w:tcPr>
          <w:p>
            <w:r>
              <w:rPr>
                <w:rFonts w:ascii="Arial" w:hAnsi="Arial"/>
                <w:sz w:val="18"/>
              </w:rPr>
              <w:t>structural constant / structural attractor</w:t>
            </w:r>
          </w:p>
        </w:tc>
        <w:tc>
          <w:tcPr>
            <w:tcW w:type="dxa" w:w="4320"/>
          </w:tcPr>
          <w:p>
            <w:r>
              <w:rPr>
                <w:rFonts w:ascii="Arial" w:hAnsi="Arial"/>
                <w:sz w:val="18"/>
              </w:rPr>
              <w:t>0.39 is predicted by the system, not estimated from a population</w:t>
            </w:r>
          </w:p>
        </w:tc>
      </w:tr>
      <w:tr>
        <w:tc>
          <w:tcPr>
            <w:tcW w:type="dxa" w:w="2880"/>
          </w:tcPr>
          <w:p>
            <w:r>
              <w:rPr>
                <w:rFonts w:ascii="Arial" w:hAnsi="Arial"/>
                <w:sz w:val="18"/>
              </w:rPr>
              <w:t>margin of error</w:t>
            </w:r>
          </w:p>
        </w:tc>
        <w:tc>
          <w:tcPr>
            <w:tcW w:type="dxa" w:w="3600"/>
          </w:tcPr>
          <w:p>
            <w:r>
              <w:rPr>
                <w:rFonts w:ascii="Arial" w:hAnsi="Arial"/>
                <w:sz w:val="18"/>
              </w:rPr>
              <w:t>deviation magnitude / distance from attractor</w:t>
            </w:r>
          </w:p>
        </w:tc>
        <w:tc>
          <w:tcPr>
            <w:tcW w:type="dxa" w:w="4320"/>
          </w:tcPr>
          <w:p>
            <w:r>
              <w:rPr>
                <w:rFonts w:ascii="Arial" w:hAnsi="Arial"/>
                <w:sz w:val="18"/>
              </w:rPr>
              <w:t>E depends on sample size; d depends on structural constraint</w:t>
            </w:r>
          </w:p>
        </w:tc>
      </w:tr>
      <w:tr>
        <w:tc>
          <w:tcPr>
            <w:tcW w:type="dxa" w:w="2880"/>
          </w:tcPr>
          <w:p>
            <w:r>
              <w:rPr>
                <w:rFonts w:ascii="Arial" w:hAnsi="Arial"/>
                <w:sz w:val="18"/>
              </w:rPr>
              <w:t>confidence interval</w:t>
            </w:r>
          </w:p>
        </w:tc>
        <w:tc>
          <w:tcPr>
            <w:tcW w:type="dxa" w:w="3600"/>
          </w:tcPr>
          <w:p>
            <w:r>
              <w:rPr>
                <w:rFonts w:ascii="Arial" w:hAnsi="Arial"/>
                <w:sz w:val="18"/>
              </w:rPr>
              <w:t>structural classification band</w:t>
            </w:r>
          </w:p>
        </w:tc>
        <w:tc>
          <w:tcPr>
            <w:tcW w:type="dxa" w:w="4320"/>
          </w:tcPr>
          <w:p>
            <w:r>
              <w:rPr>
                <w:rFonts w:ascii="Arial" w:hAnsi="Arial"/>
                <w:sz w:val="18"/>
              </w:rPr>
              <w:t>The band is fixed [0.30, 0.50), not recalculated per sample</w:t>
            </w:r>
          </w:p>
        </w:tc>
      </w:tr>
      <w:tr>
        <w:tc>
          <w:tcPr>
            <w:tcW w:type="dxa" w:w="2880"/>
          </w:tcPr>
          <w:p>
            <w:r>
              <w:rPr>
                <w:rFonts w:ascii="Arial" w:hAnsi="Arial"/>
                <w:sz w:val="18"/>
              </w:rPr>
              <w:t>sample size</w:t>
            </w:r>
          </w:p>
        </w:tc>
        <w:tc>
          <w:tcPr>
            <w:tcW w:type="dxa" w:w="3600"/>
          </w:tcPr>
          <w:p>
            <w:r>
              <w:rPr>
                <w:rFonts w:ascii="Arial" w:hAnsi="Arial"/>
                <w:sz w:val="18"/>
              </w:rPr>
              <w:t>cycle length</w:t>
            </w:r>
          </w:p>
        </w:tc>
        <w:tc>
          <w:tcPr>
            <w:tcW w:type="dxa" w:w="4320"/>
          </w:tcPr>
          <w:p>
            <w:r>
              <w:rPr>
                <w:rFonts w:ascii="Arial" w:hAnsi="Arial"/>
                <w:sz w:val="18"/>
              </w:rPr>
              <w:t>n in stats is chosen; cycle_length in Glyph is domain-given</w:t>
            </w:r>
          </w:p>
        </w:tc>
      </w:tr>
      <w:tr>
        <w:tc>
          <w:tcPr>
            <w:tcW w:type="dxa" w:w="2880"/>
          </w:tcPr>
          <w:p>
            <w:r>
              <w:rPr>
                <w:rFonts w:ascii="Arial" w:hAnsi="Arial"/>
                <w:sz w:val="18"/>
              </w:rPr>
              <w:t>critical value</w:t>
            </w:r>
          </w:p>
        </w:tc>
        <w:tc>
          <w:tcPr>
            <w:tcW w:type="dxa" w:w="3600"/>
          </w:tcPr>
          <w:p>
            <w:r>
              <w:rPr>
                <w:rFonts w:ascii="Arial" w:hAnsi="Arial"/>
                <w:sz w:val="18"/>
              </w:rPr>
              <w:t>zone threshold</w:t>
            </w:r>
          </w:p>
        </w:tc>
        <w:tc>
          <w:tcPr>
            <w:tcW w:type="dxa" w:w="4320"/>
          </w:tcPr>
          <w:p>
            <w:r>
              <w:rPr>
                <w:rFonts w:ascii="Arial" w:hAnsi="Arial"/>
                <w:sz w:val="18"/>
              </w:rPr>
              <w:t>0.30 and 0.50 are structural boundaries, not z-scores</w:t>
            </w:r>
          </w:p>
        </w:tc>
      </w:tr>
      <w:tr>
        <w:tc>
          <w:tcPr>
            <w:tcW w:type="dxa" w:w="2880"/>
          </w:tcPr>
          <w:p>
            <w:r>
              <w:rPr>
                <w:rFonts w:ascii="Arial" w:hAnsi="Arial"/>
                <w:sz w:val="18"/>
              </w:rPr>
              <w:t>standard deviation</w:t>
            </w:r>
          </w:p>
        </w:tc>
        <w:tc>
          <w:tcPr>
            <w:tcW w:type="dxa" w:w="3600"/>
          </w:tcPr>
          <w:p>
            <w:r>
              <w:rPr>
                <w:rFonts w:ascii="Arial" w:hAnsi="Arial"/>
                <w:sz w:val="18"/>
              </w:rPr>
              <w:t>cross-domain clustering bandwidth</w:t>
            </w:r>
          </w:p>
        </w:tc>
        <w:tc>
          <w:tcPr>
            <w:tcW w:type="dxa" w:w="4320"/>
          </w:tcPr>
          <w:p>
            <w:r>
              <w:rPr>
                <w:rFonts w:ascii="Arial" w:hAnsi="Arial"/>
                <w:sz w:val="18"/>
              </w:rPr>
              <w:t>0.019778 measures convergence across domains, not spread within one</w:t>
            </w:r>
          </w:p>
        </w:tc>
      </w:tr>
      <w:tr>
        <w:tc>
          <w:tcPr>
            <w:tcW w:type="dxa" w:w="2880"/>
          </w:tcPr>
          <w:p>
            <w:r>
              <w:rPr>
                <w:rFonts w:ascii="Arial" w:hAnsi="Arial"/>
                <w:sz w:val="18"/>
              </w:rPr>
              <w:t>null hypothesis</w:t>
            </w:r>
          </w:p>
        </w:tc>
        <w:tc>
          <w:tcPr>
            <w:tcW w:type="dxa" w:w="3600"/>
          </w:tcPr>
          <w:p>
            <w:r>
              <w:rPr>
                <w:rFonts w:ascii="Arial" w:hAnsi="Arial"/>
                <w:sz w:val="18"/>
              </w:rPr>
              <w:t>random-process null</w:t>
            </w:r>
          </w:p>
        </w:tc>
        <w:tc>
          <w:tcPr>
            <w:tcW w:type="dxa" w:w="4320"/>
          </w:tcPr>
          <w:p>
            <w:r>
              <w:rPr>
                <w:rFonts w:ascii="Arial" w:hAnsi="Arial"/>
                <w:sz w:val="18"/>
              </w:rPr>
              <w:t>Patent tests whether structural constants could arise from unstructured processes</w:t>
            </w:r>
          </w:p>
        </w:tc>
      </w:tr>
      <w:tr>
        <w:tc>
          <w:tcPr>
            <w:tcW w:type="dxa" w:w="2880"/>
          </w:tcPr>
          <w:p>
            <w:r>
              <w:rPr>
                <w:rFonts w:ascii="Arial" w:hAnsi="Arial"/>
                <w:sz w:val="18"/>
              </w:rPr>
              <w:t>sampling error</w:t>
            </w:r>
          </w:p>
        </w:tc>
        <w:tc>
          <w:tcPr>
            <w:tcW w:type="dxa" w:w="3600"/>
          </w:tcPr>
          <w:p>
            <w:r>
              <w:rPr>
                <w:rFonts w:ascii="Arial" w:hAnsi="Arial"/>
                <w:sz w:val="18"/>
              </w:rPr>
              <w:t>structural residual</w:t>
            </w:r>
          </w:p>
        </w:tc>
        <w:tc>
          <w:tcPr>
            <w:tcW w:type="dxa" w:w="4320"/>
          </w:tcPr>
          <w:p>
            <w:r>
              <w:rPr>
                <w:rFonts w:ascii="Arial" w:hAnsi="Arial"/>
                <w:sz w:val="18"/>
              </w:rPr>
              <w:t>Different generating process assumption</w:t>
            </w:r>
          </w:p>
        </w:tc>
      </w:tr>
      <w:tr>
        <w:tc>
          <w:tcPr>
            <w:tcW w:type="dxa" w:w="2880"/>
          </w:tcPr>
          <w:p>
            <w:r>
              <w:rPr>
                <w:rFonts w:ascii="Arial" w:hAnsi="Arial"/>
                <w:sz w:val="18"/>
              </w:rPr>
              <w:t>significance level</w:t>
            </w:r>
          </w:p>
        </w:tc>
        <w:tc>
          <w:tcPr>
            <w:tcW w:type="dxa" w:w="3600"/>
          </w:tcPr>
          <w:p>
            <w:r>
              <w:rPr>
                <w:rFonts w:ascii="Arial" w:hAnsi="Arial"/>
                <w:sz w:val="18"/>
              </w:rPr>
              <w:t>rejection threshold</w:t>
            </w:r>
          </w:p>
        </w:tc>
        <w:tc>
          <w:tcPr>
            <w:tcW w:type="dxa" w:w="4320"/>
          </w:tcPr>
          <w:p>
            <w:r>
              <w:rPr>
                <w:rFonts w:ascii="Arial" w:hAnsi="Arial"/>
                <w:sz w:val="18"/>
              </w:rPr>
              <w:t>Same concept, cleaner patent language</w:t>
            </w:r>
          </w:p>
        </w:tc>
      </w:tr>
    </w:tbl>
    <w:p/>
    <w:p>
      <w:pPr>
        <w:pStyle w:val="Heading1"/>
      </w:pPr>
      <w:r>
        <w:t>7. EQUATIONS TO REFERENCE IN PATENT (EXTERNAL VALIDATION)</w:t>
      </w:r>
    </w:p>
    <w:p>
      <w:pPr>
        <w:pStyle w:val="ListBullet"/>
      </w:pPr>
      <w:r>
        <w:rPr>
          <w:rFonts w:ascii="Arial" w:hAnsi="Arial"/>
          <w:sz w:val="20"/>
        </w:rPr>
        <w:t>CI for structural mean:  X̄ ± t_c(s/√n) = 0.390992 ± t_0.025(0.019778/√12) = [0.3798, 0.4022]</w:t>
      </w:r>
    </w:p>
    <w:p>
      <w:pPr>
        <w:pStyle w:val="ListBullet"/>
      </w:pPr>
      <w:r>
        <w:rPr>
          <w:rFonts w:ascii="Arial" w:hAnsi="Arial"/>
          <w:sz w:val="20"/>
        </w:rPr>
        <w:t>Permutation test:  P(SD ≤ 0.019778 | random draw from per-dataset nulls) &lt; 10⁻¹⁰</w:t>
      </w:r>
    </w:p>
    <w:p>
      <w:pPr>
        <w:pStyle w:val="ListBullet"/>
      </w:pPr>
      <w:r>
        <w:rPr>
          <w:rFonts w:ascii="Arial" w:hAnsi="Arial"/>
          <w:sz w:val="20"/>
        </w:rPr>
        <w:t>One-sample t-test:  t = (0.390992 − 0.39) / (0.019778/√12) = 0.1738, p = 0.8652</w:t>
      </w:r>
    </w:p>
    <w:p>
      <w:pPr>
        <w:pStyle w:val="ListBullet"/>
      </w:pPr>
      <w:r>
        <w:rPr>
          <w:rFonts w:ascii="Arial" w:hAnsi="Arial"/>
          <w:sz w:val="20"/>
        </w:rPr>
        <w:t>KS test:  D = 0.5627, p = 0.0004 (structural constants ≠ Uniform[0,1])</w:t>
      </w:r>
    </w:p>
    <w:p>
      <w:pPr>
        <w:pStyle w:val="ListBullet"/>
      </w:pPr>
      <w:r>
        <w:rPr>
          <w:rFonts w:ascii="Arial" w:hAnsi="Arial"/>
          <w:sz w:val="20"/>
        </w:rPr>
        <w:t>Levene test:  W = 6.5401, p = 0.0180 (structural variance &lt; random variance)</w:t>
      </w:r>
    </w:p>
    <w:p/>
    <w:p>
      <w:pPr>
        <w:jc w:val="center"/>
      </w:pPr>
      <w:r>
        <w:rPr>
          <w:rFonts w:ascii="Arial" w:hAnsi="Arial"/>
          <w:color w:val="999999"/>
          <w:sz w:val="16"/>
        </w:rPr>
        <w:t>GLYPH KITCHEN — QmPYcVJCV8277 Adjacent</w:t>
      </w:r>
    </w:p>
    <w:p>
      <w:pPr>
        <w:jc w:val="center"/>
      </w:pPr>
      <w:r>
        <w:rPr>
          <w:rFonts w:ascii="Arial" w:hAnsi="Arial"/>
          <w:color w:val="999999"/>
          <w:sz w:val="16"/>
        </w:rPr>
        <w:t>This document is a working reference for patent claim drafting. Section classification: Glyph Kitchen (developmental). Protection level: internal.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