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RESEARCH PARTNER MEMO</w:t>
      </w:r>
    </w:p>
    <w:p>
      <w:pPr>
        <w:jc w:val="center"/>
      </w:pPr>
      <w:r>
        <w:rPr>
          <w:rFonts w:ascii="Times New Roman" w:hAnsi="Times New Roman"/>
          <w:b w:val="0"/>
          <w:sz w:val="22"/>
        </w:rPr>
        <w:t>Patent Assessment: Glyph Constraint Detection System</w:t>
      </w:r>
    </w:p>
    <w:p>
      <w:pPr>
        <w:jc w:val="center"/>
      </w:pPr>
      <w:r>
        <w:rPr>
          <w:rFonts w:ascii="Times New Roman" w:hAnsi="Times New Roman"/>
          <w:b w:val="0"/>
          <w:sz w:val="22"/>
        </w:rPr>
        <w:t>Date: April 02, 2026</w:t>
      </w:r>
    </w:p>
    <w:p>
      <w:pPr>
        <w:jc w:val="center"/>
      </w:pPr>
      <w:r>
        <w:rPr>
          <w:rFonts w:ascii="Times New Roman" w:hAnsi="Times New Roman"/>
          <w:b w:val="0"/>
          <w:sz w:val="22"/>
        </w:rPr>
        <w:t>Classification: QmPYcVJCV8277 — RESTRICTED</w:t>
      </w:r>
    </w:p>
    <w:p/>
    <w:p>
      <w:pPr>
        <w:jc w:val="left"/>
      </w:pPr>
      <w:r>
        <w:rPr>
          <w:rFonts w:ascii="Times New Roman" w:hAnsi="Times New Roman"/>
          <w:b w:val="0"/>
          <w:sz w:val="22"/>
        </w:rPr>
        <w:t>Subject: Provisional Patent Application — Post-Draft Assessment</w:t>
      </w:r>
    </w:p>
    <w:p>
      <w:r>
        <w:rPr>
          <w:rFonts w:ascii="Times New Roman" w:hAnsi="Times New Roman"/>
          <w:b w:val="0"/>
          <w:sz w:val="22"/>
        </w:rPr>
        <w:t>Inventor: Jair Valley / Heyer Livin LLC</w:t>
      </w:r>
    </w:p>
    <w:p>
      <w:r>
        <w:rPr>
          <w:rFonts w:ascii="Times New Roman" w:hAnsi="Times New Roman"/>
          <w:b w:val="0"/>
          <w:sz w:val="22"/>
        </w:rPr>
        <w:t>Document Under Review: PROVISIONAL_PATENT_APPLICATION_Glyph_Constraint_System.docx</w:t>
      </w:r>
    </w:p>
    <w:p>
      <w:r>
        <w:rPr>
          <w:rFonts w:ascii="Times New Roman" w:hAnsi="Times New Roman"/>
          <w:b w:val="0"/>
          <w:sz w:val="22"/>
        </w:rPr>
        <w:t>Purpose: Identify strengths, vulnerabilities, missing support materials, and exact revision priorities for the next filing layer.</w:t>
      </w:r>
    </w:p>
    <w:p>
      <w:r>
        <w:br w:type="page"/>
      </w:r>
    </w:p>
    <w:p>
      <w:pPr>
        <w:pStyle w:val="Heading1"/>
      </w:pPr>
      <w:r>
        <w:rPr>
          <w:rFonts w:ascii="Times New Roman" w:hAnsi="Times New Roman"/>
          <w:color w:val="000000"/>
        </w:rPr>
        <w:t>SECTION 1 — STRENGTHS</w:t>
      </w:r>
    </w:p>
    <w:p>
      <w:pPr>
        <w:pStyle w:val="Heading2"/>
      </w:pPr>
      <w:r>
        <w:rPr>
          <w:rFonts w:ascii="Times New Roman" w:hAnsi="Times New Roman"/>
          <w:color w:val="000000"/>
        </w:rPr>
        <w:t>1.1 System Layering</w:t>
      </w:r>
    </w:p>
    <w:p>
      <w:r>
        <w:rPr>
          <w:rFonts w:ascii="Times New Roman" w:hAnsi="Times New Roman"/>
          <w:b w:val="0"/>
          <w:sz w:val="22"/>
        </w:rPr>
        <w:t>The draft builds a full stack: formula → framework → zone logic → simulation → event record architecture → convergence proof → epsilon residual → quantum extension. This creates the shape of a platform rather than a single observation. In filing terms, it presents an integrated method-and-system family rather than an abstract mathematical statement.</w:t>
      </w:r>
    </w:p>
    <w:p>
      <w:pPr>
        <w:pStyle w:val="Heading2"/>
      </w:pPr>
      <w:r>
        <w:rPr>
          <w:rFonts w:ascii="Times New Roman" w:hAnsi="Times New Roman"/>
          <w:color w:val="000000"/>
        </w:rPr>
        <w:t>1.2 Operational Machinery</w:t>
      </w:r>
    </w:p>
    <w:p>
      <w:r>
        <w:rPr>
          <w:rFonts w:ascii="Times New Roman" w:hAnsi="Times New Roman"/>
          <w:b w:val="0"/>
          <w:sz w:val="22"/>
        </w:rPr>
        <w:t>The strongest protected material is not the broad language. It is the operational machinery:</w:t>
      </w:r>
    </w:p>
    <w:p>
      <w:pPr>
        <w:ind w:left="360"/>
      </w:pPr>
      <w:r>
        <w:rPr>
          <w:rFonts w:ascii="Times New Roman" w:hAnsi="Times New Roman"/>
          <w:b/>
          <w:sz w:val="22"/>
        </w:rPr>
        <w:t xml:space="preserve">Ratio form: </w:t>
      </w:r>
      <w:r>
        <w:rPr>
          <w:rFonts w:ascii="Times New Roman" w:hAnsi="Times New Roman"/>
          <w:sz w:val="22"/>
        </w:rPr>
        <w:t>K(t) = x(a,b,c) / [x(a,b,c) + y(a,b,c)²] — specific, computable, asymmetric by construction</w:t>
      </w:r>
    </w:p>
    <w:p>
      <w:pPr>
        <w:ind w:left="360"/>
      </w:pPr>
      <w:r>
        <w:rPr>
          <w:rFonts w:ascii="Times New Roman" w:hAnsi="Times New Roman"/>
          <w:b/>
          <w:sz w:val="22"/>
        </w:rPr>
        <w:t xml:space="preserve">Zone classification: </w:t>
      </w:r>
      <w:r>
        <w:rPr>
          <w:rFonts w:ascii="Times New Roman" w:hAnsi="Times New Roman"/>
          <w:sz w:val="22"/>
        </w:rPr>
        <w:t>Three zones with explicit thresholds (0.30, 0.49, 0.50) — deterministic classification</w:t>
      </w:r>
    </w:p>
    <w:p>
      <w:pPr>
        <w:ind w:left="360"/>
      </w:pPr>
      <w:r>
        <w:rPr>
          <w:rFonts w:ascii="Times New Roman" w:hAnsi="Times New Roman"/>
          <w:b/>
          <w:sz w:val="22"/>
        </w:rPr>
        <w:t xml:space="preserve">Zone-dependent operations: </w:t>
      </w:r>
      <w:r>
        <w:rPr>
          <w:rFonts w:ascii="Times New Roman" w:hAnsi="Times New Roman"/>
          <w:sz w:val="22"/>
        </w:rPr>
        <w:t>Dual computation in STRUCTURAL zone — novel operational logic</w:t>
      </w:r>
    </w:p>
    <w:p>
      <w:pPr>
        <w:ind w:left="360"/>
      </w:pPr>
      <w:r>
        <w:rPr>
          <w:rFonts w:ascii="Times New Roman" w:hAnsi="Times New Roman"/>
          <w:b/>
          <w:sz w:val="22"/>
        </w:rPr>
        <w:t xml:space="preserve">Simulation procedure: </w:t>
      </w:r>
      <w:r>
        <w:rPr>
          <w:rFonts w:ascii="Times New Roman" w:hAnsi="Times New Roman"/>
          <w:sz w:val="22"/>
        </w:rPr>
        <w:t>Glyph-8: N trials × M games, clustering_ratio = event_position / cycle_length — reproducible</w:t>
      </w:r>
    </w:p>
    <w:p>
      <w:pPr>
        <w:ind w:left="360"/>
      </w:pPr>
      <w:r>
        <w:rPr>
          <w:rFonts w:ascii="Times New Roman" w:hAnsi="Times New Roman"/>
          <w:b/>
          <w:sz w:val="22"/>
        </w:rPr>
        <w:t xml:space="preserve">Event record architecture: </w:t>
      </w:r>
      <w:r>
        <w:rPr>
          <w:rFonts w:ascii="Times New Roman" w:hAnsi="Times New Roman"/>
          <w:sz w:val="22"/>
        </w:rPr>
        <w:t>Schema-validated JSON artifacts with convergence band classification — standardized output</w:t>
      </w:r>
    </w:p>
    <w:p>
      <w:pPr>
        <w:ind w:left="360"/>
      </w:pPr>
      <w:r>
        <w:rPr>
          <w:rFonts w:ascii="Times New Roman" w:hAnsi="Times New Roman"/>
          <w:b/>
          <w:sz w:val="22"/>
        </w:rPr>
        <w:t xml:space="preserve">Convergence proof methodology: </w:t>
      </w:r>
      <w:r>
        <w:rPr>
          <w:rFonts w:ascii="Times New Roman" w:hAnsi="Times New Roman"/>
          <w:sz w:val="22"/>
        </w:rPr>
        <w:t>6-test statistical battery across 12 datasets — formal rejection protocol</w:t>
      </w:r>
    </w:p>
    <w:p>
      <w:pPr>
        <w:pStyle w:val="Heading2"/>
      </w:pPr>
      <w:r>
        <w:rPr>
          <w:rFonts w:ascii="Times New Roman" w:hAnsi="Times New Roman"/>
          <w:color w:val="000000"/>
        </w:rPr>
        <w:t>1.3 Claims Architecture</w:t>
      </w:r>
    </w:p>
    <w:p>
      <w:r>
        <w:rPr>
          <w:rFonts w:ascii="Times New Roman" w:hAnsi="Times New Roman"/>
          <w:b w:val="0"/>
          <w:sz w:val="22"/>
        </w:rPr>
        <w:t>20 claims covering method (claims 1–6, 17–20), system (claims 7–9), framework (claims 10–11), quantum extension (claims 12–14), and computer-readable medium (claims 15–16). Mixed claim types increase defensive surface area.</w:t>
      </w:r>
    </w:p>
    <w:p>
      <w:pPr>
        <w:pStyle w:val="Heading2"/>
      </w:pPr>
      <w:r>
        <w:rPr>
          <w:rFonts w:ascii="Times New Roman" w:hAnsi="Times New Roman"/>
          <w:color w:val="000000"/>
        </w:rPr>
        <w:t>1.4 Research Article Bridge</w:t>
      </w:r>
    </w:p>
    <w:p>
      <w:r>
        <w:rPr>
          <w:rFonts w:ascii="Times New Roman" w:hAnsi="Times New Roman"/>
          <w:b w:val="0"/>
          <w:sz w:val="22"/>
        </w:rPr>
        <w:t>Appendix A maps every article section to its corresponding patent section. This creates a two-layer strategy: patent = protection layer, article = public argument. The separation is architecturally correct.</w:t>
      </w:r>
    </w:p>
    <w:p>
      <w:pPr>
        <w:pStyle w:val="Heading2"/>
      </w:pPr>
      <w:r>
        <w:rPr>
          <w:rFonts w:ascii="Times New Roman" w:hAnsi="Times New Roman"/>
          <w:color w:val="000000"/>
        </w:rPr>
        <w:t>1.5 Filing Date Establishment</w:t>
      </w:r>
    </w:p>
    <w:p>
      <w:r>
        <w:rPr>
          <w:rFonts w:ascii="Times New Roman" w:hAnsi="Times New Roman"/>
          <w:b w:val="0"/>
          <w:sz w:val="22"/>
        </w:rPr>
        <w:t>A provisional filing establishes priority date under 35 U.S.C. § 111(b). Given the public GitHub repository (jayjonah827/8glyphs27), this is the critical function of the document. The clock is running. This draft captures enough detail for priority purposes.</w:t>
      </w:r>
    </w:p>
    <w:p>
      <w:r>
        <w:br w:type="page"/>
      </w:r>
    </w:p>
    <w:p>
      <w:pPr>
        <w:pStyle w:val="Heading1"/>
      </w:pPr>
      <w:r>
        <w:rPr>
          <w:rFonts w:ascii="Times New Roman" w:hAnsi="Times New Roman"/>
          <w:color w:val="000000"/>
        </w:rPr>
        <w:t>SECTION 2 — VULNERABILITIES</w:t>
      </w:r>
    </w:p>
    <w:p>
      <w:pPr>
        <w:pStyle w:val="Heading2"/>
      </w:pPr>
      <w:r>
        <w:rPr>
          <w:rFonts w:ascii="Times New Roman" w:hAnsi="Times New Roman"/>
          <w:color w:val="000000"/>
        </w:rPr>
        <w:t>2.1 Scope Control — Three Unseparated Layers</w:t>
      </w:r>
    </w:p>
    <w:p>
      <w:r>
        <w:rPr>
          <w:rFonts w:ascii="Times New Roman" w:hAnsi="Times New Roman"/>
          <w:b w:val="0"/>
          <w:sz w:val="22"/>
        </w:rPr>
        <w:t>The draft moves between three kinds of claim without full partition:</w:t>
      </w:r>
    </w:p>
    <w:p>
      <w:pPr>
        <w:ind w:left="360"/>
      </w:pPr>
      <w:r>
        <w:rPr>
          <w:rFonts w:ascii="Times New Roman" w:hAnsi="Times New Roman"/>
          <w:b/>
          <w:sz w:val="22"/>
        </w:rPr>
        <w:t xml:space="preserve">Layer A: </w:t>
      </w:r>
      <w:r>
        <w:rPr>
          <w:rFonts w:ascii="Times New Roman" w:hAnsi="Times New Roman"/>
          <w:sz w:val="22"/>
        </w:rPr>
        <w:t>A concrete computational method (K(t) formula, simulation, event records)</w:t>
      </w:r>
    </w:p>
    <w:p>
      <w:pPr>
        <w:ind w:left="360"/>
      </w:pPr>
      <w:r>
        <w:rPr>
          <w:rFonts w:ascii="Times New Roman" w:hAnsi="Times New Roman"/>
          <w:b/>
          <w:sz w:val="22"/>
        </w:rPr>
        <w:t xml:space="preserve">Layer B: </w:t>
      </w:r>
      <w:r>
        <w:rPr>
          <w:rFonts w:ascii="Times New Roman" w:hAnsi="Times New Roman"/>
          <w:sz w:val="22"/>
        </w:rPr>
        <w:t>A cross-domain scientific claim (structural convergence at 0.39 across centuries and domains)</w:t>
      </w:r>
    </w:p>
    <w:p>
      <w:pPr>
        <w:ind w:left="360"/>
      </w:pPr>
      <w:r>
        <w:rPr>
          <w:rFonts w:ascii="Times New Roman" w:hAnsi="Times New Roman"/>
          <w:b/>
          <w:sz w:val="22"/>
        </w:rPr>
        <w:t xml:space="preserve">Layer C: </w:t>
      </w:r>
      <w:r>
        <w:rPr>
          <w:rFonts w:ascii="Times New Roman" w:hAnsi="Times New Roman"/>
          <w:sz w:val="22"/>
        </w:rPr>
        <w:t>A quasi-foundational ontological framework (Self, Interaction, Reality; the 3E decomposition as algebraic identity)</w:t>
      </w:r>
    </w:p>
    <w:p>
      <w:r>
        <w:rPr>
          <w:rFonts w:ascii="Times New Roman" w:hAnsi="Times New Roman"/>
          <w:b w:val="0"/>
          <w:sz w:val="22"/>
        </w:rPr>
        <w:t>These three layers can coexist, but they are not currently separated. The patent should center Layer A. The research paper can carry Layers B and C. Mixing all three in the filing increases attack surface.</w:t>
      </w:r>
    </w:p>
    <w:p>
      <w:pPr>
        <w:pStyle w:val="Heading2"/>
      </w:pPr>
      <w:r>
        <w:rPr>
          <w:rFonts w:ascii="Times New Roman" w:hAnsi="Times New Roman"/>
          <w:color w:val="000000"/>
        </w:rPr>
        <w:t>2.2 Definitional Precision — Partition Admissibility</w:t>
      </w:r>
    </w:p>
    <w:p>
      <w:r>
        <w:rPr>
          <w:rFonts w:ascii="Times New Roman" w:hAnsi="Times New Roman"/>
          <w:b w:val="0"/>
          <w:sz w:val="22"/>
        </w:rPr>
        <w:t>The draft defines x and y as 'complementary partitions' and a, b, c as 'structural parameters specific to the measurement domain.' Under adversarial reading, these definitions are too elastic:</w:t>
      </w:r>
    </w:p>
    <w:p>
      <w:pPr>
        <w:ind w:left="360"/>
      </w:pPr>
      <w:r>
        <w:rPr>
          <w:rFonts w:ascii="Times New Roman" w:hAnsi="Times New Roman"/>
          <w:b/>
          <w:sz w:val="22"/>
        </w:rPr>
        <w:t xml:space="preserve">Missing: </w:t>
      </w:r>
      <w:r>
        <w:rPr>
          <w:rFonts w:ascii="Times New Roman" w:hAnsi="Times New Roman"/>
          <w:sz w:val="22"/>
        </w:rPr>
        <w:t>Explicit admissibility rules for constructing x and y from raw data</w:t>
      </w:r>
    </w:p>
    <w:p>
      <w:pPr>
        <w:ind w:left="360"/>
      </w:pPr>
      <w:r>
        <w:rPr>
          <w:rFonts w:ascii="Times New Roman" w:hAnsi="Times New Roman"/>
          <w:b/>
          <w:sz w:val="22"/>
        </w:rPr>
        <w:t xml:space="preserve">Missing: </w:t>
      </w:r>
      <w:r>
        <w:rPr>
          <w:rFonts w:ascii="Times New Roman" w:hAnsi="Times New Roman"/>
          <w:sz w:val="22"/>
        </w:rPr>
        <w:t>Normalization requirements (must x + y = 1? Must x + y = S = 3E?)</w:t>
      </w:r>
    </w:p>
    <w:p>
      <w:pPr>
        <w:ind w:left="360"/>
      </w:pPr>
      <w:r>
        <w:rPr>
          <w:rFonts w:ascii="Times New Roman" w:hAnsi="Times New Roman"/>
          <w:b/>
          <w:sz w:val="22"/>
        </w:rPr>
        <w:t xml:space="preserve">Missing: </w:t>
      </w:r>
      <w:r>
        <w:rPr>
          <w:rFonts w:ascii="Times New Roman" w:hAnsi="Times New Roman"/>
          <w:sz w:val="22"/>
        </w:rPr>
        <w:t>Constraints on parameter selection (can a, b, c be chosen post-hoc?)</w:t>
      </w:r>
    </w:p>
    <w:p>
      <w:pPr>
        <w:ind w:left="360"/>
      </w:pPr>
      <w:r>
        <w:rPr>
          <w:rFonts w:ascii="Times New Roman" w:hAnsi="Times New Roman"/>
          <w:b/>
          <w:sz w:val="22"/>
        </w:rPr>
        <w:t xml:space="preserve">Risk: </w:t>
      </w:r>
      <w:r>
        <w:rPr>
          <w:rFonts w:ascii="Times New Roman" w:hAnsi="Times New Roman"/>
          <w:sz w:val="22"/>
        </w:rPr>
        <w:t>If x and y can be chosen freely, critics can argue the system is fitted after the fact</w:t>
      </w:r>
    </w:p>
    <w:p>
      <w:pPr>
        <w:pStyle w:val="Heading2"/>
      </w:pPr>
      <w:r>
        <w:rPr>
          <w:rFonts w:ascii="Times New Roman" w:hAnsi="Times New Roman"/>
          <w:color w:val="000000"/>
        </w:rPr>
        <w:t>2.3 Quantum Extension — Derivational Scaffolding</w:t>
      </w:r>
    </w:p>
    <w:p>
      <w:r>
        <w:rPr>
          <w:rFonts w:ascii="Times New Roman" w:hAnsi="Times New Roman"/>
          <w:b w:val="0"/>
          <w:sz w:val="22"/>
        </w:rPr>
        <w:t>The Glyph-Q section (Patent §IV-H) is the most exposed. The eigenspectrum is stated. The ground state correspondence is stated. The measurement confirmation is stated. But:</w:t>
      </w:r>
    </w:p>
    <w:p>
      <w:pPr>
        <w:ind w:left="360"/>
      </w:pPr>
      <w:r>
        <w:rPr>
          <w:rFonts w:ascii="Times New Roman" w:hAnsi="Times New Roman"/>
          <w:b/>
          <w:sz w:val="22"/>
        </w:rPr>
        <w:t xml:space="preserve">Missing: </w:t>
      </w:r>
      <w:r>
        <w:rPr>
          <w:rFonts w:ascii="Times New Roman" w:hAnsi="Times New Roman"/>
          <w:sz w:val="22"/>
        </w:rPr>
        <w:t>Construction path for H (how the Hamiltonian is generated from data)</w:t>
      </w:r>
    </w:p>
    <w:p>
      <w:pPr>
        <w:ind w:left="360"/>
      </w:pPr>
      <w:r>
        <w:rPr>
          <w:rFonts w:ascii="Times New Roman" w:hAnsi="Times New Roman"/>
          <w:b/>
          <w:sz w:val="22"/>
        </w:rPr>
        <w:t xml:space="preserve">Missing: </w:t>
      </w:r>
      <w:r>
        <w:rPr>
          <w:rFonts w:ascii="Times New Roman" w:hAnsi="Times New Roman"/>
          <w:sz w:val="22"/>
        </w:rPr>
        <w:t>Justification for 8×8 dimensionality</w:t>
      </w:r>
    </w:p>
    <w:p>
      <w:pPr>
        <w:ind w:left="360"/>
      </w:pPr>
      <w:r>
        <w:rPr>
          <w:rFonts w:ascii="Times New Roman" w:hAnsi="Times New Roman"/>
          <w:b/>
          <w:sz w:val="22"/>
        </w:rPr>
        <w:t xml:space="preserve">Missing: </w:t>
      </w:r>
      <w:r>
        <w:rPr>
          <w:rFonts w:ascii="Times New Roman" w:hAnsi="Times New Roman"/>
          <w:sz w:val="22"/>
        </w:rPr>
        <w:t>Specification of the operator class being assumed</w:t>
      </w:r>
    </w:p>
    <w:p>
      <w:pPr>
        <w:ind w:left="360"/>
      </w:pPr>
      <w:r>
        <w:rPr>
          <w:rFonts w:ascii="Times New Roman" w:hAnsi="Times New Roman"/>
          <w:b/>
          <w:sz w:val="22"/>
        </w:rPr>
        <w:t xml:space="preserve">Missing: </w:t>
      </w:r>
      <w:r>
        <w:rPr>
          <w:rFonts w:ascii="Times New Roman" w:hAnsi="Times New Roman"/>
          <w:sz w:val="22"/>
        </w:rPr>
        <w:t>Identification of basis states</w:t>
      </w:r>
    </w:p>
    <w:p>
      <w:pPr>
        <w:ind w:left="360"/>
      </w:pPr>
      <w:r>
        <w:rPr>
          <w:rFonts w:ascii="Times New Roman" w:hAnsi="Times New Roman"/>
          <w:b/>
          <w:sz w:val="22"/>
        </w:rPr>
        <w:t xml:space="preserve">Missing: </w:t>
      </w:r>
      <w:r>
        <w:rPr>
          <w:rFonts w:ascii="Times New Roman" w:hAnsi="Times New Roman"/>
          <w:sz w:val="22"/>
        </w:rPr>
        <w:t>Derivation showing why the spectrum is more than analogy</w:t>
      </w:r>
    </w:p>
    <w:p>
      <w:r>
        <w:rPr>
          <w:rFonts w:ascii="Times New Roman" w:hAnsi="Times New Roman"/>
          <w:b w:val="0"/>
          <w:sz w:val="22"/>
        </w:rPr>
        <w:t>In the current form, it reads as declaration rather than derivation. This section would require the most additional scaffolding to survive technical challenge.</w:t>
      </w:r>
    </w:p>
    <w:p>
      <w:pPr>
        <w:pStyle w:val="Heading2"/>
      </w:pPr>
      <w:r>
        <w:rPr>
          <w:rFonts w:ascii="Times New Roman" w:hAnsi="Times New Roman"/>
          <w:color w:val="000000"/>
        </w:rPr>
        <w:t>2.4 Claims Tiering</w:t>
      </w:r>
    </w:p>
    <w:p>
      <w:r>
        <w:rPr>
          <w:rFonts w:ascii="Times New Roman" w:hAnsi="Times New Roman"/>
          <w:b w:val="0"/>
          <w:sz w:val="22"/>
        </w:rPr>
        <w:t>Not all 20 claims are equally defensible. Natural tiers:</w:t>
      </w:r>
    </w:p>
    <w:p>
      <w:pPr>
        <w:ind w:left="360"/>
      </w:pPr>
      <w:r>
        <w:rPr>
          <w:rFonts w:ascii="Times New Roman" w:hAnsi="Times New Roman"/>
          <w:b/>
          <w:sz w:val="22"/>
        </w:rPr>
        <w:t xml:space="preserve">Tier 1 (Strongest): </w:t>
      </w:r>
      <w:r>
        <w:rPr>
          <w:rFonts w:ascii="Times New Roman" w:hAnsi="Times New Roman"/>
          <w:sz w:val="22"/>
        </w:rPr>
        <w:t>Claims 1, 5, 7, 15, 19, 20 — closest to computation, validation, machine output</w:t>
      </w:r>
    </w:p>
    <w:p>
      <w:pPr>
        <w:ind w:left="360"/>
      </w:pPr>
      <w:r>
        <w:rPr>
          <w:rFonts w:ascii="Times New Roman" w:hAnsi="Times New Roman"/>
          <w:b/>
          <w:sz w:val="22"/>
        </w:rPr>
        <w:t xml:space="preserve">Tier 2 (Interpretive): </w:t>
      </w:r>
      <w:r>
        <w:rPr>
          <w:rFonts w:ascii="Times New Roman" w:hAnsi="Times New Roman"/>
          <w:sz w:val="22"/>
        </w:rPr>
        <w:t>Claims 2, 3, 10, 11, 17, 18 — dual operations, 3E decomposition, summation form</w:t>
      </w:r>
    </w:p>
    <w:p>
      <w:pPr>
        <w:ind w:left="360"/>
      </w:pPr>
      <w:r>
        <w:rPr>
          <w:rFonts w:ascii="Times New Roman" w:hAnsi="Times New Roman"/>
          <w:b/>
          <w:sz w:val="22"/>
        </w:rPr>
        <w:t xml:space="preserve">Tier 3 (Most Vulnerable): </w:t>
      </w:r>
      <w:r>
        <w:rPr>
          <w:rFonts w:ascii="Times New Roman" w:hAnsi="Times New Roman"/>
          <w:sz w:val="22"/>
        </w:rPr>
        <w:t>Claims 12, 13, 14 — quantum ground state framing, unless backed by explicit derivation and implementation</w:t>
      </w:r>
    </w:p>
    <w:p>
      <w:r>
        <w:rPr>
          <w:rFonts w:ascii="Times New Roman" w:hAnsi="Times New Roman"/>
          <w:b w:val="0"/>
          <w:sz w:val="22"/>
        </w:rPr>
        <w:t>Tier 1 claims are the defensive core. Tier 3 claims need the most additional support or should be narrowed.</w:t>
      </w:r>
    </w:p>
    <w:p>
      <w:pPr>
        <w:pStyle w:val="Heading2"/>
      </w:pPr>
      <w:r>
        <w:rPr>
          <w:rFonts w:ascii="Times New Roman" w:hAnsi="Times New Roman"/>
          <w:color w:val="000000"/>
        </w:rPr>
        <w:t>2.5 Article Title Overclaiming Risk</w:t>
      </w:r>
    </w:p>
    <w:p>
      <w:r>
        <w:rPr>
          <w:rFonts w:ascii="Times New Roman" w:hAnsi="Times New Roman"/>
          <w:b w:val="0"/>
          <w:sz w:val="22"/>
        </w:rPr>
        <w:t>The proposed title 'Structural Convergence at 0.39' is strong but risks reading as overclaiming if the method validation package is not visibly reproducible at time of submission. For publication, consider framing 0.39 first as an observed cross-domain convergence candidate produced by the framework, then escalating to stronger claims after replication materials are visible. The patent can preserve broader language; the paper must manage evidentiary pacing.</w:t>
      </w:r>
    </w:p>
    <w:p>
      <w:r>
        <w:br w:type="page"/>
      </w:r>
    </w:p>
    <w:p>
      <w:pPr>
        <w:pStyle w:val="Heading1"/>
      </w:pPr>
      <w:r>
        <w:rPr>
          <w:rFonts w:ascii="Times New Roman" w:hAnsi="Times New Roman"/>
          <w:color w:val="000000"/>
        </w:rPr>
        <w:t>SECTION 3 — MISSING SUPPORT MATERIALS</w:t>
      </w:r>
    </w:p>
    <w:p>
      <w:r>
        <w:rPr>
          <w:rFonts w:ascii="Times New Roman" w:hAnsi="Times New Roman"/>
          <w:b w:val="0"/>
          <w:sz w:val="22"/>
        </w:rPr>
        <w:t>The patent draft asserts that proof and implementation materials exist. The following support packet must be organized, timestamped, and preserved as of the filing date (April 2, 2026) to make those assertions defensible.</w:t>
      </w:r>
    </w:p>
    <w:p>
      <w:pPr>
        <w:pStyle w:val="Heading2"/>
      </w:pPr>
      <w:r>
        <w:rPr>
          <w:rFonts w:ascii="Times New Roman" w:hAnsi="Times New Roman"/>
          <w:color w:val="000000"/>
        </w:rPr>
        <w:t>3.1 Definition Sheet</w:t>
      </w:r>
    </w:p>
    <w:p>
      <w:pPr>
        <w:ind w:left="360"/>
      </w:pPr>
      <w:r>
        <w:rPr>
          <w:rFonts w:ascii="Times New Roman" w:hAnsi="Times New Roman"/>
          <w:b/>
          <w:sz w:val="22"/>
        </w:rPr>
        <w:t xml:space="preserve">Required: </w:t>
      </w:r>
      <w:r>
        <w:rPr>
          <w:rFonts w:ascii="Times New Roman" w:hAnsi="Times New Roman"/>
          <w:sz w:val="22"/>
        </w:rPr>
        <w:t>Formal variable definition table: every variable (x, y, a, b, c, K(t), 3E, S, ε, C, R, ΔS) with type, domain, range, units, admissibility rules</w:t>
      </w:r>
    </w:p>
    <w:p>
      <w:pPr>
        <w:ind w:left="360"/>
      </w:pPr>
      <w:r>
        <w:rPr>
          <w:rFonts w:ascii="Times New Roman" w:hAnsi="Times New Roman"/>
          <w:b/>
          <w:sz w:val="22"/>
        </w:rPr>
        <w:t xml:space="preserve">Status: </w:t>
      </w:r>
      <w:r>
        <w:rPr>
          <w:rFonts w:ascii="Times New Roman" w:hAnsi="Times New Roman"/>
          <w:sz w:val="22"/>
        </w:rPr>
        <w:t>PARTIALLY EXISTS in K(t)/3E Formula Spec. Needs consolidation into single standalone reference.</w:t>
      </w:r>
    </w:p>
    <w:p>
      <w:pPr>
        <w:pStyle w:val="Heading2"/>
      </w:pPr>
      <w:r>
        <w:rPr>
          <w:rFonts w:ascii="Times New Roman" w:hAnsi="Times New Roman"/>
          <w:color w:val="000000"/>
        </w:rPr>
        <w:t>3.2 Domain-Mapping Protocol</w:t>
      </w:r>
    </w:p>
    <w:p>
      <w:pPr>
        <w:ind w:left="360"/>
      </w:pPr>
      <w:r>
        <w:rPr>
          <w:rFonts w:ascii="Times New Roman" w:hAnsi="Times New Roman"/>
          <w:b/>
          <w:sz w:val="22"/>
        </w:rPr>
        <w:t xml:space="preserve">Required: </w:t>
      </w:r>
      <w:r>
        <w:rPr>
          <w:rFonts w:ascii="Times New Roman" w:hAnsi="Times New Roman"/>
          <w:sz w:val="22"/>
        </w:rPr>
        <w:t>For each of the 12 datasets: explicit specification of how x and y were constructed from raw data, what a/b/c are, and how the partition was validated</w:t>
      </w:r>
    </w:p>
    <w:p>
      <w:pPr>
        <w:ind w:left="360"/>
      </w:pPr>
      <w:r>
        <w:rPr>
          <w:rFonts w:ascii="Times New Roman" w:hAnsi="Times New Roman"/>
          <w:b/>
          <w:sz w:val="22"/>
        </w:rPr>
        <w:t xml:space="preserve">Status: </w:t>
      </w:r>
      <w:r>
        <w:rPr>
          <w:rFonts w:ascii="Times New Roman" w:hAnsi="Times New Roman"/>
          <w:sz w:val="22"/>
        </w:rPr>
        <w:t>NOT FORMALIZED. The datasets are computed but the mapping procedure is not documented as a reusable protocol.</w:t>
      </w:r>
    </w:p>
    <w:p>
      <w:pPr>
        <w:pStyle w:val="Heading2"/>
      </w:pPr>
      <w:r>
        <w:rPr>
          <w:rFonts w:ascii="Times New Roman" w:hAnsi="Times New Roman"/>
          <w:color w:val="000000"/>
        </w:rPr>
        <w:t>3.3 Simulation Code and Outputs</w:t>
      </w:r>
    </w:p>
    <w:p>
      <w:pPr>
        <w:ind w:left="360"/>
      </w:pPr>
      <w:r>
        <w:rPr>
          <w:rFonts w:ascii="Times New Roman" w:hAnsi="Times New Roman"/>
          <w:b/>
          <w:sz w:val="22"/>
        </w:rPr>
        <w:t xml:space="preserve">Required: </w:t>
      </w:r>
      <w:r>
        <w:rPr>
          <w:rFonts w:ascii="Times New Roman" w:hAnsi="Times New Roman"/>
          <w:sz w:val="22"/>
        </w:rPr>
        <w:t>glyph8.py (662 lines — EXISTS), glyph_simulations.py (the 7-game runner — STATUS UNKNOWN), core/ module files (loader, validator, events, summary, frequency, judgment, routing, archive, manifests — STATUS UNKNOWN)</w:t>
      </w:r>
    </w:p>
    <w:p>
      <w:pPr>
        <w:ind w:left="360"/>
      </w:pPr>
      <w:r>
        <w:rPr>
          <w:rFonts w:ascii="Times New Roman" w:hAnsi="Times New Roman"/>
          <w:b/>
          <w:sz w:val="22"/>
        </w:rPr>
        <w:t xml:space="preserve">Required: </w:t>
      </w:r>
      <w:r>
        <w:rPr>
          <w:rFonts w:ascii="Times New Roman" w:hAnsi="Times New Roman"/>
          <w:sz w:val="22"/>
        </w:rPr>
        <w:t>Raw simulation output: convergence data for all 7 games at 1M trials, stored as CSV or JSON</w:t>
      </w:r>
    </w:p>
    <w:p>
      <w:pPr>
        <w:ind w:left="360"/>
      </w:pPr>
      <w:r>
        <w:rPr>
          <w:rFonts w:ascii="Times New Roman" w:hAnsi="Times New Roman"/>
          <w:b/>
          <w:sz w:val="22"/>
        </w:rPr>
        <w:t xml:space="preserve">Status: </w:t>
      </w:r>
      <w:r>
        <w:rPr>
          <w:rFonts w:ascii="Times New Roman" w:hAnsi="Times New Roman"/>
          <w:sz w:val="22"/>
        </w:rPr>
        <w:t>Code partially confirmed. Outputs need verification.</w:t>
      </w:r>
    </w:p>
    <w:p>
      <w:pPr>
        <w:pStyle w:val="Heading2"/>
      </w:pPr>
      <w:r>
        <w:rPr>
          <w:rFonts w:ascii="Times New Roman" w:hAnsi="Times New Roman"/>
          <w:color w:val="000000"/>
        </w:rPr>
        <w:t>3.4 12-Dataset Calculation Sheets</w:t>
      </w:r>
    </w:p>
    <w:p>
      <w:pPr>
        <w:ind w:left="360"/>
      </w:pPr>
      <w:r>
        <w:rPr>
          <w:rFonts w:ascii="Times New Roman" w:hAnsi="Times New Roman"/>
          <w:b/>
          <w:sz w:val="22"/>
        </w:rPr>
        <w:t xml:space="preserve">Required: </w:t>
      </w:r>
      <w:r>
        <w:rPr>
          <w:rFonts w:ascii="Times New Roman" w:hAnsi="Times New Roman"/>
          <w:sz w:val="22"/>
        </w:rPr>
        <w:t>For each dataset: raw data source, x/y extraction, K(t) computation, random null simulation, Z-score, p-value</w:t>
      </w:r>
    </w:p>
    <w:p>
      <w:pPr>
        <w:ind w:left="360"/>
      </w:pPr>
      <w:r>
        <w:rPr>
          <w:rFonts w:ascii="Times New Roman" w:hAnsi="Times New Roman"/>
          <w:b/>
          <w:sz w:val="22"/>
        </w:rPr>
        <w:t xml:space="preserve">Status: </w:t>
      </w:r>
      <w:r>
        <w:rPr>
          <w:rFonts w:ascii="Times New Roman" w:hAnsi="Times New Roman"/>
          <w:sz w:val="22"/>
        </w:rPr>
        <w:t>CONVERGENCE PROOF TABLE exists in CLAUDE.md. Individual calculation sheets per dataset NOT CONFIRMED as separate files.</w:t>
      </w:r>
    </w:p>
    <w:p>
      <w:pPr>
        <w:pStyle w:val="Heading2"/>
      </w:pPr>
      <w:r>
        <w:rPr>
          <w:rFonts w:ascii="Times New Roman" w:hAnsi="Times New Roman"/>
          <w:color w:val="000000"/>
        </w:rPr>
        <w:t>3.5 Statistical Test Scripts</w:t>
      </w:r>
    </w:p>
    <w:p>
      <w:pPr>
        <w:ind w:left="360"/>
      </w:pPr>
      <w:r>
        <w:rPr>
          <w:rFonts w:ascii="Times New Roman" w:hAnsi="Times New Roman"/>
          <w:b/>
          <w:sz w:val="22"/>
        </w:rPr>
        <w:t xml:space="preserve">Required: </w:t>
      </w:r>
      <w:r>
        <w:rPr>
          <w:rFonts w:ascii="Times New Roman" w:hAnsi="Times New Roman"/>
          <w:sz w:val="22"/>
        </w:rPr>
        <w:t>Scripts or notebooks that execute the 6-test statistical battery (Tests A–F) documented in Patent §IV-F</w:t>
      </w:r>
    </w:p>
    <w:p>
      <w:pPr>
        <w:ind w:left="360"/>
      </w:pPr>
      <w:r>
        <w:rPr>
          <w:rFonts w:ascii="Times New Roman" w:hAnsi="Times New Roman"/>
          <w:b/>
          <w:sz w:val="22"/>
        </w:rPr>
        <w:t xml:space="preserve">Status: </w:t>
      </w:r>
      <w:r>
        <w:rPr>
          <w:rFonts w:ascii="Times New Roman" w:hAnsi="Times New Roman"/>
          <w:sz w:val="22"/>
        </w:rPr>
        <w:t>UNKNOWN. May exist in prior session outputs. Need to locate or reconstruct.</w:t>
      </w:r>
    </w:p>
    <w:p>
      <w:pPr>
        <w:pStyle w:val="Heading2"/>
      </w:pPr>
      <w:r>
        <w:rPr>
          <w:rFonts w:ascii="Times New Roman" w:hAnsi="Times New Roman"/>
          <w:color w:val="000000"/>
        </w:rPr>
        <w:t>3.6 Event Schema Files</w:t>
      </w:r>
    </w:p>
    <w:p>
      <w:pPr>
        <w:ind w:left="360"/>
      </w:pPr>
      <w:r>
        <w:rPr>
          <w:rFonts w:ascii="Times New Roman" w:hAnsi="Times New Roman"/>
          <w:b/>
          <w:sz w:val="22"/>
        </w:rPr>
        <w:t xml:space="preserve">Required: </w:t>
      </w:r>
      <w:r>
        <w:rPr>
          <w:rFonts w:ascii="Times New Roman" w:hAnsi="Times New Roman"/>
          <w:sz w:val="22"/>
        </w:rPr>
        <w:t>event_schema_v1.json — the JSON schema against which glyph_event_records are validated</w:t>
      </w:r>
    </w:p>
    <w:p>
      <w:pPr>
        <w:ind w:left="360"/>
      </w:pPr>
      <w:r>
        <w:rPr>
          <w:rFonts w:ascii="Times New Roman" w:hAnsi="Times New Roman"/>
          <w:b/>
          <w:sz w:val="22"/>
        </w:rPr>
        <w:t xml:space="preserve">Status: </w:t>
      </w:r>
      <w:r>
        <w:rPr>
          <w:rFonts w:ascii="Times New Roman" w:hAnsi="Times New Roman"/>
          <w:sz w:val="22"/>
        </w:rPr>
        <w:t>Referenced by glyph8.py (imported via core.paths.SCHEMA_DIR). Physical file needs confirmation.</w:t>
      </w:r>
    </w:p>
    <w:p>
      <w:pPr>
        <w:pStyle w:val="Heading2"/>
      </w:pPr>
      <w:r>
        <w:rPr>
          <w:rFonts w:ascii="Times New Roman" w:hAnsi="Times New Roman"/>
          <w:color w:val="000000"/>
        </w:rPr>
        <w:t>3.7 Event Record Files</w:t>
      </w:r>
    </w:p>
    <w:p>
      <w:pPr>
        <w:ind w:left="360"/>
      </w:pPr>
      <w:r>
        <w:rPr>
          <w:rFonts w:ascii="Times New Roman" w:hAnsi="Times New Roman"/>
          <w:b/>
          <w:sz w:val="22"/>
        </w:rPr>
        <w:t xml:space="preserve">Required: </w:t>
      </w:r>
      <w:r>
        <w:rPr>
          <w:rFonts w:ascii="Times New Roman" w:hAnsi="Times New Roman"/>
          <w:sz w:val="22"/>
        </w:rPr>
        <w:t>Actual gev_*.json records produced by the system</w:t>
      </w:r>
    </w:p>
    <w:p>
      <w:pPr>
        <w:ind w:left="360"/>
      </w:pPr>
      <w:r>
        <w:rPr>
          <w:rFonts w:ascii="Times New Roman" w:hAnsi="Times New Roman"/>
          <w:b/>
          <w:sz w:val="22"/>
        </w:rPr>
        <w:t xml:space="preserve">Status: </w:t>
      </w:r>
      <w:r>
        <w:rPr>
          <w:rFonts w:ascii="Times New Roman" w:hAnsi="Times New Roman"/>
          <w:sz w:val="22"/>
        </w:rPr>
        <w:t>UNKNOWN. May exist in events/ directory of the GLYPH8 project.</w:t>
      </w:r>
    </w:p>
    <w:p>
      <w:pPr>
        <w:pStyle w:val="Heading2"/>
      </w:pPr>
      <w:r>
        <w:rPr>
          <w:rFonts w:ascii="Times New Roman" w:hAnsi="Times New Roman"/>
          <w:color w:val="000000"/>
        </w:rPr>
        <w:t>3.8 Epsilon and Glyph-Q Derivation Memo</w:t>
      </w:r>
    </w:p>
    <w:p>
      <w:pPr>
        <w:ind w:left="360"/>
      </w:pPr>
      <w:r>
        <w:rPr>
          <w:rFonts w:ascii="Times New Roman" w:hAnsi="Times New Roman"/>
          <w:b/>
          <w:sz w:val="22"/>
        </w:rPr>
        <w:t xml:space="preserve">Required: </w:t>
      </w:r>
      <w:r>
        <w:rPr>
          <w:rFonts w:ascii="Times New Roman" w:hAnsi="Times New Roman"/>
          <w:sz w:val="22"/>
        </w:rPr>
        <w:t>Step-by-step derivation of ε = √2 − 1 from the fixed-point equation; construction of the 8×8 Hamiltonian H; eigenvalue computation; imaginary-time evolution derivation; entanglement demonstration</w:t>
      </w:r>
    </w:p>
    <w:p>
      <w:pPr>
        <w:ind w:left="360"/>
      </w:pPr>
      <w:r>
        <w:rPr>
          <w:rFonts w:ascii="Times New Roman" w:hAnsi="Times New Roman"/>
          <w:b/>
          <w:sz w:val="22"/>
        </w:rPr>
        <w:t xml:space="preserve">Status: </w:t>
      </w:r>
      <w:r>
        <w:rPr>
          <w:rFonts w:ascii="Times New Roman" w:hAnsi="Times New Roman"/>
          <w:sz w:val="22"/>
        </w:rPr>
        <w:t>PARTIALLY EXISTS in CLAUDE.md Glyph-Q specification. Needs expansion into standalone derivation document with intermediate steps.</w:t>
      </w:r>
    </w:p>
    <w:p>
      <w:pPr>
        <w:pStyle w:val="Heading2"/>
      </w:pPr>
      <w:r>
        <w:rPr>
          <w:rFonts w:ascii="Times New Roman" w:hAnsi="Times New Roman"/>
          <w:color w:val="000000"/>
        </w:rPr>
        <w:t>3.9 Kac (1959) Citation Record</w:t>
      </w:r>
    </w:p>
    <w:p>
      <w:pPr>
        <w:ind w:left="360"/>
      </w:pPr>
      <w:r>
        <w:rPr>
          <w:rFonts w:ascii="Times New Roman" w:hAnsi="Times New Roman"/>
          <w:b/>
          <w:sz w:val="22"/>
        </w:rPr>
        <w:t xml:space="preserve">Required: </w:t>
      </w:r>
      <w:r>
        <w:rPr>
          <w:rFonts w:ascii="Times New Roman" w:hAnsi="Times New Roman"/>
          <w:sz w:val="22"/>
        </w:rPr>
        <w:t>Full bibliographic entry with page references to relevant theorems on statistical independence</w:t>
      </w:r>
    </w:p>
    <w:p>
      <w:pPr>
        <w:ind w:left="360"/>
      </w:pPr>
      <w:r>
        <w:rPr>
          <w:rFonts w:ascii="Times New Roman" w:hAnsi="Times New Roman"/>
          <w:b/>
          <w:sz w:val="22"/>
        </w:rPr>
        <w:t xml:space="preserve">Status: </w:t>
      </w:r>
      <w:r>
        <w:rPr>
          <w:rFonts w:ascii="Times New Roman" w:hAnsi="Times New Roman"/>
          <w:sz w:val="22"/>
        </w:rPr>
        <w:t>Citation EXISTS. Specific page references NOT CONFIRMED.</w:t>
      </w:r>
    </w:p>
    <w:p>
      <w:r>
        <w:br w:type="page"/>
      </w:r>
    </w:p>
    <w:p>
      <w:pPr>
        <w:pStyle w:val="Heading1"/>
      </w:pPr>
      <w:r>
        <w:rPr>
          <w:rFonts w:ascii="Times New Roman" w:hAnsi="Times New Roman"/>
          <w:color w:val="000000"/>
        </w:rPr>
        <w:t>SECTION 4 — REVISION PRIORITIES</w:t>
      </w:r>
    </w:p>
    <w:p>
      <w:r>
        <w:rPr>
          <w:rFonts w:ascii="Times New Roman" w:hAnsi="Times New Roman"/>
          <w:b/>
          <w:sz w:val="22"/>
        </w:rPr>
        <w:t>Ordered by filing-date urgency. Items 1–3 should be completed before provisional submission. Items 4–7 can be completed during the 12-month provisional window before non-provisional conversion.</w:t>
      </w:r>
    </w:p>
    <w:p>
      <w:pPr>
        <w:pStyle w:val="Heading2"/>
      </w:pPr>
      <w:r>
        <w:rPr>
          <w:rFonts w:ascii="Times New Roman" w:hAnsi="Times New Roman"/>
          <w:color w:val="000000"/>
        </w:rPr>
        <w:t>Priority 1: Freeze and Archive (IMMEDIATE)</w:t>
      </w:r>
    </w:p>
    <w:p>
      <w:r>
        <w:rPr>
          <w:rFonts w:ascii="Times New Roman" w:hAnsi="Times New Roman"/>
          <w:b w:val="0"/>
          <w:sz w:val="22"/>
        </w:rPr>
        <w:t>Create a timestamped archive of all existing materials as of April 2, 2026. This includes: glyph8.py, K(t)/3E Formula Spec, Glyph Simulation Method v1, CLAUDE.md convergence proof, Glyph-Q specification, event_schema_v1.json, all core/ module files, and all simulation outputs. Hash the archive (SHA-256). Store in at least two locations. The filing says the proof exists. The archive must make that true.</w:t>
      </w:r>
    </w:p>
    <w:p>
      <w:pPr>
        <w:pStyle w:val="Heading2"/>
      </w:pPr>
      <w:r>
        <w:rPr>
          <w:rFonts w:ascii="Times New Roman" w:hAnsi="Times New Roman"/>
          <w:color w:val="000000"/>
        </w:rPr>
        <w:t>Priority 2: Partition Admissibility Rules (BEFORE FILING)</w:t>
      </w:r>
    </w:p>
    <w:p>
      <w:r>
        <w:rPr>
          <w:rFonts w:ascii="Times New Roman" w:hAnsi="Times New Roman"/>
          <w:b w:val="0"/>
          <w:sz w:val="22"/>
        </w:rPr>
        <w:t>Add a formal definition section to the patent specifying:</w:t>
      </w:r>
    </w:p>
    <w:p>
      <w:pPr>
        <w:ind w:left="360"/>
      </w:pPr>
      <w:r>
        <w:rPr>
          <w:rFonts w:ascii="Times New Roman" w:hAnsi="Times New Roman"/>
          <w:b/>
          <w:sz w:val="22"/>
        </w:rPr>
        <w:t xml:space="preserve">Rule 1: </w:t>
      </w:r>
      <w:r>
        <w:rPr>
          <w:rFonts w:ascii="Times New Roman" w:hAnsi="Times New Roman"/>
          <w:sz w:val="22"/>
        </w:rPr>
        <w:t>x and y must be exhaustive and mutually exclusive partitions of the measured distribution D</w:t>
      </w:r>
    </w:p>
    <w:p>
      <w:pPr>
        <w:ind w:left="360"/>
      </w:pPr>
      <w:r>
        <w:rPr>
          <w:rFonts w:ascii="Times New Roman" w:hAnsi="Times New Roman"/>
          <w:b/>
          <w:sz w:val="22"/>
        </w:rPr>
        <w:t xml:space="preserve">Rule 2: </w:t>
      </w:r>
      <w:r>
        <w:rPr>
          <w:rFonts w:ascii="Times New Roman" w:hAnsi="Times New Roman"/>
          <w:sz w:val="22"/>
        </w:rPr>
        <w:t>x + y = S = 3E (partition sum constraint)</w:t>
      </w:r>
    </w:p>
    <w:p>
      <w:pPr>
        <w:ind w:left="360"/>
      </w:pPr>
      <w:r>
        <w:rPr>
          <w:rFonts w:ascii="Times New Roman" w:hAnsi="Times New Roman"/>
          <w:b/>
          <w:sz w:val="22"/>
        </w:rPr>
        <w:t xml:space="preserve">Rule 3: </w:t>
      </w:r>
      <w:r>
        <w:rPr>
          <w:rFonts w:ascii="Times New Roman" w:hAnsi="Times New Roman"/>
          <w:sz w:val="22"/>
        </w:rPr>
        <w:t>x and y must be constructable from observable, publicly documented data sources</w:t>
      </w:r>
    </w:p>
    <w:p>
      <w:pPr>
        <w:ind w:left="360"/>
      </w:pPr>
      <w:r>
        <w:rPr>
          <w:rFonts w:ascii="Times New Roman" w:hAnsi="Times New Roman"/>
          <w:b/>
          <w:sz w:val="22"/>
        </w:rPr>
        <w:t xml:space="preserve">Rule 4: </w:t>
      </w:r>
      <w:r>
        <w:rPr>
          <w:rFonts w:ascii="Times New Roman" w:hAnsi="Times New Roman"/>
          <w:sz w:val="22"/>
        </w:rPr>
        <w:t>Parameters a, b, c must be declared before K(t) is computed (pre-registration requirement)</w:t>
      </w:r>
    </w:p>
    <w:p>
      <w:pPr>
        <w:ind w:left="360"/>
      </w:pPr>
      <w:r>
        <w:rPr>
          <w:rFonts w:ascii="Times New Roman" w:hAnsi="Times New Roman"/>
          <w:b/>
          <w:sz w:val="22"/>
        </w:rPr>
        <w:t xml:space="preserve">Rule 5: </w:t>
      </w:r>
      <w:r>
        <w:rPr>
          <w:rFonts w:ascii="Times New Roman" w:hAnsi="Times New Roman"/>
          <w:sz w:val="22"/>
        </w:rPr>
        <w:t>The mapping from raw data to x, y, a, b, c must be documented in a domain-mapping protocol that is reproducible by a third party</w:t>
      </w:r>
    </w:p>
    <w:p>
      <w:pPr>
        <w:pStyle w:val="Heading2"/>
      </w:pPr>
      <w:r>
        <w:rPr>
          <w:rFonts w:ascii="Times New Roman" w:hAnsi="Times New Roman"/>
          <w:color w:val="000000"/>
        </w:rPr>
        <w:t>Priority 3: Domain-Mapping Protocol (BEFORE FILING)</w:t>
      </w:r>
    </w:p>
    <w:p>
      <w:r>
        <w:rPr>
          <w:rFonts w:ascii="Times New Roman" w:hAnsi="Times New Roman"/>
          <w:b w:val="0"/>
          <w:sz w:val="22"/>
        </w:rPr>
        <w:t>Produce a single document that, for each of the 12 datasets, specifies: (a) data source with access path, (b) exact construction of x and y from raw fields, (c) values of a, b, c, (d) computed K(t), (e) random null method and result. This is the reproducibility backbone. Without it, the 12-dataset convergence claim rests on assertion.</w:t>
      </w:r>
    </w:p>
    <w:p>
      <w:pPr>
        <w:pStyle w:val="Heading2"/>
      </w:pPr>
      <w:r>
        <w:rPr>
          <w:rFonts w:ascii="Times New Roman" w:hAnsi="Times New Roman"/>
          <w:color w:val="000000"/>
        </w:rPr>
        <w:t>Priority 4: Narrow Quantum Claims (WITHIN 12 MONTHS)</w:t>
      </w:r>
    </w:p>
    <w:p>
      <w:r>
        <w:rPr>
          <w:rFonts w:ascii="Times New Roman" w:hAnsi="Times New Roman"/>
          <w:b w:val="0"/>
          <w:sz w:val="22"/>
        </w:rPr>
        <w:t>Either expand the Glyph-Q derivation to include full construction path and basis state specification, or narrow claims 12–14 to describe the quantum formulation as a 'theoretical extension' rather than a proven method. The current framing is between those positions. Choose one and commit.</w:t>
      </w:r>
    </w:p>
    <w:p>
      <w:pPr>
        <w:pStyle w:val="Heading2"/>
      </w:pPr>
      <w:r>
        <w:rPr>
          <w:rFonts w:ascii="Times New Roman" w:hAnsi="Times New Roman"/>
          <w:color w:val="000000"/>
        </w:rPr>
        <w:t>Priority 5: Separate Scope Layers (WITHIN 12 MONTHS)</w:t>
      </w:r>
    </w:p>
    <w:p>
      <w:r>
        <w:rPr>
          <w:rFonts w:ascii="Times New Roman" w:hAnsi="Times New Roman"/>
          <w:b w:val="0"/>
          <w:sz w:val="22"/>
        </w:rPr>
        <w:t>Revise the patent to center Layer A (computational method and system). Move Layer B (cross-domain convergence) to the evidence section. Move Layer C (ontological framework) to the research article only. This reduces the patent's attack surface while preserving the full intellectual structure in the publication.</w:t>
      </w:r>
    </w:p>
    <w:p>
      <w:pPr>
        <w:pStyle w:val="Heading2"/>
      </w:pPr>
      <w:r>
        <w:rPr>
          <w:rFonts w:ascii="Times New Roman" w:hAnsi="Times New Roman"/>
          <w:color w:val="000000"/>
        </w:rPr>
        <w:t>Priority 6: Event Record Architecture Expansion (WITHIN 12 MONTHS)</w:t>
      </w:r>
    </w:p>
    <w:p>
      <w:r>
        <w:rPr>
          <w:rFonts w:ascii="Times New Roman" w:hAnsi="Times New Roman"/>
          <w:b w:val="0"/>
          <w:sz w:val="22"/>
        </w:rPr>
        <w:t>The glyph_event_record is the most defensible differentiator. Expand the patent description to include: input validation requirements, record lifecycle states, storage logic (content-addressable), provenance tracking, versioning rules, and inter-record relation mapping. This makes the architecture look like an engineered system rather than a JSON template.</w:t>
      </w:r>
    </w:p>
    <w:p>
      <w:pPr>
        <w:pStyle w:val="Heading2"/>
      </w:pPr>
      <w:r>
        <w:rPr>
          <w:rFonts w:ascii="Times New Roman" w:hAnsi="Times New Roman"/>
          <w:color w:val="000000"/>
        </w:rPr>
        <w:t>Priority 7: Statistical Test Reproducibility Package (WITHIN 12 MONTHS)</w:t>
      </w:r>
    </w:p>
    <w:p>
      <w:r>
        <w:rPr>
          <w:rFonts w:ascii="Times New Roman" w:hAnsi="Times New Roman"/>
          <w:b w:val="0"/>
          <w:sz w:val="22"/>
        </w:rPr>
        <w:t>Produce a standalone script or notebook that takes the 12-dataset K(t) values as input and executes all 6 statistical tests (A–F), producing the exact p-values documented in the convergence proof. This script should be runnable by any third party with Python and standard scientific computing libraries. Include it as a supplement to both the non-provisional filing and the research article.</w:t>
      </w:r>
    </w:p>
    <w:p>
      <w:r>
        <w:br w:type="page"/>
      </w:r>
    </w:p>
    <w:p>
      <w:pPr>
        <w:pStyle w:val="Heading1"/>
      </w:pPr>
      <w:r>
        <w:rPr>
          <w:rFonts w:ascii="Times New Roman" w:hAnsi="Times New Roman"/>
          <w:color w:val="000000"/>
        </w:rPr>
        <w:t>CLASSIFICATION AND HANDLING</w:t>
      </w:r>
    </w:p>
    <w:p>
      <w:pPr>
        <w:ind w:left="360"/>
      </w:pPr>
      <w:r>
        <w:rPr>
          <w:rFonts w:ascii="Times New Roman" w:hAnsi="Times New Roman"/>
          <w:b/>
          <w:sz w:val="22"/>
        </w:rPr>
        <w:t xml:space="preserve">This memo: </w:t>
      </w:r>
      <w:r>
        <w:rPr>
          <w:rFonts w:ascii="Times New Roman" w:hAnsi="Times New Roman"/>
          <w:sz w:val="22"/>
        </w:rPr>
        <w:t>QmPYcVJCV8277 — RESTRICTED. Do not distribute outside inventor and legal counsel.</w:t>
      </w:r>
    </w:p>
    <w:p>
      <w:pPr>
        <w:ind w:left="360"/>
      </w:pPr>
      <w:r>
        <w:rPr>
          <w:rFonts w:ascii="Times New Roman" w:hAnsi="Times New Roman"/>
          <w:b/>
          <w:sz w:val="22"/>
        </w:rPr>
        <w:t xml:space="preserve">The patent draft: </w:t>
      </w:r>
      <w:r>
        <w:rPr>
          <w:rFonts w:ascii="Times New Roman" w:hAnsi="Times New Roman"/>
          <w:sz w:val="22"/>
        </w:rPr>
        <w:t>QmPYcVJCV8277 — RESTRICTED until filed. After filing, the application number becomes reference-able but the content remains restricted until publication.</w:t>
      </w:r>
    </w:p>
    <w:p>
      <w:pPr>
        <w:ind w:left="360"/>
      </w:pPr>
      <w:r>
        <w:rPr>
          <w:rFonts w:ascii="Times New Roman" w:hAnsi="Times New Roman"/>
          <w:b/>
          <w:sz w:val="22"/>
        </w:rPr>
        <w:t xml:space="preserve">The research article: </w:t>
      </w:r>
      <w:r>
        <w:rPr>
          <w:rFonts w:ascii="Times New Roman" w:hAnsi="Times New Roman"/>
          <w:sz w:val="22"/>
        </w:rPr>
        <w:t>GLYPHS (portfolio layer) after publication. GLYPH KITCHEN (research layer) until submission.</w:t>
      </w:r>
    </w:p>
    <w:p>
      <w:pPr>
        <w:ind w:left="360"/>
      </w:pPr>
      <w:r>
        <w:rPr>
          <w:rFonts w:ascii="Times New Roman" w:hAnsi="Times New Roman"/>
          <w:b/>
          <w:sz w:val="22"/>
        </w:rPr>
        <w:t xml:space="preserve">The support packet: </w:t>
      </w:r>
      <w:r>
        <w:rPr>
          <w:rFonts w:ascii="Times New Roman" w:hAnsi="Times New Roman"/>
          <w:sz w:val="22"/>
        </w:rPr>
        <w:t>QmPYcVJCV8277 — RESTRICTED. Contains the derivational and evidentiary core. Never expose without explicit direction.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