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THREE-YEAR CONFLICT CORRELATION MODEL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Density, Causation, and Narrative Timing Analysis — Case 26CV163297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Jair Valley | 1651 14th Street, Oakland CA 94607</w:t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Section 1 — Conflict Event Density Over Time</w:t>
      </w:r>
    </w:p>
    <w:p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200"/>
        <w:gridCol w:w="1500"/>
        <w:gridCol w:w="618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Events/Day</w:t>
            </w:r>
          </w:p>
        </w:tc>
        <w:tc>
          <w:tcPr>
            <w:tcW w:type="dxa" w:w="6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 — 3-Year Baseline (~2023–Nov 2025)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1095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0.0055</w:t>
            </w:r>
          </w:p>
        </w:tc>
        <w:tc>
          <w:tcPr>
            <w:tcW w:type="dxa" w:w="6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3-year baseline: distributed, low-intensity, no escalation trajectory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— Rent Notice Period (Dec 2025)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0.1330</w:t>
            </w:r>
          </w:p>
        </w:tc>
        <w:tc>
          <w:tcPr>
            <w:tcW w:type="dxa" w:w="6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Rent notice predates the event cluster and predates the 'mentally unstable' narrative by 3–5 weeks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 — Band Complaint Cluster (3–5 days)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8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1.2500</w:t>
            </w:r>
          </w:p>
        </w:tc>
        <w:tc>
          <w:tcPr>
            <w:tcW w:type="dxa" w:w="6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★ PEAK DENSITY: Band complaint cluster. 227x baseline rate. Shortest time window, highest event concentration. All 5 events initiated by Cameron/George within 3–5 days of Jair raising band concern.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— Post-Event Escalation (Jan–Feb 2026)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0.2220</w:t>
            </w:r>
          </w:p>
        </w:tc>
        <w:tc>
          <w:tcPr>
            <w:tcW w:type="dxa" w:w="6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Post-event legal escalation. 40x baseline. All actions initiated by Cameron/George/GGPM. Zero new actions initiated by Jair beyond responses.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RATIO: Band cluster vs 3-year baseline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227x</w:t>
            </w:r>
          </w:p>
        </w:tc>
        <w:tc>
          <w:tcPr>
            <w:tcW w:type="dxa" w:w="6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Band complaint period produced 227 times the daily conflict rate of the 3-year baseline. Rent-late period produced 24x baseline — less than 1/9th of the band complaint response.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Section 2 — Trigger-to-Response Correlation Timeline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★ = Initiating trigger event    RED = Retaliatory response    PURPLE = Legal escalation    DARK = Mental health narrative (introduced post-move-out demand only)</w:t>
      </w:r>
    </w:p>
    <w:p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748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Initiated By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~2023–2024 (est.)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Routine shared housing: kitchen use, noise, mail, cleaning disputes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~2024 ongoing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Kitchen cleanliness concern raised by Jair — no escalation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~2024 ongoing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Jair reduces kitchen use ~1 year to observe whether others clean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~Dec 2024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Felix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Felix pays Jair's January rent ($900 Venmo, labeled 'January rent')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Early Dec 2025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Jair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Rent Notice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Jair notifies housemates: rent will be late due to job loss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 3–31, 2025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Jair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Rent Notice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 job applications, 4 interviews — documented income pursuit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 2025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George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Rent Pressure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Rent pressure begins: 'Sell that chain', 'get up and get a job'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 2025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George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Rent Pressure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'How long we gonna have to wait', 'My money on the line'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8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Early Jan 2026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Jair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8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★ TRIGGER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TRIGGER: Jair raises band practice concern (4 days, ~4 hrs/day)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day / next day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53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Retaliation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RETALIATION: 'If it's so triggering then leave'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cluster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53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Retaliation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RETALIATION: 'If you think my art is racist move out'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cluster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George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53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Retaliation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RETALIATION: 'This is an art house'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cluster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George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53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Retaliation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RETALIATION: 'Get out of the house if you're not comfortable'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 2025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53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Channel Block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Cameron blocks Jair on all direct channels — post-band complaint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Mid-Jan 2026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George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E93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Escalation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 entry without permission (unauthorized access)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Mid-Jan 2026 (Wed)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E93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Recording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Cameron records Jair without consent (phone recording incident)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Mid-Jan 2026 (Wed)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Jair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ISOLATED EVENT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ISOLATED EVENT: Jair slaps phone — 0 injuries, 0 police, 0 emergency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Mid-Jan 2026 (Fri)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C4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Filing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CH-100 packet slid under door — no verbal notice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 9, 2026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Mental Narrative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 issued (26CV163297) — FEARING FOR MY OWN PHYSICAL SAFETY AFTER ASSAULT. JAIR DOESN'T SEEM MENTALLY STABLE, SO I'VE REFUSED ANY FURTHER COMMUNICATION WITH HIM.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 12, 2026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George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E93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Escalation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Key/mail demand issued — housing access restriction attempt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 2026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George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C4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Multi-Case Threat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 claims threat for rent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 2026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George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C4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Multi-Case Threat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'You gonna get kicked out one way or another and have 3 cases going'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 11, 2026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George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Eviction Framing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Eviction framing: 'leasing agency attorney is targeting just you'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 4, 2026 (ref)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George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Eviction Framing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Hearing date referenced as eviction mechanism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Section 3 — Narrative Timing: When Each Claim First Appears</w:t>
      </w:r>
    </w:p>
    <w:p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688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Narrative Claim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Documented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Predates / Postdates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Structural Problem With Claim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Jair is a threat / violent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 9, 2026 (TRO filing)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POSTDATES band complaint by ~3 weeks
POSTDATES move-out demand by ~3 weeks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Threat narrative appears only after (1) band complaint, (2) move-out demand. No police report, no injury, no prior threat documentation across 3-year tenancy. Cameron's own TRO states 'I've refused any further communication' — inconsistent with ongoing fear requiring legal intervention while still living in shared space.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Jair is mentally unstable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 9, 2026 (TRO text: 'doesn't seem mentally stable')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POSTDATES band complaint
POSTDATES move-out demand
NO prior documentation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Mental stability claim appears in the TRO — the same document filed after the move-out demand was rejected. Zero medical diagnosis, zero prior housing complaint, zero prior legal filing referencing mental health across the 3-year tenancy. Introduced as narrative only after retaliatory legal pathway was chosen.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Jair is unauthorized occupant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~Jan 2026 (GGPM contact)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POSTDATES band complaint
POSTDATES Jair's application (Apr 2025)
POSTDATES 3+ year occupancy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Unauthorized occupancy claim activated by GGPM only after tenant conflict escalation. April 2025 email from GGPM (Kourtney Davis) directly addresses Jair as occupant — management had documented knowledge. PG&amp;E utilities in Jair's name. Felix Talkin paid Jair's rent Dec 2024, labeled 'January rent' — evidence of recognized occupancy with rent obligation.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Rent nonpayment as cause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 2025 (rent notice given by Jair)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Rent notice PREDATES band complaint, PREDATES event, PREDATES legal filings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Jair gave advance notice of late rent — documented. The rent-pressure messages (Dec 2025) began before the band complaint. The band complaint (early Jan 2026) then produced an immediate 227x-density escalation cluster independent of rent. Rent and event are temporally separated by 3–5 weeks and causally unrelated.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Section 4 — Causal Chain: What the Data Shows</w:t>
      </w:r>
    </w:p>
    <w:p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48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1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years of tenancy: distributed, low-density conflicts. No threat narrative, no mental health narrative, no unauthorized occupancy narrative. Density = 0.0055 events/day.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1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December 2025: Jair gives advance rent notice (job loss). Rent pressure begins from George (not Cameron). No legal action. No threat narrative. Density rises to 0.133/day — 24x baseline, still well below what the band complaint produces.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8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1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 TRIGGER — Early January 2026: Jair raises band practice concern. Immediate response cluster: 5 retaliatory events in 3–5 days, all from Cameron/George. Density = 1.250/day (227x baseline). All 5 responses contain move-out demands or dismissals. Cameron blocks Jair on all channels within this same cluster.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E93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1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Mid-January 2026: Escalation cluster — unauthorized room entry, non-consensual phone recording, isolated 1-second phone-slap event (no injury, no police). CH-100 filed 2 days later. The recording incident immediately precedes the physical event — the recording is the provocation.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1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January 9, 2026: TRO filed. First documented appearance of 'mentally unstable' and 'threat' language — 3 weeks after band complaint, 3 weeks after move-out demand, same day as legal filing. Mental health narrative introduced exclusively in the legal document, not in any prior housing communication.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6</w:t>
            </w:r>
          </w:p>
        </w:tc>
        <w:tc>
          <w:tcPr>
            <w:tcW w:type="dxa" w:w="1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January–March 2026: 3-case escalation (TRO + unlawful detainer + small claims). All three cases initiated by Cameron/George/GGPM after Jair declines to vacate. George explicitly states '3 cases going simultaneously' as the removal mechanism. Unauthorized occupancy narrative activated by GGPM only at this point.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The isolated alleged violent event (1 instance, 1 second, 0 injuries) is embedded inside a 5-event retaliatory cluster that began with a band practice complaint — not a rent complaint, not a threat, not prior instability. The three legal narratives (threat, mental instability, unauthorized occupancy) have zero documentation prior to the move-out demand. The 3-year baseline contains no escalation trajectory toward any of these narratives. Correlation between band complaint → move-out demand → legal escalation is direct, chronologically tight, and documented.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Section 5 — Variables Needed for Full 30-Day Quantitative Model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The following 5 numbers per day would allow exact computation of all three metrics (p̄, R, CV) with daily granularity:</w:t>
      </w:r>
    </w:p>
    <w:p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18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Jair message count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ShrimpBoyz 2 + George thread</w:t>
            </w:r>
          </w:p>
        </w:tc>
        <w:tc>
          <w:tcPr>
            <w:tcW w:type="dxa" w:w="9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Minority actor daily output volume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George message count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George thread (208/228 msgs)</w:t>
            </w:r>
          </w:p>
        </w:tc>
        <w:tc>
          <w:tcPr>
            <w:tcW w:type="dxa" w:w="9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Dominant actor proxy output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Cameron message count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Cameron direct + ShrimpBoyz 2</w:t>
            </w:r>
          </w:p>
        </w:tc>
        <w:tc>
          <w:tcPr>
            <w:tcW w:type="dxa" w:w="9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filer output — drops to 0 post-block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Emilio/Felix message count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ShrimpBoyz 2 + Shrimpboyz69</w:t>
            </w:r>
          </w:p>
        </w:tc>
        <w:tc>
          <w:tcPr>
            <w:tcW w:type="dxa" w:w="9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Neutral actor baseline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N per day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threads</w:t>
            </w:r>
          </w:p>
        </w:tc>
        <w:tc>
          <w:tcPr>
            <w:tcW w:type="dxa" w:w="9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Denominator for all share calculations</w:t>
            </w:r>
          </w:p>
        </w:tc>
      </w:tr>
    </w:tbl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3C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B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2026-02-28T22:39:30.071Z</dcterms:created>
  <dcterms:modified xsi:type="dcterms:W3CDTF">2026-02-28T22:39:30.072Z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