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2"/>
        </w:rPr>
        <w:t>嘉兴仓储投资一体 Program — 决策一页纸</w:t>
      </w:r>
    </w:p>
    <w:p>
      <w:pPr>
        <w:jc w:val="center"/>
      </w:pPr>
      <w:r>
        <w:rPr>
          <w:rFonts w:ascii="微软雅黑" w:hAnsi="微软雅黑" w:eastAsia="微软雅黑"/>
          <w:b w:val="0"/>
          <w:sz w:val="20"/>
        </w:rPr>
        <w:t>呈报：厂长 / 总经理　　2026-08-04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请决策</w:t>
      </w:r>
    </w:p>
    <w:p>
      <w:pPr>
        <w:spacing w:after="80"/>
      </w:pPr>
      <w:r>
        <w:rPr>
          <w:rFonts w:ascii="微软雅黑" w:hAnsi="微软雅黑" w:eastAsia="微软雅黑"/>
          <w:b/>
          <w:sz w:val="22"/>
        </w:rPr>
        <w:t>批准一体 Program：启动 WP-A 采购准备；WP-B 概算补齐后金额终裁。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投资前提（会上先讲）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① 仓容：危化品存放法规要求使生产退运库存大增；5号甲类利用率已约80–85%。不投资则需外租甲类仓——增加租赁成本，且收发货更复杂、不利效率。对策：8号仓货架+VNA。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0"/>
        </w:rPr>
        <w:t>② 温控：成品UV+水性漆需温控；德国Marcel Hellman考察亦指出大量原材料需温控。非温控仓已不符合国产化高标准工厂需求。对策：先做5号甲类温控试点。</w:t>
      </w:r>
    </w:p>
    <w:p>
      <w:pPr>
        <w:pStyle w:val="Heading1"/>
      </w:pPr>
      <w:r>
        <w:rPr>
          <w:rFonts w:ascii="微软雅黑" w:hAnsi="微软雅黑" w:eastAsia="微软雅黑"/>
          <w:b/>
          <w:sz w:val="28"/>
        </w:rPr>
        <w:t>投什么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工作包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内容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预算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WP-A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8号仓货架（设计已确认）+ VNA×2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约210–230万</w:t>
            </w:r>
          </w:p>
        </w:tc>
      </w:tr>
      <w:tr>
        <w:tc>
          <w:tcPr>
            <w:tcW w:type="dxa" w:w="3324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WP-B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5号甲类温控试点；乙类暂缓</w:t>
            </w:r>
          </w:p>
        </w:tc>
        <w:tc>
          <w:tcPr>
            <w:tcW w:type="dxa" w:w="3324"/>
          </w:tcPr>
          <w:p>
            <w:r>
              <w:rPr>
                <w:rFonts w:ascii="微软雅黑" w:hAnsi="微软雅黑" w:eastAsia="微软雅黑"/>
                <w:b w:val="0"/>
                <w:sz w:val="20"/>
              </w:rPr>
              <w:t>待工程询价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28"/>
        </w:rPr>
        <w:t>何时 / 谁来管</w:t>
      </w:r>
    </w:p>
    <w:p>
      <w:pPr>
        <w:spacing w:after="80"/>
      </w:pPr>
      <w:r>
        <w:rPr>
          <w:rFonts w:ascii="微软雅黑" w:hAnsi="微软雅黑" w:eastAsia="微软雅黑"/>
          <w:b w:val="0"/>
          <w:sz w:val="22"/>
        </w:rPr>
        <w:t>投用：2027年中。小组：物流+工程+EHS+生产+财务。</w:t>
      </w:r>
    </w:p>
    <w:p>
      <w:pPr>
        <w:spacing w:after="80"/>
      </w:pPr>
      <w:r>
        <w:rPr>
          <w:rFonts w:ascii="微软雅黑" w:hAnsi="微软雅黑" w:eastAsia="微软雅黑"/>
          <w:b/>
          <w:sz w:val="20"/>
        </w:rPr>
        <w:t>对比一句话：外租=持续花钱+流程复杂；厂内投资=能力留在工厂。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