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 Complete Program of Philosophical Study</w:t>
      </w:r>
    </w:p>
    <w:p>
      <w:pPr>
        <w:pStyle w:val="Subtitle"/>
      </w:pPr>
      <w:r>
        <w:rPr>
          <w:color w:val="000000"/>
        </w:rPr>
        <w:t>Reading writing dialogue and independent research</w:t>
      </w:r>
    </w:p>
    <w:p>
      <w:r>
        <w:t>Evidence checked 30 September 2026</w:t>
      </w:r>
    </w:p>
    <w:p>
      <w:pPr>
        <w:pStyle w:val="Heading2"/>
      </w:pPr>
      <w:r>
        <w:rPr>
          <w:color w:val="000000"/>
        </w:rPr>
        <w:t>Start here</w:t>
      </w:r>
    </w:p>
    <w:p>
      <w:r>
        <w:t>Begin with one rested ninety-minute session. Use your existing collection and the linked free marked reading copies and guide. Save your own first attempt; it is a starting point, not a graded test.</w:t>
      </w:r>
    </w:p>
    <w:p>
      <w:pPr>
        <w:pStyle w:val="Heading2"/>
      </w:pPr>
      <w:r>
        <w:rPr>
          <w:color w:val="000000"/>
        </w:rPr>
        <w:t>Your next session</w:t>
      </w:r>
    </w:p>
    <w:p>
      <w:pPr>
        <w:ind w:left="331" w:hanging="230"/>
      </w:pPr>
      <w:r>
        <w:t xml:space="preserve">•  </w:t>
      </w:r>
      <w:r>
        <w:t>15 minutes: read OpenStax section 2.5 Reading Philosophy</w:t>
      </w:r>
    </w:p>
    <w:p>
      <w:pPr>
        <w:ind w:left="331" w:hanging="230"/>
      </w:pPr>
      <w:r>
        <w:t xml:space="preserve">•  </w:t>
      </w:r>
      <w:r>
        <w:t>20 minutes: read Plato’s Euthyphro from 2a to the start of 5d and identify who is speaking and what question is emerging</w:t>
      </w:r>
    </w:p>
    <w:p>
      <w:pPr>
        <w:ind w:left="331" w:hanging="230"/>
      </w:pPr>
      <w:r>
        <w:t xml:space="preserve">•  </w:t>
      </w:r>
      <w:r>
        <w:t>20 minutes: write a 120-word paraphrase of Euthyphro’s reason for prosecuting his father</w:t>
      </w:r>
    </w:p>
    <w:p>
      <w:pPr>
        <w:ind w:left="331" w:hanging="230"/>
      </w:pPr>
      <w:r>
        <w:t xml:space="preserve">•  </w:t>
      </w:r>
      <w:r>
        <w:t>15 minutes: distinguish what the speaker claims from your own reaction</w:t>
      </w:r>
    </w:p>
    <w:p>
      <w:pPr>
        <w:ind w:left="331" w:hanging="230"/>
      </w:pPr>
      <w:r>
        <w:t xml:space="preserve">•  </w:t>
      </w:r>
      <w:r>
        <w:t>10 minutes: explain your paragraph aloud or in a short typed exchange</w:t>
      </w:r>
    </w:p>
    <w:p>
      <w:pPr>
        <w:ind w:left="331" w:hanging="230"/>
      </w:pPr>
      <w:r>
        <w:t xml:space="preserve">•  </w:t>
      </w:r>
      <w:r>
        <w:t>10 minutes: save the untouched attempt, note difficulties, and name your next question</w:t>
      </w:r>
    </w:p>
    <w:p>
      <w:hyperlink r:id="rId11">
        <w:r>
          <w:rPr>
            <w:color w:val="174A6B"/>
            <w:u w:val="single"/>
          </w:rPr>
          <w:t>Open the reading guide</w:t>
        </w:r>
      </w:hyperlink>
      <w:r>
        <w:t xml:space="preserve">  |  </w:t>
      </w:r>
      <w:hyperlink r:id="rId12">
        <w:r>
          <w:rPr>
            <w:color w:val="174A6B"/>
            <w:u w:val="single"/>
          </w:rPr>
          <w:t>Open the marked Euthyphro reading</w:t>
        </w:r>
      </w:hyperlink>
    </w:p>
    <w:p>
      <w:r>
        <w:t>If you need longer, extend the session or split it. These ninety minutes count inside Course 1; do not repeat the diagnostic when you reach its module list. Ask for feedback on one or two important issues rather than a rewritten paragraph.</w:t>
      </w:r>
    </w:p>
    <w:p>
      <w:pPr>
        <w:pStyle w:val="Heading2"/>
      </w:pPr>
      <w:r>
        <w:rPr>
          <w:color w:val="000000"/>
        </w:rPr>
        <w:t>The route and commitment</w:t>
      </w:r>
    </w:p>
    <w:p>
      <w:r>
        <w:t>Fourteen courses: methods and logic; eight common historical and topical courses; Chinese or Africana philosophy; one selected area; an advanced seminar; and a research capstone. The default depth route is Chinese philosophy, Mind and Language, then AI Language and Consciousness. Later choices have a compatibility map; no choice is needed now.</w:t>
      </w:r>
    </w:p>
    <w:p>
      <w:r>
        <w:t>The default planning estimate is 1,890 focused hours. At five to seven hours a week and forty-six study weeks a year, that is about 5.9–8.2 years. There is no deadline. Actual pace will be calibrated; optional work audio does not replace focused reading and writing.</w:t>
      </w:r>
    </w:p>
    <w:p>
      <w:r>
        <w:t>This is a university-informed philosophy education with inspectable work. It awards no credit and does not certify equality with a university degree. The first useful milestone is the initial reading, reasoning, and writing course, not the distant capstone.</w:t>
      </w:r>
    </w:p>
    <w:p>
      <w:hyperlink w:anchor="section_2">
        <w:r>
          <w:rPr>
            <w:color w:val="174A6B"/>
            <w:u w:val="single"/>
          </w:rPr>
          <w:t>Open the detailed Course 1 sequence</w:t>
        </w:r>
      </w:hyperlink>
    </w:p>
    <w:p>
      <w:r>
        <w:br w:type="page"/>
      </w:r>
    </w:p>
    <w:p>
      <w:pPr>
        <w:pStyle w:val="Heading1"/>
      </w:pPr>
      <w:r>
        <w:rPr>
          <w:color w:val="000000"/>
        </w:rPr>
        <w:t>Contents</w:t>
      </w:r>
    </w:p>
    <w:p>
      <w:pPr>
        <w:spacing w:after="60"/>
      </w:pPr>
      <w:hyperlink w:anchor="section_1">
        <w:r>
          <w:rPr>
            <w:color w:val="174A6B"/>
            <w:u w:val="single"/>
          </w:rPr>
          <w:t>Program guide</w:t>
        </w:r>
      </w:hyperlink>
    </w:p>
    <w:p>
      <w:pPr>
        <w:spacing w:after="60"/>
      </w:pPr>
      <w:hyperlink w:anchor="section_2">
        <w:r>
          <w:rPr>
            <w:color w:val="174A6B"/>
            <w:u w:val="single"/>
          </w:rPr>
          <w:t>Course 1 Reading reasoning and philosophical writing</w:t>
        </w:r>
      </w:hyperlink>
    </w:p>
    <w:p>
      <w:pPr>
        <w:spacing w:after="60"/>
      </w:pPr>
      <w:hyperlink w:anchor="section_3">
        <w:r>
          <w:rPr>
            <w:color w:val="174A6B"/>
            <w:u w:val="single"/>
          </w:rPr>
          <w:t>Course 2 Formal logic</w:t>
        </w:r>
      </w:hyperlink>
    </w:p>
    <w:p>
      <w:pPr>
        <w:spacing w:after="60"/>
      </w:pPr>
      <w:hyperlink w:anchor="section_4">
        <w:r>
          <w:rPr>
            <w:color w:val="174A6B"/>
            <w:u w:val="single"/>
          </w:rPr>
          <w:t>Course 3 Ancient philosophy</w:t>
        </w:r>
      </w:hyperlink>
    </w:p>
    <w:p>
      <w:pPr>
        <w:spacing w:after="60"/>
      </w:pPr>
      <w:hyperlink w:anchor="section_5">
        <w:r>
          <w:rPr>
            <w:color w:val="174A6B"/>
            <w:u w:val="single"/>
          </w:rPr>
          <w:t>Course 4 Medieval philosophy and transmission</w:t>
        </w:r>
      </w:hyperlink>
    </w:p>
    <w:p>
      <w:pPr>
        <w:spacing w:after="60"/>
      </w:pPr>
      <w:hyperlink w:anchor="section_6">
        <w:r>
          <w:rPr>
            <w:color w:val="174A6B"/>
            <w:u w:val="single"/>
          </w:rPr>
          <w:t>Course 5 Early modern philosophy</w:t>
        </w:r>
      </w:hyperlink>
    </w:p>
    <w:p>
      <w:pPr>
        <w:spacing w:after="60"/>
      </w:pPr>
      <w:hyperlink w:anchor="section_7">
        <w:r>
          <w:rPr>
            <w:color w:val="174A6B"/>
            <w:u w:val="single"/>
          </w:rPr>
          <w:t>Course 6 Ethics</w:t>
        </w:r>
      </w:hyperlink>
    </w:p>
    <w:p>
      <w:pPr>
        <w:spacing w:after="60"/>
      </w:pPr>
      <w:hyperlink w:anchor="section_8">
        <w:r>
          <w:rPr>
            <w:color w:val="174A6B"/>
            <w:u w:val="single"/>
          </w:rPr>
          <w:t>Course 7 Knowledge and reality</w:t>
        </w:r>
      </w:hyperlink>
    </w:p>
    <w:p>
      <w:pPr>
        <w:spacing w:after="60"/>
      </w:pPr>
      <w:hyperlink w:anchor="section_9">
        <w:r>
          <w:rPr>
            <w:color w:val="174A6B"/>
            <w:u w:val="single"/>
          </w:rPr>
          <w:t>Course 8 Political philosophy</w:t>
        </w:r>
      </w:hyperlink>
    </w:p>
    <w:p>
      <w:pPr>
        <w:spacing w:after="60"/>
      </w:pPr>
      <w:hyperlink w:anchor="section_10">
        <w:r>
          <w:rPr>
            <w:color w:val="174A6B"/>
            <w:u w:val="single"/>
          </w:rPr>
          <w:t>Course 9 Kant and selected nineteenth century responses</w:t>
        </w:r>
      </w:hyperlink>
    </w:p>
    <w:p>
      <w:pPr>
        <w:spacing w:after="60"/>
      </w:pPr>
      <w:hyperlink w:anchor="section_11">
        <w:r>
          <w:rPr>
            <w:color w:val="174A6B"/>
            <w:u w:val="single"/>
          </w:rPr>
          <w:t>Course 10 Philosophy of science</w:t>
        </w:r>
      </w:hyperlink>
    </w:p>
    <w:p>
      <w:pPr>
        <w:spacing w:after="60"/>
      </w:pPr>
      <w:hyperlink w:anchor="section_12">
        <w:r>
          <w:rPr>
            <w:color w:val="174A6B"/>
            <w:u w:val="single"/>
          </w:rPr>
          <w:t>Course 11 Sustained study of a global tradition</w:t>
        </w:r>
      </w:hyperlink>
    </w:p>
    <w:p>
      <w:pPr>
        <w:spacing w:after="60"/>
      </w:pPr>
      <w:hyperlink w:anchor="section_13">
        <w:r>
          <w:rPr>
            <w:color w:val="174A6B"/>
            <w:u w:val="single"/>
          </w:rPr>
          <w:t>Course 12 A selected philosophical area</w:t>
        </w:r>
      </w:hyperlink>
    </w:p>
    <w:p>
      <w:pPr>
        <w:spacing w:after="60"/>
      </w:pPr>
      <w:hyperlink w:anchor="section_14">
        <w:r>
          <w:rPr>
            <w:color w:val="174A6B"/>
            <w:u w:val="single"/>
          </w:rPr>
          <w:t>Course 13 Advanced seminar and research apprenticeship</w:t>
        </w:r>
      </w:hyperlink>
    </w:p>
    <w:p>
      <w:pPr>
        <w:spacing w:after="60"/>
      </w:pPr>
      <w:hyperlink w:anchor="section_15">
        <w:r>
          <w:rPr>
            <w:color w:val="174A6B"/>
            <w:u w:val="single"/>
          </w:rPr>
          <w:t>Course 14 Independent research capstone</w:t>
        </w:r>
      </w:hyperlink>
    </w:p>
    <w:p>
      <w:pPr>
        <w:spacing w:after="60"/>
      </w:pPr>
      <w:hyperlink w:anchor="section_16">
        <w:r>
          <w:rPr>
            <w:color w:val="174A6B"/>
            <w:u w:val="single"/>
          </w:rPr>
          <w:t>Reference and research protocol</w:t>
        </w:r>
      </w:hyperlink>
    </w:p>
    <w:p>
      <w:pPr>
        <w:spacing w:after="60"/>
      </w:pPr>
      <w:hyperlink w:anchor="section_17">
        <w:r>
          <w:rPr>
            <w:color w:val="174A6B"/>
            <w:u w:val="single"/>
          </w:rPr>
          <w:t>Evidence and design rationale</w:t>
        </w:r>
      </w:hyperlink>
    </w:p>
    <w:p>
      <w:pPr>
        <w:spacing w:after="60"/>
      </w:pPr>
      <w:hyperlink w:anchor="section_18">
        <w:r>
          <w:rPr>
            <w:color w:val="174A6B"/>
            <w:u w:val="single"/>
          </w:rPr>
          <w:t>Assessment blueprints and operational rubric</w:t>
        </w:r>
      </w:hyperlink>
    </w:p>
    <w:p>
      <w:pPr>
        <w:spacing w:after="60"/>
      </w:pPr>
      <w:hyperlink w:anchor="section_19">
        <w:r>
          <w:rPr>
            <w:color w:val="174A6B"/>
            <w:u w:val="single"/>
          </w:rPr>
          <w:t>Reading access and edition crosswalk</w:t>
        </w:r>
      </w:hyperlink>
    </w:p>
    <w:p>
      <w:pPr>
        <w:spacing w:after="60"/>
      </w:pPr>
      <w:hyperlink w:anchor="section_20">
        <w:r>
          <w:rPr>
            <w:color w:val="174A6B"/>
            <w:u w:val="single"/>
          </w:rPr>
          <w:t>Research and review record</w:t>
        </w:r>
      </w:hyperlink>
    </w:p>
    <w:p>
      <w:r>
        <w:br w:type="page"/>
      </w:r>
    </w:p>
    <w:p>
      <w:bookmarkStart w:id="1" w:name="section_1"/>
      <w:pPr>
        <w:pStyle w:val="Heading1"/>
        <w:pageBreakBefore/>
      </w:pPr>
      <w:r>
        <w:rPr>
          <w:color w:val="000000"/>
        </w:rPr>
        <w:t>Program guide</w:t>
      </w:r>
      <w:bookmarkEnd w:id="1"/>
    </w:p>
    <w:p>
      <w:pPr>
        <w:pStyle w:val="Heading2"/>
      </w:pPr>
      <w:r>
        <w:rPr>
          <w:color w:val="000000"/>
        </w:rPr>
        <w:t>Purpose and recommendation</w:t>
      </w:r>
    </w:p>
    <w:p>
      <w:r>
        <w:t>This program is for an adult beginning formal philosophical study, with no college coursework assumed, who can protect five to seven focused hours each week. Its aim is sustained philosophical competence: reading difficult arguments accurately, reasoning with formal and informal tools, writing defensible positions, understanding historical and cultural contexts, and conducting a bounded independent inquiry. It is designed around writing, with conversation, interactive computer exercises, and optional audio as supports.</w:t>
      </w:r>
    </w:p>
    <w:p>
      <w:r>
        <w:t>This handbook is the revised study plan replacing the earlier fifteen-unit outline. Keep the original collection as a source library; use the sequence, reading boundaries, and assessment rules here for the new program.</w:t>
      </w:r>
    </w:p>
    <w:p>
      <w:r>
        <w:t>The recommended route combines a common foundation, a sustained global-tradition course, a selected area, an advanced seminar, and a research capstone. It is a complete self-study plan, not an accredited degree, a substitute for a whole undergraduate education, or a validated claim of equality with a university graduate. Philosophy majors differ substantially. The design borrows defensible features from several programs rather than treating a single university as the universal standard.</w:t>
      </w:r>
    </w:p>
    <w:p>
      <w:r>
        <w:t>The biggest practical conclusion is that this is a multi-year education. Do not try to imitate a full-time undergraduate timetable in a few evening hours. Work on one main course at a time, maintain a small cumulative-review practice, and take the time required to revise your writing. Finish useful stages along the way rather than regarding everything before the capstone as unfinished preparation.</w:t>
      </w:r>
    </w:p>
    <w:p>
      <w:pPr>
        <w:pStyle w:val="Heading2"/>
      </w:pPr>
      <w:r>
        <w:rPr>
          <w:color w:val="000000"/>
        </w:rPr>
        <w:t>The recommended route at a glance</w:t>
      </w:r>
    </w:p>
    <w:p>
      <w:r>
        <w:t>The default route is the fourteen courses below, in order. Course 11A is Chinese philosophy, Course 12A is Mind and Language, and Course 13A is the AI seminar. These choices make one coherent route available immediately; they are not claims that those subjects are superior to the alternatives.</w:t>
      </w:r>
    </w:p>
    <w:tbl>
      <w:tblPr>
        <w:tblW w:type="auto" w:w="0"/>
        <w:jc w:val="center"/>
        <w:tblLayout w:type="fixed"/>
        <w:tblLook w:firstColumn="1" w:firstRow="1" w:lastColumn="0" w:lastRow="0" w:noHBand="0" w:noVBand="1" w:val="04A0"/>
      </w:tblPr>
      <w:tblGrid>
        <w:gridCol w:w="864"/>
        <w:gridCol w:w="2880"/>
        <w:gridCol w:w="1008"/>
        <w:gridCol w:w="5184"/>
      </w:tblGrid>
      <w:tr>
        <w:trPr>
          <w:tblHeader w:val="true"/>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No</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Focus</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Hours</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Main culminating work</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Reading reasoning and writing</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120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Revised 1,000–1,200-word essay and independent passage work</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2</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Formal logic</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150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Mixed proofs, interpretations, symbolizations, and an 800–1,000-word analysis</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Ancient philosophy</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120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1,500–1,800-word historical argument</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4</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Medieval philosophy and transmission</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100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1,500–1,800-word interpretation</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5</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Early modern philosophy</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120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1,800–2,000-word argument</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6</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Ethics</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120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1,800–2,000-word argument</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7</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Knowledge and reality</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140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1,800–2,200-word theory or interpretation paper</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8</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Political philosophy</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140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1,800–2,200-word argument</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9</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Kant and selected nineteenth-century responses</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140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1,800–2,200-word close study</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10</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Philosophy of science</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120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1,800–2,200-word scientific-case analysis</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11</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Chinese or Africana philosophy</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140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2,000–2,400-word contextual interpretation</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12</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Selected area</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120–140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2,000–2,400-word specialist paper</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13</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Advanced seminar</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160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2,500–3,500-word research paper</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14</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Capstone</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180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5,000–7,000-word independent project</w:t>
            </w:r>
          </w:p>
        </w:tc>
      </w:tr>
      <w:tr>
        <w:trPr>
          <w:cantSplit/>
        </w:trPr>
        <w:tc>
          <w:tcPr>
            <w:tcW w:type="dxa" w:w="8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Total</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Default route</w:t>
            </w:r>
          </w:p>
        </w:tc>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1,890</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Portfolio plus independently attempted transfer tasks</w:t>
            </w:r>
          </w:p>
        </w:tc>
      </w:tr>
    </w:tbl>
    <w:p>
      <w:pPr>
        <w:spacing w:after="60"/>
      </w:pPr>
    </w:p>
    <w:p>
      <w:r>
        <w:t>The compatible Chinese plus Aesthetics route reduces the total to 1,870 hours; the compatibility map below identifies combinations requiring an extra course. Optional extra courses, remedial bridges, and a longer thesis add hours; audio does not reduce the required total. Every module’s hours sum to its course total. Essay drafting, feedback, revision, assessment, and delayed checks are already included. A delayed check done during the next course is charged to the prior course and occupies that week’s shared study budget. The next course advances more slowly; none of its required hours or outputs is deleted.</w:t>
      </w:r>
    </w:p>
    <w:p>
      <w:r>
        <w:t>At 1,890 hours, five hours a week means about 378 study weeks; six means 315; seven means 270. With forty-six study weeks a year, that is approximately 8.2, 6.8, or 5.9 calendar years. These are arithmetic scenarios, not deadlines. At forty study weeks a year, the corresponding figures are 9.5, 7.9, and 6.8 years. Waiting for a library loan does not consume focused study hours but can extend elapsed time. Actual reading and writing pace may change the estimate substantially.</w:t>
      </w:r>
    </w:p>
    <w:p>
      <w:r>
        <w:t>Useful milestones are foundations after Courses 1–2 (270 hours); initial historical and ethical competence after Course 6 (730 cumulative hours); the common breadth spine after Course 10 (1,270); depth and research preparation after Course 13 (1,710 on the default route); and the complete portfolio after Course 14 (1,890). Each milestone has useful outcomes in its own right. There is no need to claim full-program completion to value the work already done.</w:t>
      </w:r>
    </w:p>
    <w:p>
      <w:pPr>
        <w:pStyle w:val="Heading2"/>
      </w:pPr>
      <w:r>
        <w:rPr>
          <w:color w:val="000000"/>
        </w:rPr>
        <w:t>Alternate coherent paths</w:t>
      </w:r>
    </w:p>
    <w:p>
      <w:pPr>
        <w:ind w:left="331" w:hanging="230"/>
      </w:pPr>
      <w:r>
        <w:t xml:space="preserve">•  </w:t>
      </w:r>
      <w:r>
        <w:t>Mind and AI: Course 11A or 11B, then Mind and Language, then AI Language and Consciousness. The recommended route uses Chinese philosophy for sustained global breadth</w:t>
      </w:r>
    </w:p>
    <w:p>
      <w:pPr>
        <w:ind w:left="331" w:hanging="230"/>
      </w:pPr>
      <w:r>
        <w:t xml:space="preserve">•  </w:t>
      </w:r>
      <w:r>
        <w:t>Comparative moral philosophy: Classical Chinese Philosophy, any area option that interests you, then Comparative Moral Cultivation. Ethics and the Chinese course supply the advanced prerequisites</w:t>
      </w:r>
    </w:p>
    <w:p>
      <w:pPr>
        <w:ind w:left="331" w:hanging="230"/>
      </w:pPr>
      <w:r>
        <w:t xml:space="preserve">•  </w:t>
      </w:r>
      <w:r>
        <w:t>Social knowledge and justice: Africana Philosophy, Social Philosophy and Applied Justice, then Social Knowledge and Justice</w:t>
      </w:r>
    </w:p>
    <w:p>
      <w:pPr>
        <w:ind w:left="331" w:hanging="230"/>
      </w:pPr>
      <w:r>
        <w:t xml:space="preserve">•  </w:t>
      </w:r>
      <w:r>
        <w:t>Arts or phenomenology with global depth: Classical Chinese Philosophy plus Aesthetics or Pragmatism Phenomenology and Existential Inquiry, then Comparative Moral Cultivation. The selected area is a genuine course, while the advanced research concentration remains the studied tradition</w:t>
      </w:r>
    </w:p>
    <w:p>
      <w:r>
        <w:t>Choose based on the questions that sustain your attention, the quality of available feedback, and source access. A future change of focus should preserve completed common work. Extra breadth is optional: a person does not need every subfield to make serious progress in philosophy.</w:t>
      </w:r>
    </w:p>
    <w:p>
      <w:r>
        <w:t>Check this compatibility map before selecting Courses 11 and 12. It prevents an unexpected extra course later.</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Area choice in Course 12</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With Chinese philosophy</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With Africana philosophy</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Mind and Language</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Seminar A AI or Seminar B Cultivation</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Seminar A AI</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Aesthetics</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Seminar B Cultivation</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Add Mind and Language or Social Philosophy first</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Pragmatism Phenomenology and Existential Inquiry</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Seminar B Cultivation</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Add Mind and Language or Social Philosophy first</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Social Philosophy and Applied Justice</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Seminar B Cultivation</w:t>
            </w:r>
          </w:p>
        </w:tc>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Seminar C Social Knowledge</w:t>
            </w:r>
          </w:p>
        </w:tc>
      </w:tr>
    </w:tbl>
    <w:p>
      <w:pPr>
        <w:spacing w:after="60"/>
      </w:pPr>
    </w:p>
    <w:p>
      <w:r>
        <w:t>The six compatible pairs require one course from each choice slot and fit the fourteen-course route. Africana plus Aesthetics or Pragmatism is a legitimate broader route, but it requires an additional 140-hour Mind and Language or Social Philosophy course before the corresponding advanced seminar. Its total is 2,010 hours with Aesthetics or 2,030 with Pragmatism. Alternatively, choose a compatible pair before beginning the area course. The extra prerequisite is never silently added to the default total.</w:t>
      </w:r>
    </w:p>
    <w:p>
      <w:pPr>
        <w:pStyle w:val="Heading2"/>
      </w:pPr>
      <w:r>
        <w:rPr>
          <w:color w:val="000000"/>
        </w:rPr>
        <w:t>Prerequisites and flexibility</w:t>
      </w:r>
    </w:p>
    <w:p>
      <w:r>
        <w:t>The numbered sequence is a convenient default. The real dependencies are conceptual: argument analysis before most essays; ordinary-language logic before formalization; truth-functional and first-order semantics before technical language work; Descartes and Hume before the central Kant problems; ethical reasoning before advanced justice; contextual competence before cross-cultural comparison; and research practice before the capstone.</w:t>
      </w:r>
    </w:p>
    <w:p>
      <w:r>
        <w:t>You may study history or ethics while still improving formal proofs. Full first-order proof proficiency is not a gate against all philosophical reading. Keep one main course at a time at this weekly budget; if you run logic alongside another subject, divide the same hours rather than doubling them. A learner may demonstrate prerequisites through fresh independent tasks instead of repeating already mastered material, but the assessment evidence must be recorded.</w:t>
      </w:r>
    </w:p>
    <w:p>
      <w:pPr>
        <w:pStyle w:val="Heading2"/>
      </w:pPr>
      <w:r>
        <w:rPr>
          <w:color w:val="000000"/>
        </w:rPr>
        <w:t>What the benchmarks justify</w:t>
      </w:r>
    </w:p>
    <w:p>
      <w:r>
        <w:t>The institutional and pedagogical evidence ledger at the end distinguishes three kinds of statement: a university’s actual requirement, a research finding, and a local design choice. The following are common patterns, not universal rules:</w:t>
      </w:r>
    </w:p>
    <w:p>
      <w:pPr>
        <w:ind w:left="331" w:hanging="230"/>
      </w:pPr>
      <w:r>
        <w:t xml:space="preserve">•  </w:t>
      </w:r>
      <w:r>
        <w:t>Breadth across history, value, and theoretical philosophy, with formal reasoning somewhere in the curriculum</w:t>
      </w:r>
    </w:p>
    <w:p>
      <w:pPr>
        <w:ind w:left="331" w:hanging="230"/>
      </w:pPr>
      <w:r>
        <w:t xml:space="preserve">•  </w:t>
      </w:r>
      <w:r>
        <w:t>A transition from introductory courses to demanding reading and advanced seminars</w:t>
      </w:r>
    </w:p>
    <w:p>
      <w:pPr>
        <w:ind w:left="331" w:hanging="230"/>
      </w:pPr>
      <w:r>
        <w:t xml:space="preserve">•  </w:t>
      </w:r>
      <w:r>
        <w:t>Repeated philosophical writing, criticism, and revision</w:t>
      </w:r>
    </w:p>
    <w:p>
      <w:pPr>
        <w:ind w:left="331" w:hanging="230"/>
      </w:pPr>
      <w:r>
        <w:t xml:space="preserve">•  </w:t>
      </w:r>
      <w:r>
        <w:t>Some opportunity for independent work; an extensive thesis is one route, not a requirement of every strong philosophy major</w:t>
      </w:r>
    </w:p>
    <w:p>
      <w:pPr>
        <w:ind w:left="331" w:hanging="230"/>
      </w:pPr>
      <w:r>
        <w:t xml:space="preserve">•  </w:t>
      </w:r>
      <w:r>
        <w:t>Significant differences between a US philosophy major within a broader degree and a UK whole-subject degree</w:t>
      </w:r>
    </w:p>
    <w:p>
      <w:r>
        <w:t>University course counts alone are a poor comparison. An eight-course major with junior independent papers and a senior thesis can entail more work than the number eight suggests. Requirements also sit within institutions that provide faculty, peers, libraries, prerequisite courses, and assessment. This plan supplies explicit tasks and a coherent structure; it cannot quietly manufacture those institutional conditions.</w:t>
      </w:r>
    </w:p>
    <w:p>
      <w:pPr>
        <w:pStyle w:val="Heading2"/>
      </w:pPr>
      <w:r>
        <w:rPr>
          <w:color w:val="000000"/>
        </w:rPr>
        <w:t>What completion means here</w:t>
      </w:r>
    </w:p>
    <w:p>
      <w:r>
        <w:t>Keep a portfolio of work and an evidence record. Completion means that you have finished the required route, can meet its stated learning outcomes on independent work, have corrected serious misunderstandings, and can explain and defend the final project. It does not mean that an AI’s numerical score certifies university-level attainment.</w:t>
      </w:r>
    </w:p>
    <w:p>
      <w:r>
        <w:t>Use two descriptions accurately:</w:t>
      </w:r>
    </w:p>
    <w:p>
      <w:pPr>
        <w:ind w:left="331" w:hanging="230"/>
      </w:pPr>
      <w:r>
        <w:t xml:space="preserve">•  </w:t>
      </w:r>
      <w:r>
        <w:t>Self-study completion: the work and readiness checks are complete, but assessment is principally self- and AI-assisted</w:t>
      </w:r>
    </w:p>
    <w:p>
      <w:pPr>
        <w:ind w:left="331" w:hanging="230"/>
      </w:pPr>
      <w:r>
        <w:t xml:space="preserve">•  </w:t>
      </w:r>
      <w:r>
        <w:t>Externally reviewed completion: a suitably qualified human has reviewed selected work against the stated criteria and documented strengths and remaining weaknesses</w:t>
      </w:r>
    </w:p>
    <w:p>
      <w:r>
        <w:t>Neither description awards credit. A single human review cannot certify every topic, and several AI models agreeing does not create independent faculty assessment. The evidence record should say what was reviewed, by whom, and with what limits.</w:t>
      </w:r>
    </w:p>
    <w:p>
      <w:pPr>
        <w:pStyle w:val="Heading2"/>
      </w:pPr>
      <w:r>
        <w:rPr>
          <w:color w:val="000000"/>
        </w:rPr>
        <w:t>Using the plan</w:t>
      </w:r>
    </w:p>
    <w:p>
      <w:r>
        <w:t>Start with Course 1. Read its first-session instructions before buying books. Do not acquire the entire library in advance. Before each course, verify access to that course’s finite core reading set and record the editions you will use. Optional readings never become unstated prerequisites. If a core work is inaccessible, resolve the named fallback or borrowing route before the relevant module; do not silently replace it with an AI summary.</w:t>
      </w:r>
    </w:p>
    <w:p>
      <w:r>
        <w:t>A module is a work package, not a calendar week. At six hours per week, a twelve-hour module normally spans two weeks. Courses specify outputs as well as readings, so you can stop and resume without designing the next assignment from scratch. Dates and deadlines are unnecessary. Reading ahead is welcome, but advanced assessment assumes the stated prerequisites.</w:t>
      </w:r>
    </w:p>
    <w:p>
      <w:pPr>
        <w:pStyle w:val="Heading2"/>
      </w:pPr>
      <w:r>
        <w:rPr>
          <w:color w:val="000000"/>
        </w:rPr>
        <w:t>Workload and pace</w:t>
      </w:r>
    </w:p>
    <w:p>
      <w:r>
        <w:t>Every estimate below includes focused reading and rereading, notes, exercises, tutorials or self-dialogue, drafting, feedback review, revision, assessment, and cumulative review. The totals are planning estimates, not credit conversions or guarantees of quality. The first two courses provide a calibration period. Record actual time in fifteen-minute increments for a few modules, then adjust later estimates without cutting essential learning outcomes.</w:t>
      </w:r>
    </w:p>
    <w:p>
      <w:r>
        <w:t>Run a pacing check during the first four to six weeks and again at the first dense module in a new stage. Record pages understood rather than merely scanned, time spent reconstructing, draft words that survive revision, and help needed. After two contrasting sessions, project the remaining assigned pages and writing separately. For planning sensitivity, forty dense pages at four pages per hour require ten reading hours before exercises or revision; at two pages per hour they require twenty. These are illustrative rates, not claims about you or universal norms. The advanced seminar now gives forty-four hours to core analysis because a twenty-eight-hour bundle left too little room for its four reconstructions and maps. If the core cannot be read responsibly within an estimate, extend the module and update the overall projection. Optional enrichment is the first thing to remove; required arguments are not silently cut to protect a tidy total.</w:t>
      </w:r>
    </w:p>
    <w:p>
      <w:r>
        <w:t>Use the following six-hour weekly rhythm as a starting point:</w:t>
      </w:r>
    </w:p>
    <w:p>
      <w:pPr>
        <w:ind w:left="331" w:hanging="230"/>
      </w:pPr>
      <w:r>
        <w:t xml:space="preserve">•  </w:t>
      </w:r>
      <w:r>
        <w:t>120 minutes close reading and source notes, in two sessions</w:t>
      </w:r>
    </w:p>
    <w:p>
      <w:pPr>
        <w:ind w:left="331" w:hanging="230"/>
      </w:pPr>
      <w:r>
        <w:t xml:space="preserve">•  </w:t>
      </w:r>
      <w:r>
        <w:t>60 minutes argument reconstruction, logic, or a computer-based exercise</w:t>
      </w:r>
    </w:p>
    <w:p>
      <w:pPr>
        <w:ind w:left="331" w:hanging="230"/>
      </w:pPr>
      <w:r>
        <w:t xml:space="preserve">•  </w:t>
      </w:r>
      <w:r>
        <w:t>100 minutes drafting or revising the current written task</w:t>
      </w:r>
    </w:p>
    <w:p>
      <w:pPr>
        <w:ind w:left="331" w:hanging="230"/>
      </w:pPr>
      <w:r>
        <w:t xml:space="preserve">•  </w:t>
      </w:r>
      <w:r>
        <w:t>40 minutes discussion, oral explanation, or a tutor session</w:t>
      </w:r>
    </w:p>
    <w:p>
      <w:pPr>
        <w:ind w:left="331" w:hanging="230"/>
      </w:pPr>
      <w:r>
        <w:t xml:space="preserve">•  </w:t>
      </w:r>
      <w:r>
        <w:t>25 minutes retrieval from earlier modules and correction of errors</w:t>
      </w:r>
    </w:p>
    <w:p>
      <w:pPr>
        <w:ind w:left="331" w:hanging="230"/>
      </w:pPr>
      <w:r>
        <w:t xml:space="preserve">•  </w:t>
      </w:r>
      <w:r>
        <w:t>15 minutes planning, source checks, and recording the next step</w:t>
      </w:r>
    </w:p>
    <w:p>
      <w:r>
        <w:t>At five hours, reduce the size of that week’s reading/task package and carry the remaining hour forward. At seven hours, add an hour of reading or revision. Do not remove revision, postpone all writing until the end, or count the same activity twice. Logic-heavy weeks move time from prose writing to problems; essay weeks move it from new reading to drafting.</w:t>
      </w:r>
    </w:p>
    <w:p>
      <w:r>
        <w:t>Optional listening during night work is enrichment. Use familiar material or a lecturer’s overview, and only where listening is safe and compatible with work. Do not operate machinery, drive, or undertake safety-critical work while doing demanding philosophical exercises. Distracted audio does not count toward the focused workload and does not replace primary-text reading. Afterwards, an optional five-minute note can record one argument you remember and one question to revisit when rested. There is no required audio quota.</w:t>
      </w:r>
    </w:p>
    <w:p>
      <w:pPr>
        <w:pStyle w:val="Heading2"/>
      </w:pPr>
      <w:r>
        <w:rPr>
          <w:color w:val="000000"/>
        </w:rPr>
        <w:t>The study cycle</w:t>
      </w:r>
    </w:p>
    <w:p>
      <w:pPr>
        <w:ind w:left="216" w:hanging="216"/>
      </w:pPr>
      <w:r>
        <w:rPr>
          <w:b/>
        </w:rPr>
        <w:t xml:space="preserve">1. Orient. </w:t>
      </w:r>
      <w:r>
        <w:t>Read a short historical/context note and the module question. Identify unfamiliar terms. A beginner may see one brief worked example before attempting a different task.</w:t>
      </w:r>
    </w:p>
    <w:p>
      <w:pPr>
        <w:ind w:left="216" w:hanging="216"/>
      </w:pPr>
      <w:r>
        <w:rPr>
          <w:b/>
        </w:rPr>
        <w:t xml:space="preserve">2. Read. </w:t>
      </w:r>
      <w:r>
        <w:t>First locate the question and conclusion; then reread the relevant passage, noting reasons and qualifications. Avoid transcribing the whole text.</w:t>
      </w:r>
    </w:p>
    <w:p>
      <w:pPr>
        <w:ind w:left="216" w:hanging="216"/>
      </w:pPr>
      <w:r>
        <w:rPr>
          <w:b/>
        </w:rPr>
        <w:t xml:space="preserve">3. Reconstruct. </w:t>
      </w:r>
      <w:r>
        <w:t>Put the argument into your own words, mark implied premises, and distinguish the author’s claim from your charitable repair.</w:t>
      </w:r>
    </w:p>
    <w:p>
      <w:pPr>
        <w:ind w:left="216" w:hanging="216"/>
      </w:pPr>
      <w:r>
        <w:rPr>
          <w:b/>
        </w:rPr>
        <w:t xml:space="preserve">4. Test. </w:t>
      </w:r>
      <w:r>
        <w:t>Try a counterexample, an alternative interpretation, a conflicting case, or a rival argument. Identify exactly which premise or inference is challenged.</w:t>
      </w:r>
    </w:p>
    <w:p>
      <w:pPr>
        <w:ind w:left="216" w:hanging="216"/>
      </w:pPr>
      <w:r>
        <w:rPr>
          <w:b/>
        </w:rPr>
        <w:t xml:space="preserve">5. Write. </w:t>
      </w:r>
      <w:r>
        <w:t>Make a bounded claim, support it with reasons and textual evidence, and address the strongest relevant objection.</w:t>
      </w:r>
    </w:p>
    <w:p>
      <w:pPr>
        <w:ind w:left="216" w:hanging="216"/>
      </w:pPr>
      <w:r>
        <w:rPr>
          <w:b/>
        </w:rPr>
        <w:t xml:space="preserve">6. Discuss. </w:t>
      </w:r>
      <w:r>
        <w:t>Explain the argument without reading a script. Ask for an objection that targets your actual claim, then revise if necessary.</w:t>
      </w:r>
    </w:p>
    <w:p>
      <w:pPr>
        <w:ind w:left="216" w:hanging="216"/>
      </w:pPr>
      <w:r>
        <w:rPr>
          <w:b/>
        </w:rPr>
        <w:t xml:space="preserve">7. Check. </w:t>
      </w:r>
      <w:r>
        <w:t>Consult a scholarly source and verify quotations, locators, and attribution against the primary text. Record whether the secondary source changed your reading.</w:t>
      </w:r>
    </w:p>
    <w:p>
      <w:pPr>
        <w:ind w:left="216" w:hanging="216"/>
      </w:pPr>
      <w:r>
        <w:rPr>
          <w:b/>
        </w:rPr>
        <w:t xml:space="preserve">8. Revise. </w:t>
      </w:r>
      <w:r>
        <w:t>Make substantive changes before polishing style. Explain the two most important changes in a short revision memo.</w:t>
      </w:r>
    </w:p>
    <w:p>
      <w:pPr>
        <w:ind w:left="216" w:hanging="216"/>
      </w:pPr>
      <w:r>
        <w:rPr>
          <w:b/>
        </w:rPr>
        <w:t xml:space="preserve">9. Retrieve. </w:t>
      </w:r>
      <w:r>
        <w:t>Later, reconstruct the key idea without notes and apply it to a fresh case. Reopen the text afterwards to correct errors.</w:t>
      </w:r>
    </w:p>
    <w:p>
      <w:r>
        <w:t>This is a flexible teaching sequence. It does not require unnecessary struggle with an unexplained technical term or forbid a useful lecture before reading. Support is gradually reduced as you gain skill.</w:t>
      </w:r>
    </w:p>
    <w:p>
      <w:pPr>
        <w:pStyle w:val="Heading2"/>
      </w:pPr>
      <w:r>
        <w:rPr>
          <w:color w:val="000000"/>
        </w:rPr>
        <w:t>Academic tools for beginners</w:t>
      </w:r>
    </w:p>
    <w:p>
      <w:r>
        <w:t>Course 1 teaches these practices in context. A lack of prior college credits is not a reason to delay philosophical work.</w:t>
      </w:r>
    </w:p>
    <w:p>
      <w:pPr>
        <w:ind w:left="331" w:hanging="230"/>
      </w:pPr>
      <w:r>
        <w:t xml:space="preserve">•  </w:t>
      </w:r>
      <w:r>
        <w:t>Distinguish an argument from a report, illustration, explanation, or rhetorical question</w:t>
      </w:r>
    </w:p>
    <w:p>
      <w:pPr>
        <w:ind w:left="331" w:hanging="230"/>
      </w:pPr>
      <w:r>
        <w:t xml:space="preserve">•  </w:t>
      </w:r>
      <w:r>
        <w:t>Paraphrase a short passage accurately and separate it from a quotation</w:t>
      </w:r>
    </w:p>
    <w:p>
      <w:pPr>
        <w:ind w:left="331" w:hanging="230"/>
      </w:pPr>
      <w:r>
        <w:t xml:space="preserve">•  </w:t>
      </w:r>
      <w:r>
        <w:t>Find a claim’s supporting reason and identify an unstated assumption</w:t>
      </w:r>
    </w:p>
    <w:p>
      <w:pPr>
        <w:ind w:left="331" w:hanging="230"/>
      </w:pPr>
      <w:r>
        <w:t xml:space="preserve">•  </w:t>
      </w:r>
      <w:r>
        <w:t>Use necessary and sufficient conditions, validity, soundness, counterexamples, and charity</w:t>
      </w:r>
    </w:p>
    <w:p>
      <w:pPr>
        <w:ind w:left="331" w:hanging="230"/>
      </w:pPr>
      <w:r>
        <w:t xml:space="preserve">•  </w:t>
      </w:r>
      <w:r>
        <w:t>Write a paragraph with a specific claim, evidence, and explanation</w:t>
      </w:r>
    </w:p>
    <w:p>
      <w:pPr>
        <w:ind w:left="331" w:hanging="230"/>
      </w:pPr>
      <w:r>
        <w:t xml:space="preserve">•  </w:t>
      </w:r>
      <w:r>
        <w:t>Cite a passage precisely and maintain a bibliographic record</w:t>
      </w:r>
    </w:p>
    <w:p>
      <w:pPr>
        <w:ind w:left="331" w:hanging="230"/>
      </w:pPr>
      <w:r>
        <w:t xml:space="preserve">•  </w:t>
      </w:r>
      <w:r>
        <w:t>Read a scholarly article’s introduction, argumentative structure, and conclusion without assuming every detail is equally important</w:t>
      </w:r>
    </w:p>
    <w:p>
      <w:pPr>
        <w:ind w:left="331" w:hanging="230"/>
      </w:pPr>
      <w:r>
        <w:t xml:space="preserve">•  </w:t>
      </w:r>
      <w:r>
        <w:t>Explain the difference between empirical evidence and a philosophical premise</w:t>
      </w:r>
    </w:p>
    <w:p>
      <w:r>
        <w:t>When difficulty persists, add a targeted bridge of six to twelve focused hours. For reading, work through one paragraph at a time with vocabulary glosses and three paraphrases. For writing, develop three 150-word claim–reason–objection paragraphs with feedback. For basic quantitative reasoning, practise percentages, conditional probability, and interpreting a small table before the science course’s probability module. These are extra hours when needed, not hidden prerequisites or admissions tests.</w:t>
      </w:r>
    </w:p>
    <w:p>
      <w:pPr>
        <w:pStyle w:val="Heading2"/>
      </w:pPr>
      <w:r>
        <w:rPr>
          <w:color w:val="000000"/>
        </w:rPr>
        <w:t>Writing that develops across the program</w:t>
      </w:r>
    </w:p>
    <w:p>
      <w:r>
        <w:t>Course 1 moves from 150-word paraphrases to 300–500-word reconstructions, then to a 1,000–1,200-word essay. Early core courses use 600–800-word interpretive exercises and 1,500–1,800-word revised essays. Middle courses add comparison and source evaluation, generally culminating in 1,800–2,200 words. Advanced work uses a 2,500–3,500-word seminar paper. The capstone is a 5,000–7,000-word independent research paper with a bounded original contribution, such as a refined objection, a justified distinction, or a more accurate interpretation. A longer thesis is an optional extension, not evidence of quality by length alone.</w:t>
      </w:r>
    </w:p>
    <w:p>
      <w:r>
        <w:t>For each substantial paper, retain the proposal, outline, first draft, feedback, revision, source list, and a 200-word revision memo. Do not submit several near-identical essays merely to increase the count. One paper revised seriously is often more educational than three unexamined drafts, but revision is paired with later independent work to show transfer.</w:t>
      </w:r>
    </w:p>
    <w:p>
      <w:r>
        <w:t>The core paragraph template is temporary scaffolding: “I argue that … because … . A serious objection is … . This matters because … . My reply is … .” Mature work need not sound formulaic. Interpretive and comparative essays may need a more complex structure, but clarity about the question, evidence, and inferential steps remains essential.</w:t>
      </w:r>
    </w:p>
    <w:p>
      <w:pPr>
        <w:pStyle w:val="Heading2"/>
      </w:pPr>
      <w:r>
        <w:rPr>
          <w:color w:val="000000"/>
        </w:rPr>
        <w:t>Feedback and readiness</w:t>
      </w:r>
    </w:p>
    <w:p>
      <w:r>
        <w:t>The criteria are stable; the expected complexity rises. Evaluate six dimensions:</w:t>
      </w:r>
    </w:p>
    <w:p>
      <w:pPr>
        <w:ind w:left="216" w:hanging="216"/>
      </w:pPr>
      <w:r>
        <w:t>1. Question and thesis: a precise answer to a genuine problem, with scope appropriate to the assignment</w:t>
      </w:r>
    </w:p>
    <w:p>
      <w:pPr>
        <w:ind w:left="216" w:hanging="216"/>
      </w:pPr>
      <w:r>
        <w:t>2. Interpretation and context: an accurate, charitable account of the relevant position, supported by exact passages and without anachronism</w:t>
      </w:r>
    </w:p>
    <w:p>
      <w:pPr>
        <w:ind w:left="216" w:hanging="216"/>
      </w:pPr>
      <w:r>
        <w:t>3. Reasoning: explicit reasons that support the conclusion; important assumptions, distinctions, and counterexamples handled responsibly</w:t>
      </w:r>
    </w:p>
    <w:p>
      <w:pPr>
        <w:ind w:left="216" w:hanging="216"/>
      </w:pPr>
      <w:r>
        <w:t>4. Objection and reply: a substantial challenge to the actual argument and a responsive answer or justified revision</w:t>
      </w:r>
    </w:p>
    <w:p>
      <w:pPr>
        <w:ind w:left="216" w:hanging="216"/>
      </w:pPr>
      <w:r>
        <w:t>5. Evidence and research: traceable citations, verified claims, suitable sources, and a clear distinction between evidence and inference</w:t>
      </w:r>
    </w:p>
    <w:p>
      <w:pPr>
        <w:ind w:left="216" w:hanging="216"/>
      </w:pPr>
      <w:r>
        <w:t>6. Organization and expression: a reader can follow the argument; terms remain consistent; prose does not hide gaps in reasoning</w:t>
      </w:r>
    </w:p>
    <w:p>
      <w:r>
        <w:t>Use the descriptors “not yet demonstrated,” “developing with support,” “independently competent,” and “strong and transferable.” “Independently competent” means the work succeeds on the assignment’s essential tasks without substantive coaching, though it may contain minor errors and need stylistic revision. Serious source fabrication, a central misreading, an unsupported central inference, or inability to explain one’s own paper prevents readiness even if the prose is excellent.</w:t>
      </w:r>
    </w:p>
    <w:p>
      <w:r>
        <w:t>A normal course has three sources of evidence: a revised paper, an independent short task or problem set on a fresh passage/case, and an unscripted explanation or accessible equivalent. A delayed retrieval/transfer task in a later course checks retention. For each essential outcome group in the course assessment blueprint, retain one satisfactory module artifact and one independently competent fresh task. The module artifact may be supported practice, with the assistance recorded; the independent task must be completed without content assistance. A paper supplies depth but cannot stand in for unaddressed outcome groups. This evidence rule is a local design choice, not an empirically validated cutoff or university grading standard.</w:t>
      </w:r>
    </w:p>
    <w:p>
      <w:r>
        <w:t>Written tasks are open-text when interpretation matters, but closed to AI assistance. Short recall checks can be closed-note. Formal examinations should say exactly which sources and aids are permitted. Oral work may be recorded or documented with consent; a live text conversation or additional timed written questions can provide an accessibility alternative, with its limits noted. Anxiety, accent, typing speed, or disability should not be mistaken for philosophical weakness.</w:t>
      </w:r>
    </w:p>
    <w:p>
      <w:r>
        <w:t>If an outcome is not ready, name the problem, assign two or three targeted exercises, and repeat only the relevant component with a fresh prompt. Keep prior attempts. No penalty is needed. Do not force a full course restart because one proof technique or textual interpretation needs work.</w:t>
      </w:r>
    </w:p>
    <w:p>
      <w:pPr>
        <w:pStyle w:val="Heading2"/>
      </w:pPr>
      <w:r>
        <w:rPr>
          <w:color w:val="000000"/>
        </w:rPr>
        <w:t>Cumulative review and returning after a break</w:t>
      </w:r>
    </w:p>
    <w:p>
      <w:r>
        <w:t>After a module, make one pivotal retrieval prompt by default. Add at most two more only for fragile concepts: an argument, distinction, or application. Revisit it in the next study cycle, a few weeks later, and in a later course. Use the weekly review slot for the oldest or least secure prompt, not every accumulated card. Merge redundant prompts and retire a prompt after a successful later-course transfer, keeping only occasional cumulative sampling. A failed recall gets correction against the source and a focused later retest; it does not create a growing catch-up debt. Adjust intervals to actual recall. These are practical heuristics, not a scientific formula for philosophy.</w:t>
      </w:r>
    </w:p>
    <w:p>
      <w:r>
        <w:t>After a long break, spend one session reconstructing the last course’s central questions and reread your last revision memo. Attempt two representative tasks. Resume from the first missing skill or unfinished module. A forgotten label does not require repeating work you can still explain and apply.</w:t>
      </w:r>
    </w:p>
    <w:p>
      <w:pPr>
        <w:pStyle w:val="Heading2"/>
      </w:pPr>
      <w:r>
        <w:rPr>
          <w:color w:val="000000"/>
        </w:rPr>
        <w:t>Interactive work on a computer</w:t>
      </w:r>
    </w:p>
    <w:p>
      <w:r>
        <w:t>Use ordinary documents or an offline diagram tool for argument maps. Each node should contain a complete proposition, with arrows showing support or objection. The map is valuable only if you can explain the relation in prose. Use a spreadsheet for small decision tables and probability examples; a local text file works equally well. For logic, use the selected proof system’s exercises and a compatible proof checker, while also producing unaided solutions on paper or in a plain document.</w:t>
      </w:r>
    </w:p>
    <w:p>
      <w:r>
        <w:t>No custom server, API key, coding environment, or new software installation is a prerequisite. Optional tools are replaceable. An interactive activity always has a low-technology equivalent so that tool setup does not become an unplanned part of the curriculum.</w:t>
      </w:r>
    </w:p>
    <w:p>
      <w:r>
        <w:t>For every interactive activity, save a small four-part record: the input passage or case; what you changed; the resulting map, table, or proof; and a two-sentence explanation of what the change shows and what it does not show. Then check the result against the source or formal rule. A paper outline, hand-drawn table, or written proof is the low-technology equivalent. The activity is complete when the reasoning is inspectable, not when an app awards a point.</w:t>
      </w:r>
    </w:p>
    <w:p>
      <w:r>
        <w:t>For a solo five-minute explanation, spend one minute stating the question and claim, one giving the strongest reason, one stating the strongest objection, one answering or narrowing the claim, and one naming an uncertainty and next check. You may record it privately if useful. The accessible written alternative is five short paragraphs with the same functions; do not treat speaking speed or performance polish as philosophical evidence.</w:t>
      </w:r>
    </w:p>
    <w:p>
      <w:pPr>
        <w:pStyle w:val="Heading2"/>
      </w:pPr>
      <w:r>
        <w:rPr>
          <w:color w:val="000000"/>
        </w:rPr>
        <w:t>AI coaching and assessment limits</w:t>
      </w:r>
    </w:p>
    <w:p>
      <w:r>
        <w:t>The learner writes the assessed arguments. An AI may ask questions, define a term, show a different worked example, diagnose a draft, suggest a passage to reread, or generate a clearly labelled practice problem. It may not write or rewrite the learner’s assessed paragraphs, invent quotations, provide a gate answer, or grade confidently when it cannot inspect the source.</w:t>
      </w:r>
    </w:p>
    <w:p>
      <w:r>
        <w:t>For a tutoring session, supply the course, module, exact edition/passage, your attempt, the time available, and the requested kind of help. Ask the tutor to identify one or two consequential issues first, point to evidence, and let you attempt a repair before giving more assistance. For historical or global traditions, require attention to translation, context, interpretive disagreement, and the limits of comparison.</w:t>
      </w:r>
    </w:p>
    <w:p>
      <w:r>
        <w:t>Keep a brief assistance declaration with assessed work: tools used, kinds of help, and what was done independently. Use a fresh prompt and, where feasible, a separate assessment session for independent tasks. This reduces immediate answer leakage but does not make the model independent or reliable. Automated proof checking verifies formal steps under a defined calculus; it does not establish that the English argument was faithfully formalized.</w:t>
      </w:r>
    </w:p>
    <w:p>
      <w:r>
        <w:t>Source verification means opening the cited edition and checking that it supports the claim. A second AI repeating the citation is not verification. When uncertain, mark the claim unresolved and consult the text, an authoritative reference, or a human specialist. Never treat a fluent invented quotation as a memory aid.</w:t>
      </w:r>
    </w:p>
    <w:p>
      <w:pPr>
        <w:pStyle w:val="Heading2"/>
      </w:pPr>
      <w:r>
        <w:rPr>
          <w:color w:val="000000"/>
        </w:rPr>
        <w:t>Human dialogue and external feedback</w:t>
      </w:r>
    </w:p>
    <w:p>
      <w:r>
        <w:t>Peer discussion supplies perspectives and exposes ambiguities; subject expertise improves interpretation and assessment. They perform different jobs. A practical low-cost option is a reading partner or small group that meets periodically to exchange short papers and discuss the assigned question. A stronger option is occasional paid or volunteer feedback from a philosophy instructor, doctoral researcher, or subject specialist, with scope, confidentiality, fees, and qualifications checked first. Audited courses, university extension, public philosophy groups, and library services may help, but access and offerings must be checked locally.</w:t>
      </w:r>
    </w:p>
    <w:p>
      <w:r>
        <w:t>A useful review request includes the actual source passage, assignment, rubric, your draft, and two questions about it. Ask the reviewer to identify the most consequential error, the strongest objection, and a concrete revision task. Suggested checkpoints are the end of the methods course, the first middle-stage essay, the advanced seminar, and the capstone proposal and final paper. These are recommendations, not appointments, promised availability, or purchases.</w:t>
      </w:r>
    </w:p>
    <w:p>
      <w:r>
        <w:t>If no human review is available, proceed with clearly labelled self-study evidence and a skeptical verification routine. Preserve work so that later external review is possible. Do not present unreviewed completion as independently validated expertise.</w:t>
      </w:r>
    </w:p>
    <w:p>
      <w:bookmarkStart w:id="2" w:name="section_2"/>
      <w:pPr>
        <w:pStyle w:val="Heading1"/>
        <w:pageBreakBefore/>
      </w:pPr>
      <w:r>
        <w:rPr>
          <w:color w:val="000000"/>
        </w:rPr>
        <w:t>Course 1 Reading reasoning and philosophical writing</w:t>
      </w:r>
      <w:bookmarkEnd w:id="2"/>
    </w:p>
    <w:p>
      <w:pPr>
        <w:pStyle w:val="Heading2"/>
      </w:pPr>
      <w:r>
        <w:rPr>
          <w:color w:val="000000"/>
        </w:rPr>
        <w:t>Scope and preparation</w:t>
      </w:r>
    </w:p>
    <w:p>
      <w:r>
        <w:t>120 focused hours. No prerequisite. The course begins philosophical work immediately and teaches academic reading and prose alongside it. Its small set of recurring problems concerns definitions, the examined life, knowledge, and obligation. Formal proof is introduced in Course 2; this course teaches the ordinary-language distinctions needed to begin it.</w:t>
      </w:r>
    </w:p>
    <w:p>
      <w:r>
        <w:t>The first-unit default can begin with the existing Jowett, Veitch, Gettier republication, Singer scan, and free skills guides. Quote the edition actually used, with its actual locators; a preferred modern edition should improve interpretation rather than become an unexplained barrier to beginning.</w:t>
      </w:r>
    </w:p>
    <w:p>
      <w:r>
        <w:t>By the end, independently reconstruct a short argument; distinguish validity from truth and necessity from sufficiency; use a counterexample; interpret the assigned passages accurately; write and revise a focused essay; and explain an objection and response without a script. The essay, fresh-passage task, and dialogue jointly assess these outcomes.</w:t>
      </w:r>
    </w:p>
    <w:p>
      <w:pPr>
        <w:pStyle w:val="Heading2"/>
      </w:pPr>
      <w:r>
        <w:rPr>
          <w:color w:val="000000"/>
        </w:rPr>
        <w:t>Core readings</w:t>
      </w:r>
    </w:p>
    <w:p>
      <w:pPr>
        <w:ind w:left="331" w:hanging="230"/>
      </w:pPr>
      <w:r>
        <w:t xml:space="preserve">•  </w:t>
      </w:r>
      <w:r>
        <w:t xml:space="preserve">Plato, Euthyphro, complete, 2a–16a; Apology, complete, 17a–42a; Meno, 70a–86c and 97a–100c. Modern scholarly reference: G. M. A. Grube, Five Dialogues, revised by John M. Cooper, second edition, Hackett, 2002. This is an optional loan rather than a prerequisite for beginning. The marked no-purchase reading routes below provide the assigned boundaries; cite the translation actually used and its Stephanus numbers. The local Jowett files contain the complete dialogues but do not display Stephanus markers. For Euthyphro, use the </w:t>
      </w:r>
      <w:hyperlink r:id="rId12">
        <w:r>
          <w:rPr>
            <w:color w:val="174A6B"/>
            <w:u w:val="single"/>
          </w:rPr>
          <w:t>marked Jowett reading copy hosted by Wabash College</w:t>
        </w:r>
      </w:hyperlink>
      <w:r>
        <w:t xml:space="preserve">, which prints those references. For Apology, use the </w:t>
      </w:r>
      <w:hyperlink r:id="rId13">
        <w:r>
          <w:rPr>
            <w:color w:val="174A6B"/>
            <w:u w:val="single"/>
          </w:rPr>
          <w:t>marked Harvard Center for Hellenic Studies version</w:t>
        </w:r>
      </w:hyperlink>
      <w:r>
        <w:t xml:space="preserve">, Jowett adapted by Miriam Carlisle, Thomas E. Jenkins, Gregory Nagy, and Soo-Young Kim; record the displayed credits and date accessed. For Meno, use the </w:t>
      </w:r>
      <w:hyperlink r:id="rId14">
        <w:r>
          <w:rPr>
            <w:color w:val="174A6B"/>
            <w:u w:val="single"/>
          </w:rPr>
          <w:t>marked MIT OpenCourseWare translation by Lee Perlman</w:t>
        </w:r>
      </w:hyperlink>
      <w:r>
        <w:t>: main dialogue from PDF page 1 (70a) through section 86c, which begins on page 34, stopping before 86d, then from 97a on page 53 through the dialogue’s end on page 60. The extensive footnotes are optional and are not part of the required reading hours. The access crosswalk repeats these routes. Differences in wording between translations must be acknowledged rather than silently mixed.</w:t>
      </w:r>
    </w:p>
    <w:p>
      <w:pPr>
        <w:ind w:left="331" w:hanging="230"/>
      </w:pPr>
      <w:r>
        <w:t xml:space="preserve">•  </w:t>
      </w:r>
      <w:r>
        <w:t>Descartes, Meditations on First Philosophy, Meditations I and II, AT VII 17–34. Working scholarly edition: Cottingham, Stoothoff, and Murdoch, The Philosophical Writings of Descartes, volume II, Cambridge, 1984. The local Veitch translation is a provisional reading route; do not invent AT page correspondence for it.</w:t>
      </w:r>
    </w:p>
    <w:p>
      <w:pPr>
        <w:ind w:left="331" w:hanging="230"/>
      </w:pPr>
      <w:r>
        <w:t xml:space="preserve">•  </w:t>
      </w:r>
      <w:r>
        <w:t>Edmund Gettier, “Is Justified True Belief Knowledge?”, Analysis 23, 1963, pp. 121–123, whole article</w:t>
      </w:r>
    </w:p>
    <w:p>
      <w:pPr>
        <w:ind w:left="331" w:hanging="230"/>
      </w:pPr>
      <w:r>
        <w:t xml:space="preserve">•  </w:t>
      </w:r>
      <w:r>
        <w:t>Peter Singer, “Famine, Affluence, and Morality”, Philosophy and Public Affairs 1, 1972, pp. 229–243, whole article</w:t>
      </w:r>
    </w:p>
    <w:p>
      <w:pPr>
        <w:ind w:left="331" w:hanging="230"/>
      </w:pPr>
      <w:r>
        <w:t xml:space="preserve">•  </w:t>
      </w:r>
      <w:r>
        <w:t>OpenStax, Introduction to Philosophy, 2022, sections 2.1–2.6 and 5.1–5.4, as a finite beginner scaffold; use only the sections assigned below</w:t>
      </w:r>
    </w:p>
    <w:p>
      <w:pPr>
        <w:ind w:left="331" w:hanging="230"/>
      </w:pPr>
      <w:r>
        <w:t xml:space="preserve">•  </w:t>
      </w:r>
      <w:r>
        <w:t>Jim Pryor, “Guidelines on Writing a Philosophy Paper”, whole guide, consulted at the writing stages</w:t>
      </w:r>
    </w:p>
    <w:p>
      <w:r>
        <w:t>The modern scholarly editions are the preferred citation route, not a demand to purchase them before the first session. The access appendix identifies what is already collected and what needs a legal loan or link. Gettier and Singer must be available in full before their modules begin.</w:t>
      </w:r>
    </w:p>
    <w:p>
      <w:pPr>
        <w:pStyle w:val="Heading2"/>
      </w:pPr>
      <w:r>
        <w:rPr>
          <w:color w:val="000000"/>
        </w:rPr>
        <w:t>First four study sessions</w:t>
      </w:r>
    </w:p>
    <w:p>
      <w:r>
        <w:t>These four ninety-minute sessions make a six-hour opening week if convenient; they can be spread across any number of days.</w:t>
      </w:r>
    </w:p>
    <w:p>
      <w:r>
        <w:t xml:space="preserve">Session 1: Read OpenStax 2.5 “Reading Philosophy” for fifteen minutes. Spend twenty minutes reading Euthyphro from 2a to the start of 5d in the </w:t>
      </w:r>
      <w:hyperlink r:id="rId12">
        <w:r>
          <w:rPr>
            <w:color w:val="174A6B"/>
            <w:u w:val="single"/>
          </w:rPr>
          <w:t>marked Jowett copy</w:t>
        </w:r>
      </w:hyperlink>
      <w:r>
        <w:t xml:space="preserve"> (PDF pages 1–4, up to but not including the 5d marker) and identifying who speaks and what question is emerging. In twenty minutes, write a 120-word paraphrase of Euthyphro’s reason for prosecuting his father. Spend fifteen minutes distinguishing the speaker’s claim from your reaction. Explain your paragraph aloud or in text for ten minutes. Use the last ten minutes to save the untouched attempt, note difficulties, and identify the next task. This is diagnostic work, not a scored test.</w:t>
      </w:r>
    </w:p>
    <w:p>
      <w:r>
        <w:t>Session 2: Read OpenStax 5.3 “Arguments” for twenty minutes. For twenty minutes, identify reasons and conclusions in four short arguments. Use these original examples: “Every borrower agreed to return the book; Mira is a borrower; so Mira agreed to return it.” “The lights are on, so somebody must be home.” “A rule applies to everyone only if it applies to the mayor; this rule does not apply to the mayor; so it does not apply to everyone.” “Many people like this painting, so it is a good painting.” Spend twenty minutes explaining which conclusions follow deductively and which need additional assumptions. Use twenty minutes to revise the first session’s paragraph around a single claim and supporting reason. Finish with ten minutes of recall and correction.</w:t>
      </w:r>
    </w:p>
    <w:p>
      <w:r>
        <w:t>Session 3: Read OpenStax 5.2 “Logical Statements” and the validity/soundness examples in 5.3 for twenty minutes. Work for twenty minutes on these distinctions: a valid argument with a false premise; an invalid argument with a true conclusion; being a square as sufficient but not necessary for being a rectangle; paying an entry fee as necessary but not sufficient for winning a stipulated race in which only paid entrants are eligible to win. In twenty minutes, invent and explain your own examples. Take twenty minutes to write two versions of “All good explanations are simple”: one charitable argument supporting it and one counterexample. Finish with ten minutes checking whether the counterexample targets the stated claim.</w:t>
      </w:r>
    </w:p>
    <w:p>
      <w:r>
        <w:t xml:space="preserve">Session 4: Read Euthyphro from 5d to the start of 8b in the </w:t>
      </w:r>
      <w:hyperlink r:id="rId12">
        <w:r>
          <w:rPr>
            <w:color w:val="174A6B"/>
            <w:u w:val="single"/>
          </w:rPr>
          <w:t>marked Jowett copy</w:t>
        </w:r>
      </w:hyperlink>
      <w:r>
        <w:t xml:space="preserve"> (PDF pages 4–7, up to but not including the 8b marker) for twenty minutes. Spend twenty minutes listing the first definitions and objections, using exact locators. Spend twenty minutes drawing a small argument map in a document or on paper. Use twenty minutes to write a 150-word explanation of why an example of piety may fail as a definition of piety. Finish with ten minutes of questions for the next tutorial. A tutor should diagnose at most two problems, not rewrite the paragraph.</w:t>
      </w:r>
    </w:p>
    <w:p>
      <w:r>
        <w:t>If these tasks take longer, extend the opening period. The first six hours count within the modules below; they are not additional homework.</w:t>
      </w:r>
    </w:p>
    <w:p>
      <w:pPr>
        <w:pStyle w:val="Heading2"/>
      </w:pPr>
      <w:r>
        <w:rPr>
          <w:color w:val="000000"/>
        </w:rPr>
        <w:t>Credit the opening sessions once</w:t>
      </w:r>
    </w:p>
    <w:p>
      <w:r>
        <w:t>The opening sessions deliberately interleave orientation, reasoning, writing, and an early Euthyphro preview. They are the first six hours of the course, not a separate preparatory course. After Session 4, finish the remaining parts of Modules 1–3, then continue Module 4. Do not repeat an output merely because it appears again in the module description.</w:t>
      </w:r>
    </w:p>
    <w:tbl>
      <w:tblPr>
        <w:tblW w:type="auto" w:w="0"/>
        <w:jc w:val="center"/>
        <w:tblLayout w:type="fixed"/>
        <w:tblLook w:firstColumn="1" w:firstRow="1" w:lastColumn="0" w:lastRow="0" w:noHBand="0" w:noVBand="1" w:val="04A0"/>
      </w:tblPr>
      <w:tblGrid>
        <w:gridCol w:w="1296"/>
        <w:gridCol w:w="2160"/>
        <w:gridCol w:w="3240"/>
        <w:gridCol w:w="3240"/>
      </w:tblGrid>
      <w:tr>
        <w:trPr>
          <w:tblHeader w:val="true"/>
          <w:cantSplit/>
        </w:trPr>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Opening session</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Time credited</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Output already completed</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What remains</w:t>
            </w:r>
          </w:p>
        </w:tc>
      </w:tr>
      <w:tr>
        <w:trPr>
          <w:cantSplit/>
        </w:trPr>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Session 1</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90 minutes to Module 1</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Baseline paragraph, source/speaker notes, diagnostic discussion</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1 has 150 minutes left for setup and the learning plan</w:t>
            </w:r>
          </w:p>
        </w:tc>
      </w:tr>
      <w:tr>
        <w:trPr>
          <w:cantSplit/>
        </w:trPr>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Session 2</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70 minutes to Module 2 and 20 to Module 3</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Four initial argument reconstructions; first paragraph revision</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After Sessions 2–3, Module 2 has 320 minutes left; Module 3 has 460 minutes left</w:t>
            </w:r>
          </w:p>
        </w:tc>
      </w:tr>
      <w:tr>
        <w:trPr>
          <w:cantSplit/>
        </w:trPr>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Session 3</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90 minutes to Module 2</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Conditions/counterexample practice and original examples</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Finish the two further reconstructions and the 200-word validity/soundness explanation within Module 2</w:t>
            </w:r>
          </w:p>
        </w:tc>
      </w:tr>
      <w:tr>
        <w:trPr>
          <w:cantSplit/>
        </w:trPr>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Session 4</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90 minutes to Module 4</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Euthyphro 5d–8b notes, initial map, 150-word explanation</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 4 has 750 minutes left for complete reading, dilemma work, response, and discussion</w:t>
            </w:r>
          </w:p>
        </w:tc>
      </w:tr>
    </w:tbl>
    <w:p>
      <w:pPr>
        <w:spacing w:after="60"/>
      </w:pPr>
    </w:p>
    <w:p>
      <w:r>
        <w:t>Save Session 2’s four arguments as the first four of Module 2’s six reconstructions. The other two are: “Every rule that treats similar cases differently needs justification. This rule treats similar cases differently. Therefore this rule needs justification”; and “If Lea borrowed this copy, its catalogue record would show a loan. The record shows a loan. Therefore Lea borrowed this copy.” Identify what follows and what would require another premise. Session 3’s two supplied condition examples and two original examples can serve as the four definition/condition tests if each includes a reasoned counterexample or explanation. Expand the Session 2 revised paragraph to about 150 words; it is the first of Module 3’s three paragraphs. The later full Euthyphro reading is purposeful rereading, with different tasks, and uses the remaining Module 4 hours.</w:t>
      </w:r>
    </w:p>
    <w:p>
      <w:pPr>
        <w:pStyle w:val="Heading2"/>
      </w:pPr>
      <w:r>
        <w:rPr>
          <w:color w:val="000000"/>
        </w:rPr>
        <w:t>Ordered modules</w:t>
      </w:r>
    </w:p>
    <w:p>
      <w:pPr>
        <w:ind w:left="216" w:hanging="216"/>
      </w:pPr>
      <w:r>
        <w:rPr>
          <w:b/>
        </w:rPr>
        <w:t xml:space="preserve">1. Starting evidence and study setup, 4 hours. </w:t>
      </w:r>
      <w:r>
        <w:t>Complete the diagnostic, save a sample paragraph, set up a simple source list and work folder, and discuss one question that genuinely interests you. Output: a baseline paragraph and a one-page learning plan. No public repository, account creation, or dashboard is required.</w:t>
      </w:r>
    </w:p>
    <w:p>
      <w:pPr>
        <w:ind w:left="216" w:hanging="216"/>
      </w:pPr>
      <w:r>
        <w:rPr>
          <w:b/>
        </w:rPr>
        <w:t xml:space="preserve">2. Arguments and definitions, 8 hours. </w:t>
      </w:r>
      <w:r>
        <w:t>OpenStax 5.1–5.4; the original examples above; necessary/sufficient conditions and counterexamples. Output: six argument reconstructions, four definition tests, and a 200-word explanation of validity versus soundness. PC activity: rearrange premises and inspect what the argument requires.</w:t>
      </w:r>
    </w:p>
    <w:p>
      <w:pPr>
        <w:ind w:left="216" w:hanging="216"/>
      </w:pPr>
      <w:r>
        <w:rPr>
          <w:b/>
        </w:rPr>
        <w:t xml:space="preserve">3. Paragraphs and source ownership, 8 hours. </w:t>
      </w:r>
      <w:r>
        <w:t>OpenStax 2.2–2.6 and Pryor’s guide. Output: a quotation with citation, an accurate paraphrase, and an attributed inference; three 150-word paragraphs revised once. A tutor models one different paragraph before support fades.</w:t>
      </w:r>
    </w:p>
    <w:p>
      <w:pPr>
        <w:ind w:left="216" w:hanging="216"/>
      </w:pPr>
      <w:r>
        <w:rPr>
          <w:b/>
        </w:rPr>
        <w:t xml:space="preserve">4. Euthyphro and explanatory priority, 14 hours. </w:t>
      </w:r>
      <w:r>
        <w:t>Read the full dialogue, then focus on 5d–11b and 13a–15c. Output: a 400-word reconstruction of the dilemma at 10a–11b and a 300-word response. Dialogue: defend each horn in turn and distinguish what causes something to be loved from what makes it pious. Avoid assuming that the dialogue directly settles every version of modern divine-command theory.</w:t>
      </w:r>
    </w:p>
    <w:p>
      <w:pPr>
        <w:ind w:left="216" w:hanging="216"/>
      </w:pPr>
      <w:r>
        <w:rPr>
          <w:b/>
        </w:rPr>
        <w:t xml:space="preserve">5. Apology and the examined life, 8 hours. </w:t>
      </w:r>
      <w:r>
        <w:t xml:space="preserve">Read the whole dialogue in the </w:t>
      </w:r>
      <w:hyperlink r:id="rId13">
        <w:r>
          <w:rPr>
            <w:color w:val="174A6B"/>
            <w:u w:val="single"/>
          </w:rPr>
          <w:t>marked CHS version</w:t>
        </w:r>
      </w:hyperlink>
      <w:r>
        <w:t>; reread the displayed 20c–23c, 28b–30c, and 40c–41c sections. Output: a 500-word explanation of Socrates’ conception of wisdom, followed by one objection to the death argument. PC activity: separate historical claims, dramatic presentation, and philosophical argument in a three-column note.</w:t>
      </w:r>
    </w:p>
    <w:p>
      <w:pPr>
        <w:ind w:left="216" w:hanging="216"/>
      </w:pPr>
      <w:r>
        <w:rPr>
          <w:b/>
        </w:rPr>
        <w:t xml:space="preserve">6. Meno and inquiry, 10 hours. </w:t>
      </w:r>
      <w:r>
        <w:t xml:space="preserve">In the </w:t>
      </w:r>
      <w:hyperlink r:id="rId14">
        <w:r>
          <w:rPr>
            <w:color w:val="174A6B"/>
            <w:u w:val="single"/>
          </w:rPr>
          <w:t>marked MIT translation</w:t>
        </w:r>
      </w:hyperlink>
      <w:r>
        <w:t>, read the main text from page 1 through section 86c, which begins on page 34, stopping before 86d, then 97a on page 53 through the dialogue’s end on page 60 (100c). Do not include the extensive footnotes as required reading. Output: reconstruct the paradox at 80d–e and distinguish what the geometry episode shows from what Socrates infers. Write 400 words comparing knowledge and true opinion. Do not describe omitted passages as read.</w:t>
      </w:r>
    </w:p>
    <w:p>
      <w:pPr>
        <w:ind w:left="216" w:hanging="216"/>
      </w:pPr>
      <w:r>
        <w:rPr>
          <w:b/>
        </w:rPr>
        <w:t xml:space="preserve">7. Descartes and doubt, 12 hours. </w:t>
      </w:r>
      <w:r>
        <w:t>Meditations I–II. Output: separate maps of the dream argument, the deceiver hypothesis, and the cogito, followed by 500 words evaluating one inference. Dialogue: what survives each stage of doubt? Use exact textual evidence rather than a slogan about “I think, therefore I am.”</w:t>
      </w:r>
    </w:p>
    <w:p>
      <w:pPr>
        <w:ind w:left="216" w:hanging="216"/>
      </w:pPr>
      <w:r>
        <w:rPr>
          <w:b/>
        </w:rPr>
        <w:t xml:space="preserve">8. Gettier and counterexamples, 10 hours. </w:t>
      </w:r>
      <w:r>
        <w:t>Whole article. Output: explain both cases, create a structurally different case, and test a proposed “no false lemmas” repair. Write a 600-word objection-and-reply exercise. A successful case must explain justification, truth, belief, and the role of luck.</w:t>
      </w:r>
    </w:p>
    <w:p>
      <w:pPr>
        <w:ind w:left="216" w:hanging="216"/>
      </w:pPr>
      <w:r>
        <w:rPr>
          <w:b/>
        </w:rPr>
        <w:t xml:space="preserve">9. Singer and obligation, 12 hours. </w:t>
      </w:r>
      <w:r>
        <w:t>Whole article. Output: reconstruct the stronger and weaker principles in the paper, separate the pond example from the general argument, and write 600 words on demandingness, distance, or collective responsibility. Dialogue: change one morally relevant feature and explain its effect.</w:t>
      </w:r>
    </w:p>
    <w:p>
      <w:pPr>
        <w:ind w:left="216" w:hanging="216"/>
      </w:pPr>
      <w:r>
        <w:rPr>
          <w:b/>
        </w:rPr>
        <w:t xml:space="preserve">10. First sustained essay, 18 hours. </w:t>
      </w:r>
      <w:r>
        <w:t>Choose one prompt: “Does the Euthyphro dilemma defeat the response you consider strongest?”; “Does a no-false-lemmas condition repair the Gettier problem?”; or “Does Singer’s argument impose an objectionably demanding duty?” Produce a 1,000–1,200-word essay through proposal, outline, draft, feedback, revision, source check, and revision memo. Make one narrow argument, not a survey of all views.</w:t>
      </w:r>
    </w:p>
    <w:p>
      <w:pPr>
        <w:ind w:left="216" w:hanging="216"/>
      </w:pPr>
      <w:r>
        <w:rPr>
          <w:b/>
        </w:rPr>
        <w:t xml:space="preserve">11. Independent demonstration, 10 hours. </w:t>
      </w:r>
      <w:r>
        <w:t>With texts visible but no content assistance, spend up to ninety minutes interpreting a fresh short passage from the assigned works and sixty minutes answering a new objection to your essay. Hold a twenty-minute discussion or accessible text equivalent. Use remaining time to review evidence and remediate one weakness. Word limits, rather than speed, govern extended writing when accommodations are needed.</w:t>
      </w:r>
    </w:p>
    <w:p>
      <w:pPr>
        <w:ind w:left="216" w:hanging="216"/>
      </w:pPr>
      <w:r>
        <w:rPr>
          <w:b/>
        </w:rPr>
        <w:t xml:space="preserve">12. Delayed consolidation, 6 hours. </w:t>
      </w:r>
      <w:r>
        <w:t>During the opening modules of the next course, complete two short retrieval sessions and a new-case application, then inspect and correct them. These six hours are charged to Course 1. They occupy the calendar week’s shared study budget and slow the next course’s progress; they do not remove any required hours or outputs from the next course.</w:t>
      </w:r>
    </w:p>
    <w:p>
      <w:pPr>
        <w:pStyle w:val="Heading2"/>
      </w:pPr>
      <w:r>
        <w:rPr>
          <w:color w:val="000000"/>
        </w:rPr>
        <w:t>Readiness and remediation</w:t>
      </w:r>
    </w:p>
    <w:p>
      <w:r>
        <w:t>Progress to ordinary core reading when you can attribute a passage correctly, give reasons rather than assertions, and compose an intelligible claim–reason paragraph on fresh material. Progress to advanced essay work only after the substantial essay and independent task show competent interpretation, reasoning, attribution, and organization. If a weakness remains, use the targeted bridge described earlier. Continue discussing philosophy while developing prose; do not confuse difficulty with academic conventions with inability to reason.</w:t>
      </w:r>
    </w:p>
    <w:p>
      <w:r>
        <w:t>Optional enrichment: a lecture on Plato or Descartes after the relevant first reading, or another dialogue. No enrichment is required for assessment, and it is outside the 120 hours.</w:t>
      </w:r>
    </w:p>
    <w:p>
      <w:bookmarkStart w:id="3" w:name="section_3"/>
      <w:pPr>
        <w:pStyle w:val="Heading1"/>
        <w:pageBreakBefore/>
      </w:pPr>
      <w:r>
        <w:rPr>
          <w:color w:val="000000"/>
        </w:rPr>
        <w:t>Course 2 Formal logic</w:t>
      </w:r>
      <w:bookmarkEnd w:id="3"/>
    </w:p>
    <w:p>
      <w:pPr>
        <w:pStyle w:val="Heading2"/>
      </w:pPr>
      <w:r>
        <w:rPr>
          <w:color w:val="000000"/>
        </w:rPr>
        <w:t>Scope and preparation</w:t>
      </w:r>
    </w:p>
    <w:p>
      <w:r>
        <w:t>150 focused hours. Begin after Course 1’s argument and paragraph modules, or after Course 1 in the default sequence. Ordinary language is the starting point; no prior symbolic logic or advanced mathematics is assumed. The aim is proficiency in truth-functional and first-order logic with identity, not a survey of every logic.</w:t>
      </w:r>
    </w:p>
    <w:p>
      <w:r>
        <w:t>Use forall x Calgary, Fall 2025, Parts I–VII, chapters 1–41, with matching solutions. Preserve one version and its notation for the course. The official text’s sample teaching plan also includes chapters 45–47; this local course defers them to optional extension because the learner needs substantial independent practice and writing. Parts VIII–IX are not silently required.</w:t>
      </w:r>
    </w:p>
    <w:p>
      <w:r>
        <w:t>Outcomes: distinguish truth from validity; symbolize and translate back; use truth tables and interpretations; produce natural-deduction proofs; respect quantifier and identity restrictions; explain what a formal result does and does not establish. Evidence must sample translation, semantics, proof, and explanation separately.</w:t>
      </w:r>
    </w:p>
    <w:p>
      <w:pPr>
        <w:pStyle w:val="Heading2"/>
      </w:pPr>
      <w:r>
        <w:rPr>
          <w:color w:val="000000"/>
        </w:rPr>
        <w:t>Ordered modules</w:t>
      </w:r>
    </w:p>
    <w:p>
      <w:pPr>
        <w:ind w:left="216" w:hanging="216"/>
      </w:pPr>
      <w:r>
        <w:rPr>
          <w:b/>
        </w:rPr>
        <w:t xml:space="preserve">1. Basic logical notions, 12 hours. </w:t>
      </w:r>
      <w:r>
        <w:t>Part I, chapters 1–3. Explain validity, soundness, consistency, and equivalence using original examples. For each chapter, complete four varied exercises, check after attempting them, and record conceptual errors.</w:t>
      </w:r>
    </w:p>
    <w:p>
      <w:pPr>
        <w:ind w:left="216" w:hanging="216"/>
      </w:pPr>
      <w:r>
        <w:rPr>
          <w:b/>
        </w:rPr>
        <w:t xml:space="preserve">2. Truth-functional syntax and symbolization, 18 hours. </w:t>
      </w:r>
      <w:r>
        <w:t>Part II, chapters 4–8. Practise main connectives, brackets, inclusive disjunction, material conditional, and ambiguity. Complete at least twenty-four short symbolizations, including translation back into English. Compare two plausible formalizations of an ambiguous sentence.</w:t>
      </w:r>
    </w:p>
    <w:p>
      <w:pPr>
        <w:ind w:left="216" w:hanging="216"/>
      </w:pPr>
      <w:r>
        <w:rPr>
          <w:b/>
        </w:rPr>
        <w:t xml:space="preserve">3. Truth-functional semantics, 18 hours. </w:t>
      </w:r>
      <w:r>
        <w:t>Part III, chapters 9–15. Construct complete and abbreviated truth tables, classify sentences and arguments, and provide countervaluations. Complete at least sixteen problems spanning validity, equivalence, and consistency. Explain one countervaluation in prose.</w:t>
      </w:r>
    </w:p>
    <w:p>
      <w:pPr>
        <w:ind w:left="216" w:hanging="216"/>
      </w:pPr>
      <w:r>
        <w:rPr>
          <w:b/>
        </w:rPr>
        <w:t xml:space="preserve">4. Natural deduction for truth-functional logic, 26 hours. </w:t>
      </w:r>
      <w:r>
        <w:t>Part IV, chapters 16–22. Work through one example per new rule, then a partially completed proof, then independent mixed practice. Complete at least twenty proofs including conditional proof, indirect proof, and nested assumptions. For five proofs, write a strategy paragraph before using a checker.</w:t>
      </w:r>
    </w:p>
    <w:p>
      <w:pPr>
        <w:ind w:left="216" w:hanging="216"/>
      </w:pPr>
      <w:r>
        <w:rPr>
          <w:b/>
        </w:rPr>
        <w:t xml:space="preserve">5. First-order language, 18 hours. </w:t>
      </w:r>
      <w:r>
        <w:t>Part V, chapters 23–29. Domains, predicates, quantifiers, scope, identity, and multiple quantification. Complete twenty-four symbolizations with domain declarations. Explain the difference between “everyone admires someone” and “someone is admired by everyone” using a small diagram.</w:t>
      </w:r>
    </w:p>
    <w:p>
      <w:pPr>
        <w:ind w:left="216" w:hanging="216"/>
      </w:pPr>
      <w:r>
        <w:rPr>
          <w:b/>
        </w:rPr>
        <w:t xml:space="preserve">6. Interpretations and countermodels, 18 hours. </w:t>
      </w:r>
      <w:r>
        <w:t>Part VI, chapters 30–35. Build finite interpretations, assess quantified sentences, and distinguish inability to find a countermodel from proof of validity. Complete twelve interpretation/countermodel tasks and explain two in ordinary prose.</w:t>
      </w:r>
    </w:p>
    <w:p>
      <w:pPr>
        <w:ind w:left="216" w:hanging="216"/>
      </w:pPr>
      <w:r>
        <w:rPr>
          <w:b/>
        </w:rPr>
        <w:t xml:space="preserve">7. First-order natural deduction, 24 hours. </w:t>
      </w:r>
      <w:r>
        <w:t>Part VII, chapters 36–41. Complete sixteen mixed proofs covering quantifier rules, identity, and rule restrictions. Make an error card for each recurring misuse of a name, variable, or undischarged assumption. Use Carnap only in the same supported calculus; a plain written solution with the book’s rules is sufficient.</w:t>
      </w:r>
    </w:p>
    <w:p>
      <w:pPr>
        <w:ind w:left="216" w:hanging="216"/>
      </w:pPr>
      <w:r>
        <w:rPr>
          <w:b/>
        </w:rPr>
        <w:t xml:space="preserve">8. Transfer and independent assessment, 16 hours. </w:t>
      </w:r>
      <w:r>
        <w:t>Formalize one short philosophical argument and write 800–1,000 words about interpretive choices and limitations. Complete an unaided mixed assessment with translations, semantic tests, truth-functional proofs, quantified proofs, and a countermodel. Explain two proof strategies orally or in text, then complete a smaller fresh set after a delay. Assessment and delayed work are included in the sixteen hours.</w:t>
      </w:r>
    </w:p>
    <w:p>
      <w:pPr>
        <w:pStyle w:val="Heading2"/>
      </w:pPr>
      <w:r>
        <w:rPr>
          <w:color w:val="000000"/>
        </w:rPr>
        <w:t>Assignment selection and checking</w:t>
      </w:r>
    </w:p>
    <w:p>
      <w:r>
        <w:t>For a textbook exercise set, choose the first accessible example of each new problem type, then a middle and later item that changes the structure. Record chapter and item labels in the work log. The quotas above are minimum sampling guides, not an achievement score: add practice where errors remain and do not complete forty identical easy items instead of mixed tasks. Before an assessment, choose unseen textbook problems with published answers where available and keep the answers closed. For items without solutions, use a checked formal derivation or countermodel; do not accept unsupported AI approval.</w:t>
      </w:r>
    </w:p>
    <w:p>
      <w:r>
        <w:t>Readiness requires independent success across all four families: faithful symbolization, semantic analysis, rule-correct proof, and conceptual explanation. A recurring quantifier-scope or assumption-discharge error requires remediation even if most easy items are correct. Correctly noticing and repairing a transcription slip is different from misunderstanding a rule. If proofs are difficult, add faded examples and a smaller fresh set; continue historical or ethical study while practising, but postpone advanced technical work that depends on the missing skill.</w:t>
      </w:r>
    </w:p>
    <w:p>
      <w:r>
        <w:t>Optional extension: chapters 45–47 on normal forms, functional completeness, and equivalence proofs, then chapter 48 on soundness. Modal logic chapters 42–44 belong to a further course. Budget additional time explicitly if you choose them.</w:t>
      </w:r>
    </w:p>
    <w:p>
      <w:bookmarkStart w:id="4" w:name="section_4"/>
      <w:pPr>
        <w:pStyle w:val="Heading1"/>
        <w:pageBreakBefore/>
      </w:pPr>
      <w:r>
        <w:rPr>
          <w:color w:val="000000"/>
        </w:rPr>
        <w:t>Course 3 Ancient philosophy</w:t>
      </w:r>
      <w:bookmarkEnd w:id="4"/>
    </w:p>
    <w:p>
      <w:pPr>
        <w:pStyle w:val="Heading2"/>
      </w:pPr>
      <w:r>
        <w:rPr>
          <w:color w:val="000000"/>
        </w:rPr>
        <w:t>Scope and core readings</w:t>
      </w:r>
    </w:p>
    <w:p>
      <w:r>
        <w:t>120 hours; prerequisite Course 1. This is a focused study of inquiry, justice, explanation, and the good life in selected Greek traditions, not the whole ancient world. The Classical Chinese option in Course 11 supplies sustained study of another ancient tradition. Every route includes the bounded early Buddhist encounter in Course 7 and Islamic/Jewish work in Course 4; the Africana option is predominantly modern and is not described as an ancient survey.</w:t>
      </w:r>
    </w:p>
    <w:p>
      <w:r>
        <w:t xml:space="preserve">Read Plato, Republic I 327a–354c, II 357a–367e, IV 427d–445e, VI 509d–511e, VII 514a–521b, and IX 577c–580c; Phaedo 64a–69e and 72e–84b. Use Grube/Reeve’s Republic, Hackett 1992, and Grube/Cooper’s Five Dialogues for Phaedo; cite Stephanus. The no-purchase marked routes are </w:t>
      </w:r>
      <w:hyperlink r:id="rId15">
        <w:r>
          <w:rPr>
            <w:color w:val="174A6B"/>
            <w:u w:val="single"/>
          </w:rPr>
          <w:t>Republic in Gutenberg number 55201</w:t>
        </w:r>
      </w:hyperlink>
      <w:r>
        <w:t xml:space="preserve">, chiefly Jowett’s 1888 third edition with Stephanus numbering incorporated from the 1908 edition, and </w:t>
      </w:r>
      <w:hyperlink r:id="rId16">
        <w:r>
          <w:rPr>
            <w:color w:val="174A6B"/>
            <w:u w:val="single"/>
          </w:rPr>
          <w:t>CHS Phaedo</w:t>
        </w:r>
      </w:hyperlink>
      <w:r>
        <w:t>, Jowett adapted by Gregory Nagy, Miriam Carlisle, and Soo-Young Kim. The local Gutenberg Republic number 1497 lacks those markers; use number 55201 for these bounded assignments. Cite the named version actually read. Read Aristotle, Categories 1–5; Physics II.1–3 and II.8; De Anima II.1–3; use the relevant translations in Jonathan Barnes, editor, The Complete Works of Aristotle, revised Oxford translation, Princeton 1984, with Bekker numbers. Read Epicurus, Letter to Menoeceus, complete, preserved in Diogenes Laertius X.122–135, using the collection’s C. D. Yonge translation; and Sextus Empiricus, Outlines of Pyrrhonism I.1–30, Julia Annas and Jonathan Barnes translation, Outlines of Scepticism, Cambridge 2000. The primary Sextus text must be borrowed before its module; the collection’s Patrick history is not that work. A modern Hellenistic sourcebook is optional, and anthology fragments do not replace the assigned whole letter.</w:t>
      </w:r>
    </w:p>
    <w:p>
      <w:r>
        <w:t>Outcomes: interpret a dialogue’s competing voices; reconstruct Plato’s answer to the challenge about justice; explain Aristotle’s kinds of explanation and soul/body account; compare an Epicurean argument and a skeptical practice; defend a historically responsible interpretation using evidence.</w:t>
      </w:r>
    </w:p>
    <w:p>
      <w:pPr>
        <w:pStyle w:val="Heading2"/>
      </w:pPr>
      <w:r>
        <w:rPr>
          <w:color w:val="000000"/>
        </w:rPr>
        <w:t>Modules and assignments</w:t>
      </w:r>
    </w:p>
    <w:p>
      <w:pPr>
        <w:ind w:left="216" w:hanging="216"/>
      </w:pPr>
      <w:r>
        <w:rPr>
          <w:b/>
        </w:rPr>
        <w:t xml:space="preserve">1. Historical orientation and method, 10 hours. </w:t>
      </w:r>
      <w:r>
        <w:t>Revisit Apology 20c–23c and Meno 80d–86c. Consult OpenStax 4.2 “Classical Philosophy” for Greek context (</w:t>
      </w:r>
      <w:hyperlink r:id="rId17">
        <w:r>
          <w:rPr>
            <w:color w:val="174A6B"/>
            <w:u w:val="single"/>
          </w:rPr>
          <w:t>https://openstax.org/books/introduction-philosophy/pages/4-2-classical-philosophy</w:t>
        </w:r>
      </w:hyperlink>
      <w:r>
        <w:t>).</w:t>
      </w:r>
      <w:r>
        <w:t xml:space="preserve"> Create a one-page chronology separating approximate author dates, dramatic settings, and composition where the sources actually establish them; mark unsupported dates uncertain. Use OpenStax for broad orientation, and verify exact quotations in a primary text. Its incidental description of the opening sentence of Aristotle’s Metaphysics is inaccurate; the primary opening is I.1, 980a21 (</w:t>
      </w:r>
      <w:hyperlink r:id="rId18">
        <w:r>
          <w:rPr>
            <w:color w:val="174A6B"/>
            <w:u w:val="single"/>
          </w:rPr>
          <w:t>https://classics.mit.edu/Aristotle/metaphysics.1.i.html</w:t>
        </w:r>
      </w:hyperlink>
      <w:r>
        <w:t>).</w:t>
      </w:r>
      <w:r>
        <w:t xml:space="preserve"> This quotation check is only needed if you use that remark, not an extra assigned book. Write 400 words on why a dialogue character’s assertion is not automatically Plato’s doctrine.</w:t>
      </w:r>
    </w:p>
    <w:p>
      <w:pPr>
        <w:ind w:left="216" w:hanging="216"/>
      </w:pPr>
      <w:r>
        <w:rPr>
          <w:b/>
        </w:rPr>
        <w:t xml:space="preserve">2. The challenge of justice, 16 hours. </w:t>
      </w:r>
      <w:r>
        <w:t>Republic I and II through 367e. Map Thrasymachus’ and Glaucon’s challenges separately. Output: a 600-word reconstruction of the strongest challenge and a written explanation of what a successful answer would need to show.</w:t>
      </w:r>
    </w:p>
    <w:p>
      <w:pPr>
        <w:ind w:left="216" w:hanging="216"/>
      </w:pPr>
      <w:r>
        <w:rPr>
          <w:b/>
        </w:rPr>
        <w:t xml:space="preserve">3. Plato’s answer and its limits, 18 hours. </w:t>
      </w:r>
      <w:r>
        <w:t>Republic IV 427d–445e and IX 577c–580c. Reconstruct the city–soul comparison and the relation between psychic order and justice. PC activity: identify every premise needed to move from an account of justice to the claim that being just benefits its possessor. This supplies the answer omitted from the old reading list.</w:t>
      </w:r>
    </w:p>
    <w:p>
      <w:pPr>
        <w:ind w:left="216" w:hanging="216"/>
      </w:pPr>
      <w:r>
        <w:rPr>
          <w:b/>
        </w:rPr>
        <w:t xml:space="preserve">4. Knowledge and the soul, 18 hours. </w:t>
      </w:r>
      <w:r>
        <w:t>Republic VI 509d–511e, VII 514a–521b; Phaedo 64a–69e, 72e–84b. Distinguish images from arguments. Write 700 words evaluating either recollection or affinity, including what the selected argument is intended to establish.</w:t>
      </w:r>
    </w:p>
    <w:p>
      <w:pPr>
        <w:ind w:left="216" w:hanging="216"/>
      </w:pPr>
      <w:r>
        <w:rPr>
          <w:b/>
        </w:rPr>
        <w:t xml:space="preserve">5. Aristotle on explanation, 16 hours. </w:t>
      </w:r>
      <w:r>
        <w:t>Categories 1–5 and Physics II.1–3, II.8. Classify the explanatory questions asked about one natural object and one artifact. Write a 500-word comparison of substance and attribute, then assess one argument about teleology without importing modern biological assumptions silently.</w:t>
      </w:r>
    </w:p>
    <w:p>
      <w:pPr>
        <w:ind w:left="216" w:hanging="216"/>
      </w:pPr>
      <w:r>
        <w:rPr>
          <w:b/>
        </w:rPr>
        <w:t xml:space="preserve">6. Aristotle and Hellenistic alternatives, 14 hours. </w:t>
      </w:r>
      <w:r>
        <w:t>De Anima II.1–3; Epicurus 122–135; Sextus I.1–30. Explain why “soul” need not mean an immaterial ghost. Compare Epicurus on death with Socrates’ argument in Apology, and identify what suspension of judgment is meant to do. These are bounded encounters, not complete courses in Hellenistic philosophy.</w:t>
      </w:r>
    </w:p>
    <w:p>
      <w:pPr>
        <w:ind w:left="216" w:hanging="216"/>
      </w:pPr>
      <w:r>
        <w:rPr>
          <w:b/>
        </w:rPr>
        <w:t xml:space="preserve">7. Essay and revision, 20 hours. </w:t>
      </w:r>
      <w:r>
        <w:t>Write 1,500–1,800 words on one question: “Does Republic IV answer Glaucon’s challenge?”; “Does the affinity argument support immortality?”; or “Does Aristotle’s soul account avoid the problems of the model it opposes?” Include outline, draft, feedback, revision, and memo.</w:t>
      </w:r>
    </w:p>
    <w:p>
      <w:pPr>
        <w:ind w:left="216" w:hanging="216"/>
      </w:pPr>
      <w:r>
        <w:rPr>
          <w:b/>
        </w:rPr>
        <w:t xml:space="preserve">8. Independent assessment and later recall, 8 hours. </w:t>
      </w:r>
      <w:r>
        <w:t>Interpret an unseen short passage from the assigned corpus with the source visible; explain one comparison without notes; answer a new objection to the essay; complete a delayed reconstruction in the next course. Ready means accurate textual work and relevant reasoning on new material, not memorizing every author’s dates.</w:t>
      </w:r>
    </w:p>
    <w:p>
      <w:r>
        <w:t>If the city–soul argument or a technical term remains unclear, annotate the exact passage and compare two interpretations before retesting. Optional extensions include Presocratics, Stoicism, and the complete Republic; they are not hidden essentials.</w:t>
      </w:r>
    </w:p>
    <w:p>
      <w:bookmarkStart w:id="5" w:name="section_5"/>
      <w:pPr>
        <w:pStyle w:val="Heading1"/>
        <w:pageBreakBefore/>
      </w:pPr>
      <w:r>
        <w:rPr>
          <w:color w:val="000000"/>
        </w:rPr>
        <w:t>Course 4 Medieval philosophy and transmission</w:t>
      </w:r>
      <w:bookmarkEnd w:id="5"/>
    </w:p>
    <w:p>
      <w:pPr>
        <w:pStyle w:val="Heading2"/>
      </w:pPr>
      <w:r>
        <w:rPr>
          <w:color w:val="000000"/>
        </w:rPr>
        <w:t>Scope and core readings</w:t>
      </w:r>
    </w:p>
    <w:p>
      <w:r>
        <w:t>100 hours; prerequisites Courses 1 and 3. This course studies selected arguments about time, intellect, revelation, causation, and existence across interconnected Latin, Arabic, and Jewish philosophical settings. It is a bridge with depth in a few problems, not a comprehensive medieval survey. Avoid narrating Islamic and Jewish thinkers merely as carriers of Greek ideas to Europe.</w:t>
      </w:r>
    </w:p>
    <w:p>
      <w:r>
        <w:t>Core: Augustine, Confessions XI.14–31, Henry Chadwick translation, Oxford 1991; Anselm, Proslogion 2–4, Gaunilo’s complete On Behalf of the Fool, and Anselm’s reply sections 1–4, Thomas Williams translation, Proslogion with the Replies of Gaunilo and Anselm, Hackett 2001; Avicenna, “On the Soul,” complete excerpt in Muhammad Ali Khalidi, editor, Medieval Islamic Philosophical Writings, Cambridge 2005, pp. 27–58; al-Ghazali, The Rescuer from Error, the complete anthology excerpt, pp. 59–98, in the same anthology; Maimonides, Guide of the Perplexed I.50–60, Shlomo Pines translation, Chicago 1963; Aquinas, Summa Theologiae I, question 2, articles 1–3, and question 1, article 8, English Dominican Province translation. Read the editor’s introductions to the assigned Avicenna and al-Ghazali excerpts. The Avicenna and al-Ghazali assignments are complete anthology excerpts, not complete original treatises; the Avicenna selection comes from the Book of Salvation. Check the quoted page within the actual borrowed copy before citing it.</w:t>
      </w:r>
    </w:p>
    <w:p>
      <w:r>
        <w:t>Outcomes: reconstruct distinct arguments for existence and distinguish their premises; explain the flying-person thought experiment without treating it as a complete proof of Cartesian dualism; interpret negative theology; compare reason/revelation relationships with contextual care; use a translation responsibly.</w:t>
      </w:r>
    </w:p>
    <w:p>
      <w:pPr>
        <w:pStyle w:val="Heading2"/>
      </w:pPr>
      <w:r>
        <w:rPr>
          <w:color w:val="000000"/>
        </w:rPr>
        <w:t>Modules and assignments</w:t>
      </w:r>
    </w:p>
    <w:p>
      <w:pPr>
        <w:ind w:left="216" w:hanging="216"/>
      </w:pPr>
      <w:r>
        <w:rPr>
          <w:b/>
        </w:rPr>
        <w:t xml:space="preserve">1. Context and transmission, 10 hours. </w:t>
      </w:r>
      <w:r>
        <w:t>Read the anthology’s general introduction and source introductions. Map the languages, institutions, translation movements, and intellectual settings actually supported by these introductions. Label the scope as the Arabic/Islamic context supplied by this source; mark missing Latin/Jewish contextual details as questions rather than filling them from an AI’s recollection. Output: a sourced 500-word explanation of why a simple “faith versus reason” storyline is inadequate.</w:t>
      </w:r>
    </w:p>
    <w:p>
      <w:pPr>
        <w:ind w:left="216" w:hanging="216"/>
      </w:pPr>
      <w:r>
        <w:rPr>
          <w:b/>
        </w:rPr>
        <w:t xml:space="preserve">2. Time and experience, 12 hours. </w:t>
      </w:r>
      <w:r>
        <w:t>Augustine XI.14–31. Reconstruct the puzzle of past, present, and future. PC activity: distinguish a claim about temporal reality from a claim about measuring time. Write a 400-word objection and possible response.</w:t>
      </w:r>
    </w:p>
    <w:p>
      <w:pPr>
        <w:ind w:left="216" w:hanging="216"/>
      </w:pPr>
      <w:r>
        <w:rPr>
          <w:b/>
        </w:rPr>
        <w:t xml:space="preserve">3. Anselm and Gaunilo, 14 hours. </w:t>
      </w:r>
      <w:r>
        <w:t>Assigned Proslogion and replies. Produce parallel reconstructions, separating the original argument, parody, and response. Explain whether the parody targets the strongest reading. Do not simply label an argument “ontological” and assume that settles its validity.</w:t>
      </w:r>
    </w:p>
    <w:p>
      <w:pPr>
        <w:ind w:left="216" w:hanging="216"/>
      </w:pPr>
      <w:r>
        <w:rPr>
          <w:b/>
        </w:rPr>
        <w:t xml:space="preserve">4. Avicenna on self and soul, 14 hours. </w:t>
      </w:r>
      <w:r>
        <w:t>Assigned On the Soul excerpt. Describe the thought experiment’s assumptions, conclusion, and limits; compare Aristotle and Descartes cautiously. Write a 600-word interpretive exercise grounded in the actual translation.</w:t>
      </w:r>
    </w:p>
    <w:p>
      <w:pPr>
        <w:ind w:left="216" w:hanging="216"/>
      </w:pPr>
      <w:r>
        <w:rPr>
          <w:b/>
        </w:rPr>
        <w:t xml:space="preserve">5. Al-Ghazali and philosophical inquiry, 12 hours. </w:t>
      </w:r>
      <w:r>
        <w:t>Assigned anthology excerpt of Rescuer. Identify distinctions among mathematical, logical, physical, metaphysical, political, and ethical investigations where the text makes them. Write a 500-word analysis of an argument against philosophers, distinguishing autobiography, classification, and demonstration.</w:t>
      </w:r>
    </w:p>
    <w:p>
      <w:pPr>
        <w:ind w:left="216" w:hanging="216"/>
      </w:pPr>
      <w:r>
        <w:rPr>
          <w:b/>
        </w:rPr>
        <w:t xml:space="preserve">6. Maimonides and Aquinas, 14 hours. </w:t>
      </w:r>
      <w:r>
        <w:t>Guide I.50–60; Summa I q.1 a.8 and q.2 aa.1–3. Compare negative predication with one of Aquinas’s arguments. Map the objection–response form of a Summa article. Do not assimilate all theological arguments to one generic proof.</w:t>
      </w:r>
    </w:p>
    <w:p>
      <w:pPr>
        <w:ind w:left="216" w:hanging="216"/>
      </w:pPr>
      <w:r>
        <w:rPr>
          <w:b/>
        </w:rPr>
        <w:t xml:space="preserve">7. Essay and revision, 18 hours. </w:t>
      </w:r>
      <w:r>
        <w:t>Write 1,500–1,800 words: “What, exactly, does Avicenna’s thought experiment establish?”; “Does Gaunilo answer Anselm?”; or “Can negative theology make informative claims?” Include one competing interpretation and a justified textual decision.</w:t>
      </w:r>
    </w:p>
    <w:p>
      <w:pPr>
        <w:ind w:left="216" w:hanging="216"/>
      </w:pPr>
      <w:r>
        <w:rPr>
          <w:b/>
        </w:rPr>
        <w:t xml:space="preserve">8. Assessment and delayed check, 6 hours. </w:t>
      </w:r>
      <w:r>
        <w:t>Analyze a fresh assigned passage, compare two methods of argument, explain an unanticipated objection, and later reconstruct the essay’s key inference. Remediate contextual misattributions by returning to the source introduction and passage before repeating the task.</w:t>
      </w:r>
    </w:p>
    <w:p>
      <w:r>
        <w:t>Optional extension: Averroes’ Decisive Treatise or further work in Islamic philosophy, Jewish philosophy, scholasticism, or medieval women’s thought. These require a separate reading plan and are not necessary for this bounded course.</w:t>
      </w:r>
    </w:p>
    <w:p>
      <w:bookmarkStart w:id="6" w:name="section_6"/>
      <w:pPr>
        <w:pStyle w:val="Heading1"/>
        <w:pageBreakBefore/>
      </w:pPr>
      <w:r>
        <w:rPr>
          <w:color w:val="000000"/>
        </w:rPr>
        <w:t>Course 5 Early modern philosophy</w:t>
      </w:r>
      <w:bookmarkEnd w:id="6"/>
    </w:p>
    <w:p>
      <w:pPr>
        <w:pStyle w:val="Heading2"/>
      </w:pPr>
      <w:r>
        <w:rPr>
          <w:color w:val="000000"/>
        </w:rPr>
        <w:t>Scope and core readings</w:t>
      </w:r>
    </w:p>
    <w:p>
      <w:r>
        <w:t>120 hours; prerequisites Courses 1 and 3, with Course 4 recommended in sequence. Study arguments about knowledge, causation, substance, and mind in their seventeenth- and eighteenth-century contexts. “Rationalist” and “empiricist” are useful retrospective labels with limits.</w:t>
      </w:r>
    </w:p>
    <w:p>
      <w:r>
        <w:t>Read Descartes, Meditations I–VI, in Cottingham/Stoothoff/Murdoch volume II; Elisabeth–Descartes correspondence dated 6 May, 21 May, 10 June, 28 June, and 1 July 1643, Lisa Shapiro, The Correspondence between Princess Elisabeth of Bohemia and René Descartes, Chicago 2007; Spinoza, Ethics I, definitions and axioms, propositions 1–15 with demonstrations, and Appendix, Edwin Curley, A Spinoza Reader, Princeton 1994; Leibniz, Monadology §§1–39 and §§78–90, Ariew and Garber, Philosophical Essays, Hackett 1989; Locke, Essay Concerning Human Understanding I.ii.1–9 and II.viii.1–26, Peter Nidditch edition, Oxford 1975; Berkeley, Principles of Human Knowledge, Introduction §§1–25 and Part I §§1–33, Dancy edition, Oxford 1998; Hume, Enquiry Concerning Human Understanding sections II–VII and XII, Tom Beauchamp edition, Oxford 1999. Use stable locators, not a modernized aid’s page numbers, when quoting the scholarly text.</w:t>
      </w:r>
    </w:p>
    <w:p>
      <w:r>
        <w:t>Outcomes: reconstruct Descartes’ main transitions and the circle worry; explain Elisabeth’s interaction objection; compare rival substance and ideas accounts; evaluate Berkeley’s idealism and Hume’s induction argument; distinguish historical interpretation from a contemporary repair.</w:t>
      </w:r>
    </w:p>
    <w:p>
      <w:pPr>
        <w:pStyle w:val="Heading2"/>
      </w:pPr>
      <w:r>
        <w:rPr>
          <w:color w:val="000000"/>
        </w:rPr>
        <w:t>Modules and assignments</w:t>
      </w:r>
    </w:p>
    <w:p>
      <w:pPr>
        <w:ind w:left="216" w:hanging="216"/>
      </w:pPr>
      <w:r>
        <w:rPr>
          <w:b/>
        </w:rPr>
        <w:t xml:space="preserve">1. Doubt, the thinker, and representation, 12 hours. </w:t>
      </w:r>
      <w:r>
        <w:t>Reread Meditations I–II and read III. Trace what each stage has established. Output: an annotated argument map and 500-word account of one contested inference.</w:t>
      </w:r>
    </w:p>
    <w:p>
      <w:pPr>
        <w:ind w:left="216" w:hanging="216"/>
      </w:pPr>
      <w:r>
        <w:rPr>
          <w:b/>
        </w:rPr>
        <w:t xml:space="preserve">2. God, error, and the world, 16 hours. </w:t>
      </w:r>
      <w:r>
        <w:t>Meditations IV–VI. Write 700 words explaining the strongest version of the circle objection and a possible response. A tutorial asks what depends on clear and distinct perception and what depends on divine reliability.</w:t>
      </w:r>
    </w:p>
    <w:p>
      <w:pPr>
        <w:ind w:left="216" w:hanging="216"/>
      </w:pPr>
      <w:r>
        <w:rPr>
          <w:b/>
        </w:rPr>
        <w:t xml:space="preserve">3. Embodiment and interaction, 12 hours. </w:t>
      </w:r>
      <w:r>
        <w:t>Read the five dated letters. Create a correspondence map showing objection, reply, reformulation, and unresolved issue. Output: 500 words on whether Descartes answers Elisabeth’s question rather than a different question.</w:t>
      </w:r>
    </w:p>
    <w:p>
      <w:pPr>
        <w:ind w:left="216" w:hanging="216"/>
      </w:pPr>
      <w:r>
        <w:rPr>
          <w:b/>
        </w:rPr>
        <w:t xml:space="preserve">4. Substance and explanation, 16 hours. </w:t>
      </w:r>
      <w:r>
        <w:t>Spinoza’s assigned passages and Leibniz’s Monadology. Reconstruct one argument for a substantive metaphysical claim from each. Compare explanatory aims before evaluating their conclusions.</w:t>
      </w:r>
    </w:p>
    <w:p>
      <w:pPr>
        <w:ind w:left="216" w:hanging="216"/>
      </w:pPr>
      <w:r>
        <w:rPr>
          <w:b/>
        </w:rPr>
        <w:t xml:space="preserve">5. Ideas and qualities, 14 hours. </w:t>
      </w:r>
      <w:r>
        <w:t>Locke and Berkeley. Use an ordinary object to distinguish primary/secondary qualities and ideas/objects. Write 600 words assessing a premise in Berkeley’s argument, with a charitable Locke comparison.</w:t>
      </w:r>
    </w:p>
    <w:p>
      <w:pPr>
        <w:ind w:left="216" w:hanging="216"/>
      </w:pPr>
      <w:r>
        <w:rPr>
          <w:b/>
        </w:rPr>
        <w:t xml:space="preserve">6. Hume’s challenge, 20 hours. </w:t>
      </w:r>
      <w:r>
        <w:t>Enquiry II–VII and XII. Separate the skeptical argument about induction, the “skeptical solution,” the account of necessary connection, and mitigated skepticism. PC activity: map where a proposed defense of induction risks circularity.</w:t>
      </w:r>
    </w:p>
    <w:p>
      <w:pPr>
        <w:ind w:left="216" w:hanging="216"/>
      </w:pPr>
      <w:r>
        <w:rPr>
          <w:b/>
        </w:rPr>
        <w:t xml:space="preserve">7. Essay and revision, 22 hours. </w:t>
      </w:r>
      <w:r>
        <w:t>Write 1,800–2,000 words on the Cartesian circle, Elisabeth’s objection, Berkeley’s anti-abstraction argument, or Hume’s account of induction. Use at least two exact passages and one checked scholarly interpretation, selected through the reference protocol below.</w:t>
      </w:r>
    </w:p>
    <w:p>
      <w:pPr>
        <w:ind w:left="216" w:hanging="216"/>
      </w:pPr>
      <w:r>
        <w:rPr>
          <w:b/>
        </w:rPr>
        <w:t xml:space="preserve">8. Assessment and delayed check, 8 hours. </w:t>
      </w:r>
      <w:r>
        <w:t>Independent passage interpretation plus a comparison not rehearsed in the essay, followed by a brief defense and delayed reconstruction. If comparison becomes a list of slogans, return to a shared question and state each author’s actual premise and conclusion.</w:t>
      </w:r>
    </w:p>
    <w:p>
      <w:r>
        <w:t>Optional enrichment: the remainder of the Ethics or Monadology and lectures on the period. Do not let optional whole-book ambitions displace revision.</w:t>
      </w:r>
    </w:p>
    <w:p>
      <w:bookmarkStart w:id="7" w:name="section_7"/>
      <w:pPr>
        <w:pStyle w:val="Heading1"/>
        <w:pageBreakBefore/>
      </w:pPr>
      <w:r>
        <w:rPr>
          <w:color w:val="000000"/>
        </w:rPr>
        <w:t>Course 6 Ethics</w:t>
      </w:r>
      <w:bookmarkEnd w:id="7"/>
    </w:p>
    <w:p>
      <w:pPr>
        <w:pStyle w:val="Heading2"/>
      </w:pPr>
      <w:r>
        <w:rPr>
          <w:color w:val="000000"/>
        </w:rPr>
        <w:t>Scope and core readings</w:t>
      </w:r>
    </w:p>
    <w:p>
      <w:r>
        <w:t>120 hours; prerequisite Course 1. This course develops normative argument, a limited introduction to metaethics, and careful application. It does not claim to exhaust moral philosophy.</w:t>
      </w:r>
    </w:p>
    <w:p>
      <w:r>
        <w:t>Read Aristotle, Nicomachean Ethics I.1–10, II.1–9, and VI.1–5, Terence Irwin, third edition, Hackett 2019; Kant, Groundwork, sections I–II, Ak 4:393–445, Mary Gregor and Jens Timmermann, revised edition, Cambridge 2012; Mill, Utilitarianism chapters II and IV, George Sher edition, second edition, Hackett 2001; Hume, Treatise 3.1.1, Selby-Bigge/Nidditch edition, Oxford 1978; A. J. Ayer, Language, Truth and Logic, chapter VI, second edition 1946; Judith Jarvis Thomson, “A Defense of Abortion,” 1971, pp. 47–66, whole article; Mengzi 2A6 and 6A1–10, Bryan Van Norden translation, Mengzi With Selections from Traditional Commentaries, Hackett 2008. The 2023 Readings in Classical Chinese Philosophy anthology is an alternative only if its actual copy covers every assigned passage. The Mengzi encounter introduces a different account of moral cultivation before the sustained Chinese course; it is not offered as a representative of all Chinese thought.</w:t>
      </w:r>
    </w:p>
    <w:p>
      <w:r>
        <w:t>Outcomes: apply and compare virtue, duty, and utility approaches; reconstruct one canonical argument in detail; explain a metaethical distinction without confusing it with a normative conclusion; test a principle through a carefully described case; assess a serious objection.</w:t>
      </w:r>
    </w:p>
    <w:p>
      <w:pPr>
        <w:pStyle w:val="Heading2"/>
      </w:pPr>
      <w:r>
        <w:rPr>
          <w:color w:val="000000"/>
        </w:rPr>
        <w:t>Modules and assignments</w:t>
      </w:r>
    </w:p>
    <w:p>
      <w:pPr>
        <w:ind w:left="216" w:hanging="216"/>
      </w:pPr>
      <w:r>
        <w:rPr>
          <w:b/>
        </w:rPr>
        <w:t xml:space="preserve">1. Moral questions and reasoning, 10 hours. </w:t>
      </w:r>
      <w:r>
        <w:t>Revisit Singer’s argument and read OpenStax 8.1–8.3 for vocabulary. Separate a factual dispute, a normative claim, and a metaethical question. Write a 400-word case analysis with assumptions explicit.</w:t>
      </w:r>
    </w:p>
    <w:p>
      <w:pPr>
        <w:ind w:left="216" w:hanging="216"/>
      </w:pPr>
      <w:r>
        <w:rPr>
          <w:b/>
        </w:rPr>
        <w:t xml:space="preserve">2. Character and flourishing, 18 hours. </w:t>
      </w:r>
      <w:r>
        <w:t>Aristotle I.1–10, II.1–9, VI.1–5. Reconstruct the function argument and explain practical wisdom. Create an example in which applying the mean requires judgment rather than arithmetic.</w:t>
      </w:r>
    </w:p>
    <w:p>
      <w:pPr>
        <w:ind w:left="216" w:hanging="216"/>
      </w:pPr>
      <w:r>
        <w:rPr>
          <w:b/>
        </w:rPr>
        <w:t xml:space="preserve">3. Moral cultivation across contexts, 12 hours. </w:t>
      </w:r>
      <w:r>
        <w:t>Mengzi 2A6 and 6A1–10. Explain the sprouts analogy and one rival interpretation of “human nature.” Write 600 words comparing an aspect of moral development with Aristotle while stating a limit of the comparison.</w:t>
      </w:r>
    </w:p>
    <w:p>
      <w:pPr>
        <w:ind w:left="216" w:hanging="216"/>
      </w:pPr>
      <w:r>
        <w:rPr>
          <w:b/>
        </w:rPr>
        <w:t xml:space="preserve">4. Duty and autonomy, 18 hours. </w:t>
      </w:r>
      <w:r>
        <w:t>Groundwork I–II. Reconstruct a universal-law test and distinguish treating a person as a means from merely as a means. Test the argument on a fresh maxim before reading a commentator’s response.</w:t>
      </w:r>
    </w:p>
    <w:p>
      <w:pPr>
        <w:ind w:left="216" w:hanging="216"/>
      </w:pPr>
      <w:r>
        <w:rPr>
          <w:b/>
        </w:rPr>
        <w:t xml:space="preserve">5. Welfare and justification, 16 hours. </w:t>
      </w:r>
      <w:r>
        <w:t>Mill II and IV. Compare quality and quantity of pleasure, then reconstruct the proof. Output: a 600-word objection and reply on “desired” and “desirable,” with the inferential claim made precise.</w:t>
      </w:r>
    </w:p>
    <w:p>
      <w:pPr>
        <w:ind w:left="216" w:hanging="216"/>
      </w:pPr>
      <w:r>
        <w:rPr>
          <w:b/>
        </w:rPr>
        <w:t xml:space="preserve">6. Moral language and applied argument, 16 hours. </w:t>
      </w:r>
      <w:r>
        <w:t>Hume 3.1.1, Ayer VI, Thomson’s article. Explain the is/ought passage and emotivism without assuming Hume and Ayer have the same project. Analyze one Thomson thought experiment, distinguishing the conclusion it supports from a broader conclusion it does not establish.</w:t>
      </w:r>
    </w:p>
    <w:p>
      <w:pPr>
        <w:ind w:left="216" w:hanging="216"/>
      </w:pPr>
      <w:r>
        <w:rPr>
          <w:b/>
        </w:rPr>
        <w:t xml:space="preserve">7. Essay and revision, 22 hours. </w:t>
      </w:r>
      <w:r>
        <w:t>Write 1,800–2,000 words defending a bounded verdict on one core argument or applying two theories to a precisely specified case. Prompts: “Can Kant’s universal-law test identify the relevant wrong?”; “Does Mill’s proof justify utility as the ultimate end?”; “Does Thomson’s argument establish the conclusion commonly attributed to it?”</w:t>
      </w:r>
    </w:p>
    <w:p>
      <w:pPr>
        <w:ind w:left="216" w:hanging="216"/>
      </w:pPr>
      <w:r>
        <w:rPr>
          <w:b/>
        </w:rPr>
        <w:t xml:space="preserve">8. Assessment and delayed check, 8 hours. </w:t>
      </w:r>
      <w:r>
        <w:t>Independently distinguish three theory types, interpret a new passage, and assess a changed case. Disagreement with a moral conclusion is not a grading error; unsupported interpretation or inference is. Remedy a theory-confusion by reconstructing its premises before revisiting applications.</w:t>
      </w:r>
    </w:p>
    <w:p>
      <w:r>
        <w:t>Optional extension: contractualism, care ethics, error theory, moral realism, animal ethics, or environmental ethics. Social Philosophy below offers a complete further route rather than a vague instruction to “read more.”</w:t>
      </w:r>
    </w:p>
    <w:p>
      <w:bookmarkStart w:id="8" w:name="section_8"/>
      <w:pPr>
        <w:pStyle w:val="Heading1"/>
        <w:pageBreakBefore/>
      </w:pPr>
      <w:r>
        <w:rPr>
          <w:color w:val="000000"/>
        </w:rPr>
        <w:t>Course 7 Knowledge and reality</w:t>
      </w:r>
      <w:bookmarkEnd w:id="8"/>
    </w:p>
    <w:p>
      <w:pPr>
        <w:pStyle w:val="Heading2"/>
      </w:pPr>
      <w:r>
        <w:rPr>
          <w:color w:val="000000"/>
        </w:rPr>
        <w:t>Scope and core readings</w:t>
      </w:r>
    </w:p>
    <w:p>
      <w:r>
        <w:t>140 hours; prerequisites Course 1, the semantic and symbolization parts of Course 2, and Course 5. The combined course deliberately concentrates on knowledge, testimony, personal identity, and responsibility. It does not claim full coverage of epistemology and metaphysics. Modal ontology, grounding, time, and advanced skepticism are extension areas.</w:t>
      </w:r>
    </w:p>
    <w:p>
      <w:r>
        <w:t>Read Gettier’s complete 1963 article again; Alvin Goldman, “What Is Justified Belief?”, in Pappas, Justification and Knowledge, 1979, pp. 1–23; Hume, Enquiry section X, Part I; Thomas Reid, An Inquiry into the Human Mind on the Principles of Common Sense, chapter VI, section 24, Derek Brookes critical edition, Edinburgh 1997; Miranda Fricker, Epistemic Injustice, Oxford 2007, chapter 1; Locke, Essay II.xxvii, complete; the Buddhist Anattalakkhaṇa Sutta, SN 22.59, complete, Bhikkhu Sujato translation, SuttaCentral (</w:t>
      </w:r>
      <w:hyperlink r:id="rId19">
        <w:r>
          <w:rPr>
            <w:color w:val="174A6B"/>
            <w:u w:val="single"/>
          </w:rPr>
          <w:t>https://suttacentral.net/sn22.59/en/sujato</w:t>
        </w:r>
      </w:hyperlink>
      <w:r>
        <w:t>);</w:t>
      </w:r>
      <w:r>
        <w:t xml:space="preserve"> Derek Parfit, “Personal Identity,” Philosophical Review 80, 1971, pp. 3–27; Harry Frankfurt, “Alternate Possibilities and Moral Responsibility,” 1969, pp. 829–839; Peter van Inwagen, “The Incompatibility of Free Will and Determinism,” 1975, pp. 185–199. Required context is the Internet Encyclopedia of Philosophy entry “Buddha,” sections 1.b “Sources,” 3.b “The Four Noble Truths or Realities,” 3.c “Ontology of Suffering: the Five Aggregates,” and 3.d “Arguments for the Doctrine of Non-self” (</w:t>
      </w:r>
      <w:hyperlink r:id="rId20">
        <w:r>
          <w:rPr>
            <w:color w:val="174A6B"/>
            <w:u w:val="single"/>
          </w:rPr>
          <w:t>https://iep.utm.edu/buddha/</w:t>
        </w:r>
      </w:hyperlink>
      <w:r>
        <w:t>).</w:t>
      </w:r>
      <w:r>
        <w:t xml:space="preserve"> Read these bounded sections within Module 5, not the whole entry; one early Buddhist discourse in a Theravāda/Pāli canonical collection is not a complete account of Buddhist or Indian philosophy or a direct stenographic transcript.</w:t>
      </w:r>
    </w:p>
    <w:p>
      <w:r>
        <w:t>Outcomes: distinguish knowledge from true belief and evaluate a reliabilist proposal; compare competing testimony principles; explain an epistemic injustice; distinguish psychological continuity, identity, and the Buddhist analysis without conflating them; reconstruct a free-will argument; defend a focused position.</w:t>
      </w:r>
    </w:p>
    <w:p>
      <w:pPr>
        <w:pStyle w:val="Heading2"/>
      </w:pPr>
      <w:r>
        <w:rPr>
          <w:color w:val="000000"/>
        </w:rPr>
        <w:t>Modules and assignments</w:t>
      </w:r>
    </w:p>
    <w:p>
      <w:pPr>
        <w:ind w:left="216" w:hanging="216"/>
      </w:pPr>
      <w:r>
        <w:rPr>
          <w:b/>
        </w:rPr>
        <w:t xml:space="preserve">1. Knowledge and justification, 16 hours. </w:t>
      </w:r>
      <w:r>
        <w:t>Gettier and Goldman. Create a map distinguishing an analysis of knowledge from an account of justified belief. Write 600 words evaluating one reliability condition using a new case.</w:t>
      </w:r>
    </w:p>
    <w:p>
      <w:pPr>
        <w:ind w:left="216" w:hanging="216"/>
      </w:pPr>
      <w:r>
        <w:rPr>
          <w:b/>
        </w:rPr>
        <w:t xml:space="preserve">2. Testimony and trust, 16 hours. </w:t>
      </w:r>
      <w:r>
        <w:t>Hume X Part I and Reid VI.24. Explain the disagreement over the grounds of trusting others, avoiding the claim that all testimony is about miracles. PC activity: vary source reliability, dependence among witnesses, and background evidence in a case matrix. State what the comparison does not decide.</w:t>
      </w:r>
    </w:p>
    <w:p>
      <w:pPr>
        <w:ind w:left="216" w:hanging="216"/>
      </w:pPr>
      <w:r>
        <w:rPr>
          <w:b/>
        </w:rPr>
        <w:t xml:space="preserve">3. Epistemic injustice, 14 hours. </w:t>
      </w:r>
      <w:r>
        <w:t>Fricker chapter 1. Reconstruct testimonial injustice and compare it with ordinary error or deception. Write a 600-word case analysis with a counterexample to an overbroad definition. Hermeneutical injustice is an optional later topic, not assessed from an unread chapter.</w:t>
      </w:r>
    </w:p>
    <w:p>
      <w:pPr>
        <w:ind w:left="216" w:hanging="216"/>
      </w:pPr>
      <w:r>
        <w:rPr>
          <w:b/>
        </w:rPr>
        <w:t xml:space="preserve">4. Persons and continuity, 18 hours. </w:t>
      </w:r>
      <w:r>
        <w:t>Locke II.xxvii and Parfit’s article. Map body, memory, psychological continuity, and numerical identity. Explain the role of fission without assuming that imaginative possibility alone settles metaphysical possibility.</w:t>
      </w:r>
    </w:p>
    <w:p>
      <w:pPr>
        <w:ind w:left="216" w:hanging="216"/>
      </w:pPr>
      <w:r>
        <w:rPr>
          <w:b/>
        </w:rPr>
        <w:t xml:space="preserve">5. A different inquiry into self, 16 hours. </w:t>
      </w:r>
      <w:r>
        <w:t>SN 22.59 and the four specified IEP “Buddha” sections. Identify the five aggregates, the argument’s structure, and the practical purpose of the discourse. Mark one claim directly supported by Sujato’s SN 22.59 and one stronger interpretive claim made by the IEP guide. The guide is a scholarly interpretation, not a neutral answer key; disagreement with it is not automatically a textual error. Write 700 words comparing a narrowly specified question with Locke while explaining why the projects are not interchangeable. Do not recast “not-self” automatically as a Western bundle theory.</w:t>
      </w:r>
    </w:p>
    <w:p>
      <w:pPr>
        <w:ind w:left="216" w:hanging="216"/>
      </w:pPr>
      <w:r>
        <w:rPr>
          <w:b/>
        </w:rPr>
        <w:t xml:space="preserve">6. Freedom and responsibility, 22 hours. </w:t>
      </w:r>
      <w:r>
        <w:t>Frankfurt and van Inwagen. Reconstruct the principle of alternate possibilities, a Frankfurt case, and the consequence argument. Diagram which assumptions differ, then write 600 words on whether an objection attacks determinism, alternate possibilities, or a transfer principle.</w:t>
      </w:r>
    </w:p>
    <w:p>
      <w:pPr>
        <w:ind w:left="216" w:hanging="216"/>
      </w:pPr>
      <w:r>
        <w:rPr>
          <w:b/>
        </w:rPr>
        <w:t xml:space="preserve">7. Essay and revision, 28 hours. </w:t>
      </w:r>
      <w:r>
        <w:t>Write 1,800–2,200 words on testimony, reliabilism, identity, or responsibility. Include one verified secondary interpretation and one serious rival argument. State clearly whether your paper is interpretive, conceptual, or normative.</w:t>
      </w:r>
    </w:p>
    <w:p>
      <w:pPr>
        <w:ind w:left="216" w:hanging="216"/>
      </w:pPr>
      <w:r>
        <w:rPr>
          <w:b/>
        </w:rPr>
        <w:t xml:space="preserve">8. Assessment and delayed check, 10 hours. </w:t>
      </w:r>
      <w:r>
        <w:t>Interpret a new assigned passage, construct a fresh counterexample, and answer an unscripted objection. If two positions are being conflated, make a question–premise–conclusion comparison before retesting. Retention is checked in science or the selected area course.</w:t>
      </w:r>
    </w:p>
    <w:p>
      <w:bookmarkStart w:id="9" w:name="section_9"/>
      <w:pPr>
        <w:pStyle w:val="Heading1"/>
        <w:pageBreakBefore/>
      </w:pPr>
      <w:r>
        <w:rPr>
          <w:color w:val="000000"/>
        </w:rPr>
        <w:t>Course 8 Political philosophy</w:t>
      </w:r>
      <w:bookmarkEnd w:id="9"/>
    </w:p>
    <w:p>
      <w:pPr>
        <w:pStyle w:val="Heading2"/>
      </w:pPr>
      <w:r>
        <w:rPr>
          <w:color w:val="000000"/>
        </w:rPr>
        <w:t>Scope and core readings</w:t>
      </w:r>
    </w:p>
    <w:p>
      <w:r>
        <w:t>140 hours; prerequisites Courses 1 and 6. Study legitimacy, liberty, distribution, gender, race, and the limitations of idealized social contracts. The course includes conflicting traditions and distinguishes interpreting a theory from endorsing its politics.</w:t>
      </w:r>
    </w:p>
    <w:p>
      <w:r>
        <w:t>Read Hobbes, Leviathan chapters 13–15 and 17, Richard Tuck edition, Cambridge 1996; Locke, Second Treatise chapter II §§4–15, chapter V §§25–51, and chapter VIII §§95–99, Peter Laslett edition, Cambridge 1988; Mill, On Liberty chapters I–II, any complete reliable English edition; Mary Wollstonecraft, A Vindication of the Rights of Woman chapter II, Miriam Brody edition, Penguin 1992, or a complete public-domain text; W. E. B. Du Bois, The Souls of Black Folk, chapter I “Of Our Spiritual Strivings,” 1903; Rawls, A Theory of Justice, revised edition, Harvard 1999, §§3–4, 11–13, and 24–26; Nozick, Anarchy, State, and Utopia, Basic Books 1974, pp. 150–164, from the entitlement principles through the Wilt Chamberlain discussion; Charles Mills, The Racial Contract, Cornell 1997, introduction and chapter 1, pp. 1–40. Read the works in context; a critique of a tradition is not just an extra objection after its “real” theory.</w:t>
      </w:r>
    </w:p>
    <w:p>
      <w:r>
        <w:t>Outcomes: explain legitimacy and consent arguments; apply and criticize the harm principle; reconstruct the original position and entitlement objections; interpret gender and race critiques as philosophical arguments; distinguish ideal principles from historical exclusion and defend an institutional principle with limits.</w:t>
      </w:r>
    </w:p>
    <w:p>
      <w:pPr>
        <w:pStyle w:val="Heading2"/>
      </w:pPr>
      <w:r>
        <w:rPr>
          <w:color w:val="000000"/>
        </w:rPr>
        <w:t>Modules and assignments</w:t>
      </w:r>
    </w:p>
    <w:p>
      <w:pPr>
        <w:ind w:left="216" w:hanging="216"/>
      </w:pPr>
      <w:r>
        <w:rPr>
          <w:b/>
        </w:rPr>
        <w:t xml:space="preserve">1. Authority and method, 12 hours. </w:t>
      </w:r>
      <w:r>
        <w:t>Hobbes 13–15. Separate prudential motivation, moral obligation, and institutional authority. Write 500 words on what the state-of-nature argument assumes.</w:t>
      </w:r>
    </w:p>
    <w:p>
      <w:pPr>
        <w:ind w:left="216" w:hanging="216"/>
      </w:pPr>
      <w:r>
        <w:rPr>
          <w:b/>
        </w:rPr>
        <w:t xml:space="preserve">2. Consent and property, 18 hours. </w:t>
      </w:r>
      <w:r>
        <w:t>Hobbes 17; Locke’s assigned passages. Map the labor/property argument and the consent claim. Compare a specific premise rather than summarizing “Hobbes versus Locke” in general.</w:t>
      </w:r>
    </w:p>
    <w:p>
      <w:pPr>
        <w:ind w:left="216" w:hanging="216"/>
      </w:pPr>
      <w:r>
        <w:rPr>
          <w:b/>
        </w:rPr>
        <w:t xml:space="preserve">3. Liberty and expression, 16 hours. </w:t>
      </w:r>
      <w:r>
        <w:t>Mill I–II. Apply the harm principle to two carefully described cases, then explain the argument for hearing contrary opinions. PC activity: distinguish a claim’s truth, the right to express it, and the justification for a particular restriction.</w:t>
      </w:r>
    </w:p>
    <w:p>
      <w:pPr>
        <w:ind w:left="216" w:hanging="216"/>
      </w:pPr>
      <w:r>
        <w:rPr>
          <w:b/>
        </w:rPr>
        <w:t xml:space="preserve">4. Equal standing and education, 18 hours. </w:t>
      </w:r>
      <w:r>
        <w:t>Wollstonecraft II and Du Bois I. Write 700 words reconstructing one author’s account of a barrier to equal agency or recognition. Discuss interpretive risks in treating autobiographical, literary, and historical forms as mere illustrations.</w:t>
      </w:r>
    </w:p>
    <w:p>
      <w:pPr>
        <w:ind w:left="216" w:hanging="216"/>
      </w:pPr>
      <w:r>
        <w:rPr>
          <w:b/>
        </w:rPr>
        <w:t xml:space="preserve">5. Fairness and entitlement, 20 hours. </w:t>
      </w:r>
      <w:r>
        <w:t>Rawls and Nozick. Reconstruct the original-position argument and the Wilt Chamberlain objection; identify where principles are selected and where institutions are evaluated. Build a small numerical distribution example, explaining why arithmetic alone cannot decide justice.</w:t>
      </w:r>
    </w:p>
    <w:p>
      <w:pPr>
        <w:ind w:left="216" w:hanging="216"/>
      </w:pPr>
      <w:r>
        <w:rPr>
          <w:b/>
        </w:rPr>
        <w:t xml:space="preserve">6. Contract and exclusion, 20 hours. </w:t>
      </w:r>
      <w:r>
        <w:t>Mills introduction and chapter 1. Compare a descriptive claim about actual institutions with a normative claim about legitimate ones. Write 700 words on whether Mills revises, rejects, or repurposes the social-contract framework, with evidence.</w:t>
      </w:r>
    </w:p>
    <w:p>
      <w:pPr>
        <w:ind w:left="216" w:hanging="216"/>
      </w:pPr>
      <w:r>
        <w:rPr>
          <w:b/>
        </w:rPr>
        <w:t xml:space="preserve">7. Essay and revision, 28 hours. </w:t>
      </w:r>
      <w:r>
        <w:t>Write 1,800–2,200 words on a bounded issue: a consent argument, the limits of Mill’s speech argument, Rawls versus Nozick on a specified distribution, or Mills’s challenge to ideal theory. Represent the strongest relevant opposing view before defending a conclusion.</w:t>
      </w:r>
    </w:p>
    <w:p>
      <w:pPr>
        <w:ind w:left="216" w:hanging="216"/>
      </w:pPr>
      <w:r>
        <w:rPr>
          <w:b/>
        </w:rPr>
        <w:t xml:space="preserve">8. Assessment and delayed check, 8 hours. </w:t>
      </w:r>
      <w:r>
        <w:t>Analyze a new political case, identify which factual questions need evidence, and defend one principle under a changed circumstance. Remediate a factual/normative conflation before reassessing. Political agreement with a tutor is never a readiness criterion.</w:t>
      </w:r>
    </w:p>
    <w:p>
      <w:r>
        <w:t>Optional extension: Rousseau’s Social Contract I–II, feminist critiques of the family, democratic theory, migration, and global justice. The Social Philosophy area option develops several of these themes in depth.</w:t>
      </w:r>
    </w:p>
    <w:p>
      <w:bookmarkStart w:id="10" w:name="section_10"/>
      <w:pPr>
        <w:pStyle w:val="Heading1"/>
        <w:pageBreakBefore/>
      </w:pPr>
      <w:r>
        <w:rPr>
          <w:color w:val="000000"/>
        </w:rPr>
        <w:t>Course 9 Kant and selected nineteenth century responses</w:t>
      </w:r>
      <w:bookmarkEnd w:id="10"/>
    </w:p>
    <w:p>
      <w:pPr>
        <w:pStyle w:val="Heading2"/>
      </w:pPr>
      <w:r>
        <w:rPr>
          <w:color w:val="000000"/>
        </w:rPr>
        <w:t>Scope and core readings</w:t>
      </w:r>
    </w:p>
    <w:p>
      <w:r>
        <w:t>140 hours; prerequisites Courses 5 and 6, with Course 7 useful. This course studies Kant’s answer to a problem inherited from Hume, followed by three selected responses concerning recognition, social life, and genealogy. It is intentionally not a complete history of nineteenth-century philosophy.</w:t>
      </w:r>
    </w:p>
    <w:p>
      <w:r>
        <w:t>Read Kant, Prolegomena to Any Future Metaphysics, Preamble §§1–5, §§6–30, and §§57–60, Gary Hatfield translation, revised edition, Cambridge 2004; Critique of Pure Reason, B Preface Bxvi–Bxxii and Second Analogy A189/B232–A211/B256, Guyer and Wood translation, Cambridge 1998. Read Hegel, Phenomenology of Spirit §§178–196, A. V. Miller translation, Oxford 1977, with the Stanford Encyclopedia of Philosophy entry “Georg Wilhelm Friedrich Hegel,” section 3.1.1 “Phenomenology of Spirit,” only the passage from the paragraph beginning “Something of Hegel’s phenomenological method” through the paragraph ending “But this is only worked out in the text gradually,” inclusive (</w:t>
      </w:r>
      <w:hyperlink r:id="rId21">
        <w:r>
          <w:rPr>
            <w:color w:val="174A6B"/>
            <w:u w:val="single"/>
          </w:rPr>
          <w:t>https://plato.stanford.edu/entries/hegel/</w:t>
        </w:r>
      </w:hyperlink>
      <w:r>
        <w:t>);</w:t>
      </w:r>
      <w:r>
        <w:t xml:space="preserve"> Marx, “Estranged Labour” in the 1844 manuscripts, complete section, and “Theses on Feuerbach,” all eleven theses, in Early Writings, Rodney Livingstone and Gregor Benton translation, Penguin 1975; Nietzsche, On the Genealogy of Morality, First Essay §§1–17, Carol Diethe translation, edited Keith Ansell-Pearson, revised student edition, Cambridge 2007.</w:t>
      </w:r>
    </w:p>
    <w:p>
      <w:r>
        <w:t>Outcomes: distinguish analytic/synthetic and a priori/a posteriori; explain the problem of synthetic a priori cognition; reconstruct a bounded argument in the Second Analogy; interpret recognition, alienation, and genealogy in context; compare a selected post-Kantian project without flattening methodological differences.</w:t>
      </w:r>
    </w:p>
    <w:p>
      <w:pPr>
        <w:pStyle w:val="Heading2"/>
      </w:pPr>
      <w:r>
        <w:rPr>
          <w:color w:val="000000"/>
        </w:rPr>
        <w:t>Modules and assignments</w:t>
      </w:r>
    </w:p>
    <w:p>
      <w:pPr>
        <w:ind w:left="216" w:hanging="216"/>
      </w:pPr>
      <w:r>
        <w:rPr>
          <w:b/>
        </w:rPr>
        <w:t xml:space="preserve">1. Kant’s question and vocabulary, 12 hours. </w:t>
      </w:r>
      <w:r>
        <w:t>Prolegomena §§1–5 and B Preface selection. Build a concept sheet with examples and nonexamples. Explain why “a priori” does not simply mean “innate” or “obvious.”</w:t>
      </w:r>
    </w:p>
    <w:p>
      <w:pPr>
        <w:ind w:left="216" w:hanging="216"/>
      </w:pPr>
      <w:r>
        <w:rPr>
          <w:b/>
        </w:rPr>
        <w:t xml:space="preserve">2. Space and experience, 18 hours. </w:t>
      </w:r>
      <w:r>
        <w:t>Prolegomena §§6–13. Reconstruct one argument concerning intuition; distinguish transcendental conditions from psychological reports. Write 600 words testing a possible objection.</w:t>
      </w:r>
    </w:p>
    <w:p>
      <w:pPr>
        <w:ind w:left="216" w:hanging="216"/>
      </w:pPr>
      <w:r>
        <w:rPr>
          <w:b/>
        </w:rPr>
        <w:t xml:space="preserve">3. Objectivity and causation, 26 hours. </w:t>
      </w:r>
      <w:r>
        <w:t>Prolegomena §§14–30; Second Analogy A189/B232–A211/B256. Distinguish a succession of perceptions from perception of an objective succession. Create a paired-case diagram, then explain which premise establishes a necessary rule. The exact passage supports the course’s answer-to-Hume outcome.</w:t>
      </w:r>
    </w:p>
    <w:p>
      <w:pPr>
        <w:ind w:left="216" w:hanging="216"/>
      </w:pPr>
      <w:r>
        <w:rPr>
          <w:b/>
        </w:rPr>
        <w:t xml:space="preserve">4. Limits of metaphysics, 12 hours. </w:t>
      </w:r>
      <w:r>
        <w:t>Prolegomena §§57–60. Explain the distinction between the legitimate use of concepts and overextension. Write 500 words on what the critical project permits and limits; do not infer that Kant simply rejects all metaphysics.</w:t>
      </w:r>
    </w:p>
    <w:p>
      <w:pPr>
        <w:ind w:left="216" w:hanging="216"/>
      </w:pPr>
      <w:r>
        <w:rPr>
          <w:b/>
        </w:rPr>
        <w:t xml:space="preserve">5. Recognition, 18 hours. </w:t>
      </w:r>
      <w:r>
        <w:t>Hegel §§178–196 and the bounded SEP section 3.1.1 passage specified above. Trace dependence and reversal in lordship and bondage. Write a 700-word interpretation distinguishing the argument’s place in the work from a later political application.</w:t>
      </w:r>
    </w:p>
    <w:p>
      <w:pPr>
        <w:ind w:left="216" w:hanging="216"/>
      </w:pPr>
      <w:r>
        <w:rPr>
          <w:b/>
        </w:rPr>
        <w:t xml:space="preserve">6. Alienation and genealogy, 22 hours. </w:t>
      </w:r>
      <w:r>
        <w:t>Marx’s two texts and Nietzsche First Essay. Write two 500-word reconstructions, then compare what counts as a philosophical explanation. A genealogy is not automatically a refutation merely because it explains a belief’s origin.</w:t>
      </w:r>
    </w:p>
    <w:p>
      <w:pPr>
        <w:ind w:left="216" w:hanging="216"/>
      </w:pPr>
      <w:r>
        <w:rPr>
          <w:b/>
        </w:rPr>
        <w:t xml:space="preserve">7. Essay and revision, 24 hours. </w:t>
      </w:r>
      <w:r>
        <w:t>Write 1,800–2,200 words on Kant’s Second Analogy, Hegelian recognition, Marxian alienation, or a specified Nietzschean genealogical claim. Use the exact primary passage and a checked specialist commentary; acknowledge a competing interpretation.</w:t>
      </w:r>
    </w:p>
    <w:p>
      <w:pPr>
        <w:ind w:left="216" w:hanging="216"/>
      </w:pPr>
      <w:r>
        <w:rPr>
          <w:b/>
        </w:rPr>
        <w:t xml:space="preserve">8. Assessment and delayed check, 8 hours. </w:t>
      </w:r>
      <w:r>
        <w:t>Interpret an unfamiliar short passage from the set and compare two methods of inquiry. If the course becomes terminology recall, return to a single argument and state what would follow if its premise were false.</w:t>
      </w:r>
    </w:p>
    <w:p>
      <w:r>
        <w:t>Optional extensions include Kierkegaard, Schopenhauer, later German idealism, and the rest of the Critique. The area option on pragmatism and phenomenology provides a specified later route.</w:t>
      </w:r>
    </w:p>
    <w:p>
      <w:bookmarkStart w:id="11" w:name="section_11"/>
      <w:pPr>
        <w:pStyle w:val="Heading1"/>
        <w:pageBreakBefore/>
      </w:pPr>
      <w:r>
        <w:rPr>
          <w:color w:val="000000"/>
        </w:rPr>
        <w:t>Course 10 Philosophy of science</w:t>
      </w:r>
      <w:bookmarkEnd w:id="11"/>
    </w:p>
    <w:p>
      <w:pPr>
        <w:pStyle w:val="Heading2"/>
      </w:pPr>
      <w:r>
        <w:rPr>
          <w:color w:val="000000"/>
        </w:rPr>
        <w:t>Scope and core readings</w:t>
      </w:r>
    </w:p>
    <w:p>
      <w:r>
        <w:t>120 hours; prerequisites Course 1 and the induction module of Course 5; Course 2’s basic logic is helpful but full first-order proof proficiency is not required. The course combines classic arguments with the social conditions of inquiry and a real scientific case. No laboratory degree is assumed.</w:t>
      </w:r>
    </w:p>
    <w:p>
      <w:r>
        <w:t>Read Hume, Enquiry IV–V again; Karl Popper, Conjectures and Refutations, chapter 1 “Science: Conjectures and Refutations,” Routledge 1963, whole chapter; Carl Hempel, Philosophy of Natural Science, Prentice-Hall 1966, chapters 2 and 5; Thomas Kuhn, The Structure of Scientific Revolutions, fourth edition, Chicago 2012, chapters II, VI, VII, and IX; Bas van Fraassen, The Scientific Image, Oxford 1980, chapter 2, sections 1–3; Helen Longino, Science as Social Knowledge, Princeton 1990, chapter 4 “Values and Objectivity.” A verified scientific case packet comprises an official plain-language summary, one primary research abstract or methods/results excerpt, and an explicit description of the uncertainty involved. The default packet uses the IPCC Sixth Assessment Synthesis Report, Summary for Policymakers, 2023, Introduction including footnote 4, sections A.1 and A.2, and Figure SPM.1 (</w:t>
      </w:r>
      <w:hyperlink r:id="rId22">
        <w:r>
          <w:rPr>
            <w:color w:val="174A6B"/>
            <w:u w:val="single"/>
          </w:rPr>
          <w:t>https://www.ipcc.ch/report/ar6/syr/summary-for-policymakers/</w:t>
        </w:r>
      </w:hyperlink>
      <w:r>
        <w:t>).</w:t>
      </w:r>
      <w:r>
        <w:t xml:space="preserve"> Pair it with only the publicly available abstract of Nathan Gillett and colleagues, “Constraining human contributions to observed warming since the pre-industrial period,” Nature Climate Change 11 (2021), pp. 207–212, </w:t>
      </w:r>
      <w:hyperlink r:id="rId23">
        <w:r>
          <w:rPr>
            <w:color w:val="174A6B"/>
            <w:u w:val="single"/>
          </w:rPr>
          <w:t>https://www.nature.com/articles/s41558-020-00965-9</w:t>
        </w:r>
      </w:hyperlink>
      <w:r>
        <w:t xml:space="preserve"> . The abstract is a bounded original-study excerpt, not the whole paper. Compare the kinds of claims, stated method, scope, and uncertainty with the synthesis; do not claim this one article directly underlies Figure SPM.1 without tracing that relationship. The purpose is philosophical analysis of evidence, confidence, and institutions, not independent climate-science adjudication.</w:t>
      </w:r>
    </w:p>
    <w:p>
      <w:r>
        <w:t>Outcomes: distinguish deduction, induction, and confirmation; evaluate falsifiability as a criterion; explain a model of scientific explanation; compare realism with empirical adequacy; analyze values and criticism in inquiry; produce a source-grounded case analysis without pretending philosophical reasoning replaces scientific expertise.</w:t>
      </w:r>
    </w:p>
    <w:p>
      <w:pPr>
        <w:pStyle w:val="Heading2"/>
      </w:pPr>
      <w:r>
        <w:rPr>
          <w:color w:val="000000"/>
        </w:rPr>
        <w:t>Modules and assignments</w:t>
      </w:r>
    </w:p>
    <w:p>
      <w:pPr>
        <w:ind w:left="216" w:hanging="216"/>
      </w:pPr>
      <w:r>
        <w:rPr>
          <w:b/>
        </w:rPr>
        <w:t xml:space="preserve">1. Induction and confirmation, 14 hours. </w:t>
      </w:r>
      <w:r>
        <w:t>Hume IV–V and Hempel chapter 2. Reconstruct the induction problem and a hypothetico-deductive testing scheme. PC activity: distinguish P(evidence given hypothesis) from P(hypothesis given evidence) using a small invented frequency table. A six-hour probability bridge is available if needed and is additional to the course estimate.</w:t>
      </w:r>
    </w:p>
    <w:p>
      <w:pPr>
        <w:ind w:left="216" w:hanging="216"/>
      </w:pPr>
      <w:r>
        <w:rPr>
          <w:b/>
        </w:rPr>
        <w:t xml:space="preserve">2. Testing and falsifiability, 14 hours. </w:t>
      </w:r>
      <w:r>
        <w:t>Popper chapter 1. Explain the role of risky predictions and auxiliary assumptions. Write 600 words on why one apparently contrary observation does not automatically dictate abandonment of a theory.</w:t>
      </w:r>
    </w:p>
    <w:p>
      <w:pPr>
        <w:ind w:left="216" w:hanging="216"/>
      </w:pPr>
      <w:r>
        <w:rPr>
          <w:b/>
        </w:rPr>
        <w:t xml:space="preserve">3. Scientific explanation, 14 hours. </w:t>
      </w:r>
      <w:r>
        <w:t>Hempel chapter 5. Reconstruct an explanation schema and test it with an original case. Identify an explanatory direction or relevance problem, then explain whether it defeats the whole approach or a specific formulation.</w:t>
      </w:r>
    </w:p>
    <w:p>
      <w:pPr>
        <w:ind w:left="216" w:hanging="216"/>
      </w:pPr>
      <w:r>
        <w:rPr>
          <w:b/>
        </w:rPr>
        <w:t xml:space="preserve">4. Change in science, 18 hours. </w:t>
      </w:r>
      <w:r>
        <w:t>Kuhn II, VI, VII, IX. Distinguish normal science, anomaly, crisis, and revolution without turning them into a simple inevitable cycle. Write 700 words on a selected claim about theory change.</w:t>
      </w:r>
    </w:p>
    <w:p>
      <w:pPr>
        <w:ind w:left="216" w:hanging="216"/>
      </w:pPr>
      <w:r>
        <w:rPr>
          <w:b/>
        </w:rPr>
        <w:t xml:space="preserve">5. Realism and empirical adequacy, 16 hours. </w:t>
      </w:r>
      <w:r>
        <w:t>Van Fraassen chapter 2 §§1–3. State what accepting a theory commits one to under each view. Compare an inference to the best explanation with an empiricist reply using a carefully bounded example.</w:t>
      </w:r>
    </w:p>
    <w:p>
      <w:pPr>
        <w:ind w:left="216" w:hanging="216"/>
      </w:pPr>
      <w:r>
        <w:rPr>
          <w:b/>
        </w:rPr>
        <w:t xml:space="preserve">6. Objectivity and scientific communities, 14 hours. </w:t>
      </w:r>
      <w:r>
        <w:t>Longino chapter 4 and the complete bounded case packet. Read the SPM’s footnote 4 before using confidence and likelihood terms. In Gillett’s abstract, identify the stated method and claim, then state what cannot be evaluated without the full paper. Identify evidence, assumptions, value judgments, uncertainty language, and routes for criticism. Do not infer that values make every conclusion arbitrary or that consensus makes criticism unnecessary.</w:t>
      </w:r>
    </w:p>
    <w:p>
      <w:pPr>
        <w:ind w:left="216" w:hanging="216"/>
      </w:pPr>
      <w:r>
        <w:rPr>
          <w:b/>
        </w:rPr>
        <w:t xml:space="preserve">7. Case paper and revision, 22 hours. </w:t>
      </w:r>
      <w:r>
        <w:t>Write 1,800–2,200 words on one philosophical issue in the packet, or on an equivalently documented scientific case chosen from public primary sources. Use at least one course argument and distinguish what the scientific source actually shows from your interpretation. A case packet for an alternative must be bounded and accessible before the paper begins.</w:t>
      </w:r>
    </w:p>
    <w:p>
      <w:pPr>
        <w:ind w:left="216" w:hanging="216"/>
      </w:pPr>
      <w:r>
        <w:rPr>
          <w:b/>
        </w:rPr>
        <w:t xml:space="preserve">8. Assessment and delayed check, 8 hours. </w:t>
      </w:r>
      <w:r>
        <w:t>Analyze a new claim about testing or uncertainty, reconstruct one argument without notes, and defend the case paper under a changed assumption. If source comprehension is weak, consult a domain introduction rather than invent an answer; the tutor must flag unresolved scientific facts.</w:t>
      </w:r>
    </w:p>
    <w:p>
      <w:r>
        <w:t>Optional extension: Kuhn chapter X on changes of world view, Bayesian epistemology, philosophy of biology or physics, feminist philosophy of science, causal inference, and replication. These are specializations, not competencies conferred by finishing this introduction.</w:t>
      </w:r>
    </w:p>
    <w:p>
      <w:bookmarkStart w:id="12" w:name="section_12"/>
      <w:pPr>
        <w:pStyle w:val="Heading1"/>
        <w:pageBreakBefore/>
      </w:pPr>
      <w:r>
        <w:rPr>
          <w:color w:val="000000"/>
        </w:rPr>
        <w:t>Course 11 Sustained study of a global tradition</w:t>
      </w:r>
      <w:bookmarkEnd w:id="12"/>
    </w:p>
    <w:p>
      <w:r>
        <w:t>Choose one complete option. The recommended route is Classical Chinese Philosophy because it develops a conversation already begun in ethics and offers contrasting methods of philosophical inquiry. Africana Philosophy is an equally legitimate alternative, especially after political philosophy. Neither option claims to represent every tradition outside Europe. Indian thought is encountered in Course 7 and Islamic/Jewish thought in Course 4; further sustained study remains an honest extension opportunity.</w:t>
      </w:r>
    </w:p>
    <w:p>
      <w:pPr>
        <w:pStyle w:val="Heading2"/>
      </w:pPr>
      <w:r>
        <w:rPr>
          <w:color w:val="000000"/>
        </w:rPr>
        <w:t>Option A Classical Chinese philosophy</w:t>
      </w:r>
    </w:p>
    <w:p>
      <w:r>
        <w:t>140 hours; prerequisites Courses 1 and 6. The default complete-text route uses Slingerland, Confucius Analects With Selections from Traditional Commentaries (Hackett 2003); Van Norden, Mengzi With Selections from Traditional Commentaries (Hackett 2008); Ian Johnston, The Mozi A Complete Translation (Chinese University Press and Columbia University Press 2010); Ziporyn, Zhuangzi The Essential Writings (Hackett 2009); and Hutton, Xunzi The Complete Text (Princeton 2014). Borrow one or two at a time as the course proceeds. The 2023 Readings in Classical Chinese Philosophy anthology is a useful alternative only where its actual contents cover every assigned passage; its inclusion of an author does not guarantee the whole range.</w:t>
      </w:r>
    </w:p>
    <w:p>
      <w:r>
        <w:t>Core passages: Analects Books 1–4, 7, 12, 13, and 15, Edward Slingerland translation; Mengzi 1A1, 1A7, 2A2, 2A6, 3A5, 4A17, 6A1–10, 6B2, 7A1, 7A15, and 7B24, Bryan Van Norden translation; Mozi chapter 16, “Universal Love III” in Johnston (also rendered “Impartial Caring III”), complete; Zhuangzi chapters 1–3 and 6, Brook Ziporyn translation in The Essential Writings, Hackett 2009, or another identified complete scholarly translation; Xunzi chapters 1 and 23, Eric Hutton translation, The Complete Text, Princeton 2014. The finite common context is SEP “Chinese Ethics,” section 1 “Characteristics of Chinese Ethics: Practical Focus and Closeness to Pre-theoretical Experience” (</w:t>
      </w:r>
      <w:hyperlink r:id="rId24">
        <w:r>
          <w:rPr>
            <w:color w:val="174A6B"/>
            <w:u w:val="single"/>
          </w:rPr>
          <w:t>https://plato.stanford.edu/entries/ethics-chinese/</w:t>
        </w:r>
      </w:hyperlink>
      <w:r>
        <w:t>),</w:t>
      </w:r>
      <w:r>
        <w:t xml:space="preserve"> plus SEP “Mencius,” section 1 “Life and Confucian Background,” only its opening paragraphs through the sentence listing five Analects themes and ending “ethical cultivation” (</w:t>
      </w:r>
      <w:hyperlink r:id="rId25">
        <w:r>
          <w:rPr>
            <w:color w:val="174A6B"/>
            <w:u w:val="single"/>
          </w:rPr>
          <w:t>https://plato.stanford.edu/entries/mencius/</w:t>
        </w:r>
      </w:hyperlink>
      <w:r>
        <w:t>).</w:t>
      </w:r>
      <w:r>
        <w:t xml:space="preserve"> Whole translator introductions are optional. Consult passage notes where needed while reading each primary text; these belong to that author’s module. Stable book/chapter locators control the assignment; transliterations and English renderings vary.</w:t>
      </w:r>
    </w:p>
    <w:p>
      <w:r>
        <w:t>Outcomes: reconstruct debates over cultivation, partiality, order, and knowledge; explain key terms in context without equating them automatically with familiar English categories; compare thinkers within the tradition; evaluate the philosophical effect of a translation choice; produce a narrow, source-grounded interpretive argument. This English-language course does not establish Chinese philological competence. A translation-sensitive judgment must compare two identified renderings of a short passage or use a translator’s explicit discussion; it evaluates the philosophical consequences of those renderings, not independently certifies fidelity to the Chinese. Use a lawful short comparison or commentary rather than buying a second complete book only for the exercise.</w:t>
      </w:r>
    </w:p>
    <w:p>
      <w:pPr>
        <w:ind w:left="216" w:hanging="216"/>
      </w:pPr>
      <w:r>
        <w:rPr>
          <w:b/>
        </w:rPr>
        <w:t xml:space="preserve">1. Context and reading practice, 10 hours. </w:t>
      </w:r>
      <w:r>
        <w:t>Read the two bounded SEP context selections above. Create a provisional Warring States context map and begin a glossary of ren, li, yi, de, dao, and xing. Add a primary passage and alternative rendering as each term is encountered in Modules 2–6; the ten-hour opening module does not require mastering all six in advance. Do not treat a glossary entry as a final definition.</w:t>
      </w:r>
    </w:p>
    <w:p>
      <w:pPr>
        <w:ind w:left="216" w:hanging="216"/>
      </w:pPr>
      <w:r>
        <w:rPr>
          <w:b/>
        </w:rPr>
        <w:t xml:space="preserve">2. Analects, 22 hours. </w:t>
      </w:r>
      <w:r>
        <w:t>Read the specified books. Choose four connected sayings and reconstruct an account of cultivation or governing. Write 700 words explaining how an aphoristic text can support a philosophical interpretation without forcing it into an imaginary continuous treatise.</w:t>
      </w:r>
    </w:p>
    <w:p>
      <w:pPr>
        <w:ind w:left="216" w:hanging="216"/>
      </w:pPr>
      <w:r>
        <w:rPr>
          <w:b/>
        </w:rPr>
        <w:t xml:space="preserve">3. Mengzi, 20 hours. </w:t>
      </w:r>
      <w:r>
        <w:t>Read the assigned passages. Examine the sprouts, human nature, and the extension of concern. Write 700 words on one argument and a textual difficulty. Revisit Aristotle only after representing Mengzi in his own terms.</w:t>
      </w:r>
    </w:p>
    <w:p>
      <w:pPr>
        <w:ind w:left="216" w:hanging="216"/>
      </w:pPr>
      <w:r>
        <w:rPr>
          <w:b/>
        </w:rPr>
        <w:t xml:space="preserve">4. Mohist challenge, 16 hours. </w:t>
      </w:r>
      <w:r>
        <w:t>Read Mozi 16. Reconstruct the argument for impartial care and a likely Confucian objection. PC activity: distinguish impartial concern, identical treatment, and absence of personal relationships. Identify which claim the text actually requires.</w:t>
      </w:r>
    </w:p>
    <w:p>
      <w:pPr>
        <w:ind w:left="216" w:hanging="216"/>
      </w:pPr>
      <w:r>
        <w:rPr>
          <w:b/>
        </w:rPr>
        <w:t xml:space="preserve">5. Zhuangzi, 24 hours. </w:t>
      </w:r>
      <w:r>
        <w:t>Read chapters 1–3 and 6. Trace the role of story, perspective, skill, and transformation. Compare two interpretations of one passage and explain their evidence. Do not assume that a story is either a literal doctrine or philosophically empty literature.</w:t>
      </w:r>
    </w:p>
    <w:p>
      <w:pPr>
        <w:ind w:left="216" w:hanging="216"/>
      </w:pPr>
      <w:r>
        <w:rPr>
          <w:b/>
        </w:rPr>
        <w:t xml:space="preserve">6. Xunzi, 18 hours. </w:t>
      </w:r>
      <w:r>
        <w:t>Read chapters 1 and 23. Reconstruct a disagreement with Mengzi, including the work done by “nature,” deliberate effort, ritual, and learning. Write 800 words that distinguishes disagreement from a translation-generated appearance of disagreement.</w:t>
      </w:r>
    </w:p>
    <w:p>
      <w:pPr>
        <w:ind w:left="216" w:hanging="216"/>
      </w:pPr>
      <w:r>
        <w:rPr>
          <w:b/>
        </w:rPr>
        <w:t xml:space="preserve">7. Essay and revision, 22 hours. </w:t>
      </w:r>
      <w:r>
        <w:t>Write 2,000–2,400 words: “Is the Mengzi–Xunzi disagreement primarily about motivation, development, or the meaning of nature?”; “Does Mozi’s argument require abandoning special relationships?”; or “What does a selected Zhuangzi passage justify about knowledge or perspective?” Include one specialist secondary interpretation and a translation note.</w:t>
      </w:r>
    </w:p>
    <w:p>
      <w:pPr>
        <w:ind w:left="216" w:hanging="216"/>
      </w:pPr>
      <w:r>
        <w:rPr>
          <w:b/>
        </w:rPr>
        <w:t xml:space="preserve">8. Assessment and delayed check, 8 hours. </w:t>
      </w:r>
      <w:r>
        <w:t>Independently interpret a fresh assigned passage, compare two thinkers without using a European thinker as the default measure, and defend a translation-sensitive claim. A subsequent cross-tradition comparison must state both a productive connection and a limit.</w:t>
      </w:r>
    </w:p>
    <w:p>
      <w:r>
        <w:t>Readiness depends on accurate intra-tradition interpretation, evidence, and awareness of comparison limits. If the course becomes a list of equivalents such as “ren equals virtue,” return to contrasting passages and revise the glossary. Optional extensions include the Laozi, Han Feizi, Neo-Confucianism, and modern Chinese thought; completion does not imply coverage of them.</w:t>
      </w:r>
    </w:p>
    <w:p>
      <w:pPr>
        <w:pStyle w:val="Heading2"/>
      </w:pPr>
      <w:r>
        <w:rPr>
          <w:color w:val="000000"/>
        </w:rPr>
        <w:t>Option B Africana philosophy</w:t>
      </w:r>
    </w:p>
    <w:p>
      <w:r>
        <w:t>140 hours; prerequisites Courses 1 and 8. This is a focused course on selfhood, freedom, personhood, and philosophical method in selected African and African-diasporic texts. “Africana” identifies an interconnected field, not one unified doctrine or an undifferentiated continent.</w:t>
      </w:r>
    </w:p>
    <w:p>
      <w:r>
        <w:t>Core: Du Bois, The Souls of Black Folk, chapters I and III; Frantz Fanon, Black Skin, White Masks, chapter 5, “The Lived Experience of the Black Man,” Richard Philcox translation, Grove 2008; Kwasi Wiredu, “How Not to Compare African Thought with Western Thought,” in Richard A. Wright, editor, African Philosophy An Introduction, third edition, University Press of America 1984, whole essay; Ifeanyi Menkiti, “Person and Community in African Traditional Thought,” in Richard Wright, editor, African Philosophy An Introduction, third edition, 1984, whole essay beginning p. 171; Kwame Gyekye, “Person and Community in African Thought,” in Person and Community Ghanaian Philosophical Studies I, 1992, pp. 101–122; Charles Mills, The Racial Contract, chapter 2, Cornell 1997. Required context is Du Bois’s short “The Forethought” to Souls, plus the Stanford Encyclopedia of Philosophy entry “Frantz Fanon”: opening biographical paragraphs before the Contents, then section 1 “The Problem of Blackness” through the paragraph beginning “In the end, Fanon is a unique thinker,” inclusive (</w:t>
      </w:r>
      <w:hyperlink r:id="rId26">
        <w:r>
          <w:rPr>
            <w:color w:val="174A6B"/>
            <w:u w:val="single"/>
          </w:rPr>
          <w:t>https://plato.stanford.edu/entries/frantz-fanon/</w:t>
        </w:r>
      </w:hyperlink>
      <w:r>
        <w:t>).</w:t>
      </w:r>
      <w:r>
        <w:t xml:space="preserve"> Do not assign the remainder of the entry or whole collection introductions as hidden extra reading. Wiredu and Menkiti are available in the same 1984 anthology; borrowing that edition avoids mixing pagination from later reprints.</w:t>
      </w:r>
    </w:p>
    <w:p>
      <w:r>
        <w:t>Outcomes: distinguish phenomenological, historical, conceptual, and normative claims; reconstruct the person/community debate; interpret racialization and double consciousness in context; assess methodological risks in cross-cultural comparison; defend a bounded argument without treating an author as spokesperson for all African thought.</w:t>
      </w:r>
    </w:p>
    <w:p>
      <w:pPr>
        <w:ind w:left="216" w:hanging="216"/>
      </w:pPr>
      <w:r>
        <w:rPr>
          <w:b/>
        </w:rPr>
        <w:t xml:space="preserve">1. Context and method, 14 hours. </w:t>
      </w:r>
      <w:r>
        <w:t>Read Wiredu’s essay, Du Bois’s “The Forethought,” and the bounded Fanon context reading named above. Write 600 words on a bad comparison and how to repair it. Identify the language, region, historical setting, and kind of claim relevant to each author.</w:t>
      </w:r>
    </w:p>
    <w:p>
      <w:pPr>
        <w:ind w:left="216" w:hanging="216"/>
      </w:pPr>
      <w:r>
        <w:rPr>
          <w:b/>
        </w:rPr>
        <w:t xml:space="preserve">2. Du Bois on self and social life, 20 hours. </w:t>
      </w:r>
      <w:r>
        <w:t>Souls I and III. Interpret double consciousness and the education/politics dispute. Map the roles of narrative, history, and argument. Output: a 700-word reading with exact textual support.</w:t>
      </w:r>
    </w:p>
    <w:p>
      <w:pPr>
        <w:ind w:left="216" w:hanging="216"/>
      </w:pPr>
      <w:r>
        <w:rPr>
          <w:b/>
        </w:rPr>
        <w:t xml:space="preserve">3. Fanon on racialized experience, 24 hours. </w:t>
      </w:r>
      <w:r>
        <w:t>Read chapter 5 in full, returning to the finite SEP context passage as needed. Distinguish the lived description from the claims about social structures it supports. Compare a narrow point with Du Bois while preserving historical differences.</w:t>
      </w:r>
    </w:p>
    <w:p>
      <w:pPr>
        <w:ind w:left="216" w:hanging="216"/>
      </w:pPr>
      <w:r>
        <w:rPr>
          <w:b/>
        </w:rPr>
        <w:t xml:space="preserve">4. Personhood and community, 20 hours. </w:t>
      </w:r>
      <w:r>
        <w:t>Menkiti and Gyekye in full. Reconstruct their positions and identify where personhood is descriptive, normative, acquired, or presupposed. PC activity: test a single case under each interpretation rather than attach blanket “individualist” and “collectivist” labels.</w:t>
      </w:r>
    </w:p>
    <w:p>
      <w:pPr>
        <w:ind w:left="216" w:hanging="216"/>
      </w:pPr>
      <w:r>
        <w:rPr>
          <w:b/>
        </w:rPr>
        <w:t xml:space="preserve">5. Institutions and critique, 16 hours. </w:t>
      </w:r>
      <w:r>
        <w:t>Mills chapter 2, with Course 8’s chapter 1 available for reference. Write 700 words on an explanatory or normative claim and a serious objection. Separate what the evidence establishes from what remains a philosophical inference.</w:t>
      </w:r>
    </w:p>
    <w:p>
      <w:pPr>
        <w:ind w:left="216" w:hanging="216"/>
      </w:pPr>
      <w:r>
        <w:rPr>
          <w:b/>
        </w:rPr>
        <w:t xml:space="preserve">6. Comparative-method workshop, 14 hours. </w:t>
      </w:r>
      <w:r>
        <w:t>Return to Wiredu. Audit one of your earlier comparisons for conceptual translation, selective evidence, and overgeneralization. Revise the argument rather than just adding a disclaimer.</w:t>
      </w:r>
    </w:p>
    <w:p>
      <w:pPr>
        <w:ind w:left="216" w:hanging="216"/>
      </w:pPr>
      <w:r>
        <w:rPr>
          <w:b/>
        </w:rPr>
        <w:t xml:space="preserve">7. Essay and revision, 24 hours. </w:t>
      </w:r>
      <w:r>
        <w:t>Write 2,000–2,400 words on the Menkiti–Gyekye debate, Du Bois and Fanon on a specified problem, or a precise Mills argument. Include a checked specialist source and a method note explaining the limits of your scope.</w:t>
      </w:r>
    </w:p>
    <w:p>
      <w:pPr>
        <w:ind w:left="216" w:hanging="216"/>
      </w:pPr>
      <w:r>
        <w:rPr>
          <w:b/>
        </w:rPr>
        <w:t xml:space="preserve">8. Assessment and delayed check, 8 hours. </w:t>
      </w:r>
      <w:r>
        <w:t>Interpret an unseen assigned passage and answer a new objection. Readiness requires contextual accuracy and a genuine argument, not recognition of author names. Remedy unsupported generalizations by narrowing the claim and locating direct evidence.</w:t>
      </w:r>
    </w:p>
    <w:p>
      <w:r>
        <w:t>Optional extensions include Hountondji, African feminist philosophy, Akan philosophy, decolonial thought, and philosophy in other African languages. These are substantive further studies, not competencies acquired by association.</w:t>
      </w:r>
    </w:p>
    <w:p>
      <w:bookmarkStart w:id="13" w:name="section_13"/>
      <w:pPr>
        <w:pStyle w:val="Heading1"/>
        <w:pageBreakBefore/>
      </w:pPr>
      <w:r>
        <w:rPr>
          <w:color w:val="000000"/>
        </w:rPr>
        <w:t>Course 12 A selected philosophical area</w:t>
      </w:r>
      <w:bookmarkEnd w:id="13"/>
    </w:p>
    <w:p>
      <w:r>
        <w:t>Choose one area using the compatibility map near the front of the handbook. The recommended route is Mind and Language, followed by the AI seminar in Course 13. The other area choices are fully specified below; Africana plus Aesthetics or Pragmatism requires an explicitly additional 140-hour prerequisite before an offered advanced seminar. They trade some breadth for a different specialization; no choice is universally required by university philosophy programs. You do not need to decide before reaching this stage.</w:t>
      </w:r>
    </w:p>
    <w:p>
      <w:pPr>
        <w:pStyle w:val="Heading2"/>
      </w:pPr>
      <w:r>
        <w:rPr>
          <w:color w:val="000000"/>
        </w:rPr>
        <w:t>Option A Mind and language</w:t>
      </w:r>
    </w:p>
    <w:p>
      <w:r>
        <w:t>140 hours; prerequisites Courses 1, 2’s first-order language/semantics, 5, and 7. This is a bounded combined introduction, not two complete specialist courses.</w:t>
      </w:r>
    </w:p>
    <w:p>
      <w:r>
        <w:t>Core: Frege, “On Sense and Reference,” complete, Max Black translation in Translations from the Philosophical Writings of Gottlob Frege, third edition, Blackwell 1980; Russell, “On Denoting,” Mind 14, 1905, pp. 479–493; Kripke, Naming and Necessity, Harvard 1980, Lecture I; Ryle, The Concept of Mind, 1949, chapter I; Putnam, “The Nature of Mental States,” 1967, complete, reprinted in Mind, Language and Reality, Cambridge 1975, pp. 429–440; Turing, “Computing Machinery and Intelligence,” Mind 59, 1950, pp. 433–460; Searle, “Minds, Brains, and Programs,” Behavioral and Brain Sciences 3, 1980, pp. 417–424, excluding the separate commentaries; Nagel, “What Is It Like to Be a Bat?”, 1974, pp. 435–450; Jackson, “Epiphenomenal Qualia,” 1982, pp. 127–136. The specified English Frege translation must be obtained; the collected German original is not an English reading substitute.</w:t>
      </w:r>
    </w:p>
    <w:p>
      <w:r>
        <w:t>Outcomes: explain reference/sense and descriptions; assess a naming argument; distinguish behaviorist, identity, and functionalist strategies at introductory level; reconstruct machine-intelligence and consciousness arguments; identify the limits of a thought experiment.</w:t>
      </w:r>
    </w:p>
    <w:p>
      <w:pPr>
        <w:ind w:left="216" w:hanging="216"/>
      </w:pPr>
      <w:r>
        <w:rPr>
          <w:b/>
        </w:rPr>
        <w:t xml:space="preserve">1. Meaning and reference, 20 hours. </w:t>
      </w:r>
      <w:r>
        <w:t>Frege and Russell. Analyze an informative identity and a definite description. Produce a formalization with a prose account of what it clarifies and what it leaves unresolved.</w:t>
      </w:r>
    </w:p>
    <w:p>
      <w:pPr>
        <w:ind w:left="216" w:hanging="216"/>
      </w:pPr>
      <w:r>
        <w:rPr>
          <w:b/>
        </w:rPr>
        <w:t xml:space="preserve">2. Names and necessity, 16 hours. </w:t>
      </w:r>
      <w:r>
        <w:t>Kripke Lecture I. Distinguish rigid designation, epistemic certainty, and necessity. Write 700 words on one argument against a descriptive account; do not assess Lecture III claims that have not been assigned.</w:t>
      </w:r>
    </w:p>
    <w:p>
      <w:pPr>
        <w:ind w:left="216" w:hanging="216"/>
      </w:pPr>
      <w:r>
        <w:rPr>
          <w:b/>
        </w:rPr>
        <w:t xml:space="preserve">3. Mind and explanation, 18 hours. </w:t>
      </w:r>
      <w:r>
        <w:t>Ryle I and Putnam. Compare category-error and functionalist strategies. Construct an original multiple-realization example and explain why it matters.</w:t>
      </w:r>
    </w:p>
    <w:p>
      <w:pPr>
        <w:ind w:left="216" w:hanging="216"/>
      </w:pPr>
      <w:r>
        <w:rPr>
          <w:b/>
        </w:rPr>
        <w:t xml:space="preserve">4. Intelligence and understanding, 20 hours. </w:t>
      </w:r>
      <w:r>
        <w:t>Turing and Searle. Separate an operational test from a theory of consciousness. Reconstruct the Chinese Room and the systems reply as presented in the article. Write a 700-word objection and response.</w:t>
      </w:r>
    </w:p>
    <w:p>
      <w:pPr>
        <w:ind w:left="216" w:hanging="216"/>
      </w:pPr>
      <w:r>
        <w:rPr>
          <w:b/>
        </w:rPr>
        <w:t xml:space="preserve">5. Experience and physicalism, 20 hours. </w:t>
      </w:r>
      <w:r>
        <w:t>Nagel and Jackson. Identify the epistemic and metaphysical premises separately. Compare an ability/knowledge reply from a checked scholarly overview; do not present that overview as an assigned primary Lewis paper.</w:t>
      </w:r>
    </w:p>
    <w:p>
      <w:pPr>
        <w:ind w:left="216" w:hanging="216"/>
      </w:pPr>
      <w:r>
        <w:rPr>
          <w:b/>
        </w:rPr>
        <w:t xml:space="preserve">6. Integrative workshop, 10 hours. </w:t>
      </w:r>
      <w:r>
        <w:t>Select one connection between language, understanding, and consciousness. Produce a 1,000-word debate map with two rival views and one unresolved question. This is preparation for the essay, not an additional final paper.</w:t>
      </w:r>
    </w:p>
    <w:p>
      <w:pPr>
        <w:ind w:left="216" w:hanging="216"/>
      </w:pPr>
      <w:r>
        <w:rPr>
          <w:b/>
        </w:rPr>
        <w:t xml:space="preserve">7. Essay and revision, 26 hours. </w:t>
      </w:r>
      <w:r>
        <w:t>Write 2,000–2,400 words evaluating a single argument from the course. Keep interpretive fidelity separate from your proposed improvement. Use one verified secondary source and a new case.</w:t>
      </w:r>
    </w:p>
    <w:p>
      <w:pPr>
        <w:ind w:left="216" w:hanging="216"/>
      </w:pPr>
      <w:r>
        <w:rPr>
          <w:b/>
        </w:rPr>
        <w:t xml:space="preserve">8. Assessment and delayed check, 10 hours. </w:t>
      </w:r>
      <w:r>
        <w:t>Interpret a new passage, solve a new reference/description problem, and defend the paper against a changed case. If formalism obscures meaning, translate every symbol back into English before retesting.</w:t>
      </w:r>
    </w:p>
    <w:p>
      <w:pPr>
        <w:pStyle w:val="Heading2"/>
      </w:pPr>
      <w:r>
        <w:rPr>
          <w:color w:val="000000"/>
        </w:rPr>
        <w:t>Option B Aesthetics and philosophy of art</w:t>
      </w:r>
    </w:p>
    <w:p>
      <w:r>
        <w:t>120 hours; prerequisites Courses 1, 6, and Course 9’s Kant vocabulary. Core: Hume, “Of the Standard of Taste,” complete; Kant, Critique of the Power of Judgment §§1–22, Guyer and Matthews translation, Cambridge 2000; Morris Weitz, “The Role of Theory in Aesthetics,” 1956, pp. 27–35; Arthur Danto, “The Artworld,” 1964, pp. 571–584; Kendall Walton, “Categories of Art,” 1970, pp. 334–367; Plato, Republic X 595a–608b. Use actual accessible artworks whose maker, date, medium, and viewing context can be checked. Reproductions and recordings are imperfect evidence, and their limits should be stated.</w:t>
      </w:r>
    </w:p>
    <w:p>
      <w:r>
        <w:t>Outcomes: reconstruct theories of taste and art; distinguish evaluation from classification; explain the role of categories and context; apply a theory without mistaking an example for proof; defend an aesthetic judgment with reasons.</w:t>
      </w:r>
    </w:p>
    <w:p>
      <w:pPr>
        <w:ind w:left="216" w:hanging="216"/>
      </w:pPr>
      <w:r>
        <w:rPr>
          <w:b/>
        </w:rPr>
        <w:t xml:space="preserve">1. Art, imitation, and evidence, 12 hours. </w:t>
      </w:r>
      <w:r>
        <w:t>Republic X 595a–608b. Analyze the argument against imitation and its target; choose two works for later comparison and record reliable metadata.</w:t>
      </w:r>
    </w:p>
    <w:p>
      <w:pPr>
        <w:ind w:left="216" w:hanging="216"/>
      </w:pPr>
      <w:r>
        <w:rPr>
          <w:b/>
        </w:rPr>
        <w:t xml:space="preserve">2. Hume on taste, 16 hours. </w:t>
      </w:r>
      <w:r>
        <w:t>Whole essay. Reconstruct the standard and the qualified judge. Write 600 words on whether the account is circular or culturally narrow.</w:t>
      </w:r>
    </w:p>
    <w:p>
      <w:pPr>
        <w:ind w:left="216" w:hanging="216"/>
      </w:pPr>
      <w:r>
        <w:rPr>
          <w:b/>
        </w:rPr>
        <w:t xml:space="preserve">3. Kant on beauty, 22 hours. </w:t>
      </w:r>
      <w:r>
        <w:t>§§1–22. Explain the four moments with distinct examples, then test one claim about disinterest or universality. Avoid equating “disinterested” with uninterested.</w:t>
      </w:r>
    </w:p>
    <w:p>
      <w:pPr>
        <w:ind w:left="216" w:hanging="216"/>
      </w:pPr>
      <w:r>
        <w:rPr>
          <w:b/>
        </w:rPr>
        <w:t xml:space="preserve">4. Defining art, 16 hours. </w:t>
      </w:r>
      <w:r>
        <w:t>Weitz and Danto. Compare open-concept and artworld strategies. PC activity: classify a difficult example under both and explain what evidence is needed.</w:t>
      </w:r>
    </w:p>
    <w:p>
      <w:pPr>
        <w:ind w:left="216" w:hanging="216"/>
      </w:pPr>
      <w:r>
        <w:rPr>
          <w:b/>
        </w:rPr>
        <w:t xml:space="preserve">5. Categories and perception, 16 hours. </w:t>
      </w:r>
      <w:r>
        <w:t>Walton. Reinterpret one work under two categories, distinguishing what actually changes in experience from what the theory predicts.</w:t>
      </w:r>
    </w:p>
    <w:p>
      <w:pPr>
        <w:ind w:left="216" w:hanging="216"/>
      </w:pPr>
      <w:r>
        <w:rPr>
          <w:b/>
        </w:rPr>
        <w:t xml:space="preserve">6. Case essay and revision, 28 hours. </w:t>
      </w:r>
      <w:r>
        <w:t>Write 2,000–2,400 words defending a theory-guided judgment or classification of a specified work, addressing a serious rival reading. Include provenance and reproduction limitations.</w:t>
      </w:r>
    </w:p>
    <w:p>
      <w:pPr>
        <w:ind w:left="216" w:hanging="216"/>
      </w:pPr>
      <w:r>
        <w:rPr>
          <w:b/>
        </w:rPr>
        <w:t xml:space="preserve">7. Assessment and delayed check, 10 hours. </w:t>
      </w:r>
      <w:r>
        <w:t>Analyze an unfamiliar work with sufficient contextual information, reconstruct one course argument, and respond to a new objection. Revise if a verdict depends on missing facts. Readiness concerns justified interpretation, not sharing the tutor’s taste.</w:t>
      </w:r>
    </w:p>
    <w:p>
      <w:pPr>
        <w:pStyle w:val="Heading2"/>
      </w:pPr>
      <w:r>
        <w:rPr>
          <w:color w:val="000000"/>
        </w:rPr>
        <w:t>Option C Pragmatism phenomenology and existential inquiry</w:t>
      </w:r>
    </w:p>
    <w:p>
      <w:r>
        <w:t>140 hours; prerequisites Courses 1, 5, and 9. This option gives sustained contact with methods that a purely analytic survey can miss. It is a focused comparison of inquiry and lived experience, not a complete history of “continental philosophy.”</w:t>
      </w:r>
    </w:p>
    <w:p>
      <w:r>
        <w:t>Core: William James, Pragmatism, lectures II and VI, Harvard critical edition 1975 or complete 1907 text; John Dewey, “The Reflex Arc Concept in Psychology,” Psychological Review 3, 1896, pp. 357–370; Edmund Husserl, The Idea of Phenomenology, lectures I–II, Lee Hardy translation, Kluwer 1999; Maurice Merleau-Ponty, Phenomenology of Perception, Preface, Donald Landes translation, Routledge 2012; Sartre, Existentialism Is a Humanism, lecture text, Carol Macomber translation, Yale 2007; Simone de Beauvoir, The Ethics of Ambiguity, Part I, Bernard Frechtman translation, 1948; Kierkegaard, Fear and Trembling, Problema I, Alexander Jech translation, Hackett 2024. The collected Hollander anthology does not contain that required Kierkegaard section and cannot serve as its substitute.</w:t>
      </w:r>
    </w:p>
    <w:p>
      <w:r>
        <w:t>Outcomes: explain a pragmatist method and a theory of truth without reducing them to expediency; describe phenomenological method and its limits; distinguish phenomenological description from empirical psychology; evaluate responsibility, freedom, and ambiguity; compare philosophical methods fairly.</w:t>
      </w:r>
    </w:p>
    <w:p>
      <w:pPr>
        <w:ind w:left="216" w:hanging="216"/>
      </w:pPr>
      <w:r>
        <w:rPr>
          <w:b/>
        </w:rPr>
        <w:t xml:space="preserve">1. Pragmatist method, 18 hours. </w:t>
      </w:r>
      <w:r>
        <w:t>James II and VI. Apply the pragmatic maxim to a carefully bounded dispute, then test a common caricature. Write 700 words on what James’s truth claim does and does not assert.</w:t>
      </w:r>
    </w:p>
    <w:p>
      <w:pPr>
        <w:ind w:left="216" w:hanging="216"/>
      </w:pPr>
      <w:r>
        <w:rPr>
          <w:b/>
        </w:rPr>
        <w:t xml:space="preserve">2. Organism and environment, 14 hours. </w:t>
      </w:r>
      <w:r>
        <w:t>Dewey’s article. Map the critique of a stimulus–response sequence and explain its philosophical significance without treating the article as contemporary neuroscience.</w:t>
      </w:r>
    </w:p>
    <w:p>
      <w:pPr>
        <w:ind w:left="216" w:hanging="216"/>
      </w:pPr>
      <w:r>
        <w:rPr>
          <w:b/>
        </w:rPr>
        <w:t xml:space="preserve">3. Phenomenological reduction, 20 hours. </w:t>
      </w:r>
      <w:r>
        <w:t>Husserl I–II. Write a 600-word explanation of the methodological move and a separate question about its justification. Keep description and argument visibly distinct.</w:t>
      </w:r>
    </w:p>
    <w:p>
      <w:pPr>
        <w:ind w:left="216" w:hanging="216"/>
      </w:pPr>
      <w:r>
        <w:rPr>
          <w:b/>
        </w:rPr>
        <w:t xml:space="preserve">4. Embodied experience, 18 hours. </w:t>
      </w:r>
      <w:r>
        <w:t>Merleau-Ponty Preface. Perform a short, safe description of ordinary perception, then distinguish your observation from claims attributed to the text. No simulation establishes a universal psychological law.</w:t>
      </w:r>
    </w:p>
    <w:p>
      <w:pPr>
        <w:ind w:left="216" w:hanging="216"/>
      </w:pPr>
      <w:r>
        <w:rPr>
          <w:b/>
        </w:rPr>
        <w:t xml:space="preserve">5. Freedom and ambiguity, 22 hours. </w:t>
      </w:r>
      <w:r>
        <w:t>Sartre’s lecture and Beauvoir Part I. Compare a precise claim about freedom, situation, or responsibility, with textual evidence and an objection.</w:t>
      </w:r>
    </w:p>
    <w:p>
      <w:pPr>
        <w:ind w:left="216" w:hanging="216"/>
      </w:pPr>
      <w:r>
        <w:rPr>
          <w:b/>
        </w:rPr>
        <w:t xml:space="preserve">6. Faith and the ethical, 16 hours. </w:t>
      </w:r>
      <w:r>
        <w:t>Kierkegaard Problema I and its editorial context. Explain the pseudonymous presentation and teleological suspension claim. Distinguish understanding the argument from endorsing its conclusion.</w:t>
      </w:r>
    </w:p>
    <w:p>
      <w:pPr>
        <w:ind w:left="216" w:hanging="216"/>
      </w:pPr>
      <w:r>
        <w:rPr>
          <w:b/>
        </w:rPr>
        <w:t xml:space="preserve">7. Essay and revision, 24 hours. </w:t>
      </w:r>
      <w:r>
        <w:t>Write 2,000–2,400 words on one methodological dispute or a bounded comparison between two assigned texts. Use genre-appropriate criteria: faithful description, interpretive evidence, and the inferential work done by the example.</w:t>
      </w:r>
    </w:p>
    <w:p>
      <w:pPr>
        <w:ind w:left="216" w:hanging="216"/>
      </w:pPr>
      <w:r>
        <w:rPr>
          <w:b/>
        </w:rPr>
        <w:t xml:space="preserve">8. Assessment and delayed check, 8 hours. </w:t>
      </w:r>
      <w:r>
        <w:t>Interpret a new passage and explain what would count as a successful objection within that method. Remedy caricatures by reconstructing the author’s question before comparing conclusions.</w:t>
      </w:r>
    </w:p>
    <w:p>
      <w:pPr>
        <w:pStyle w:val="Heading2"/>
      </w:pPr>
      <w:r>
        <w:rPr>
          <w:color w:val="000000"/>
        </w:rPr>
        <w:t>Option D Social philosophy and applied justice</w:t>
      </w:r>
    </w:p>
    <w:p>
      <w:r>
        <w:t>140 hours; prerequisites Courses 6–8 and preferably Course 11B. Core: Susan Moller Okin, Justice, Gender, and the Family, Basic Books 1989, chapters 1 and 8; bell hooks, Feminist Theory From Margin to Center, second edition, South End Press 2000, chapters 1–2; Iris Marion Young, “Five Faces of Oppression,” chapter 2 of Justice and the Politics of Difference, Princeton 1990; Elizabeth Anderson, “What Is the Point of Equality?”, Ethics 109, 1999, pp. 287–337; Peter Singer, Animal Liberation, 1975, chapter 1 “All Animals Are Equal,” in a clearly identified edition; Aldo Leopold, “The Land Ethic,” in A Sand County Almanac, 1949, complete; Charles Mills, “Ideal Theory as Ideology,” Hypatia 20, 2005, pp. 165–183. The two applied encounters are bounded tests of moral and political frameworks, not full courses in animal or environmental philosophy.</w:t>
      </w:r>
    </w:p>
    <w:p>
      <w:r>
        <w:t>Outcomes: reconstruct a structural critique; distinguish distributive from relational concerns; analyze the public/private boundary; evaluate an extension of moral concern; use a concrete case without assuming away empirical complexity.</w:t>
      </w:r>
    </w:p>
    <w:p>
      <w:pPr>
        <w:ind w:left="216" w:hanging="216"/>
      </w:pPr>
      <w:r>
        <w:rPr>
          <w:b/>
        </w:rPr>
        <w:t xml:space="preserve">1. Family and the scope of justice, 18 hours. </w:t>
      </w:r>
      <w:r>
        <w:t>Okin 1 and 8. Identify the argument about the family and background assumptions of a theory of justice. Write a 700-word analysis of one claim.</w:t>
      </w:r>
    </w:p>
    <w:p>
      <w:pPr>
        <w:ind w:left="216" w:hanging="216"/>
      </w:pPr>
      <w:r>
        <w:rPr>
          <w:b/>
        </w:rPr>
        <w:t xml:space="preserve">2. Feminist method and difference, 18 hours. </w:t>
      </w:r>
      <w:r>
        <w:t>hooks 1–2. Reconstruct the critique of the movement and its audience; explain what follows for political method. Avoid treating any one author as all feminist philosophy.</w:t>
      </w:r>
    </w:p>
    <w:p>
      <w:pPr>
        <w:ind w:left="216" w:hanging="216"/>
      </w:pPr>
      <w:r>
        <w:rPr>
          <w:b/>
        </w:rPr>
        <w:t xml:space="preserve">3. Structural injustice, 18 hours. </w:t>
      </w:r>
      <w:r>
        <w:t>Young chapter 2. Apply two distinct forms of oppression to a documented case and explain the limits of the evidence. A fictional teaching case is acceptable if clearly labelled.</w:t>
      </w:r>
    </w:p>
    <w:p>
      <w:pPr>
        <w:ind w:left="216" w:hanging="216"/>
      </w:pPr>
      <w:r>
        <w:rPr>
          <w:b/>
        </w:rPr>
        <w:t xml:space="preserve">4. Equality and relationships, 22 hours. </w:t>
      </w:r>
      <w:r>
        <w:t>Anderson’s article. Map the objection to luck egalitarianism and the alternative. Write 800 words defending or challenging one inference with an original case.</w:t>
      </w:r>
    </w:p>
    <w:p>
      <w:pPr>
        <w:ind w:left="216" w:hanging="216"/>
      </w:pPr>
      <w:r>
        <w:rPr>
          <w:b/>
        </w:rPr>
        <w:t xml:space="preserve">5. Beyond human institutions, 20 hours. </w:t>
      </w:r>
      <w:r>
        <w:t>Singer’s chapter 1 and Leopold’s essay. Compare the unit of moral concern, the role of consequences, and conflicts within each approach. Do not make the approaches agree by removing their controversial commitments.</w:t>
      </w:r>
    </w:p>
    <w:p>
      <w:pPr>
        <w:ind w:left="216" w:hanging="216"/>
      </w:pPr>
      <w:r>
        <w:rPr>
          <w:b/>
        </w:rPr>
        <w:t xml:space="preserve">6. Method and idealization, 12 hours. </w:t>
      </w:r>
      <w:r>
        <w:t>Mills’s article. Audit an earlier case analysis for assumptions that conceal exclusion or historical conditions.</w:t>
      </w:r>
    </w:p>
    <w:p>
      <w:pPr>
        <w:ind w:left="216" w:hanging="216"/>
      </w:pPr>
      <w:r>
        <w:rPr>
          <w:b/>
        </w:rPr>
        <w:t xml:space="preserve">7. Essay and revision, 24 hours. </w:t>
      </w:r>
      <w:r>
        <w:t>Write 2,000–2,400 words on a single course dispute, including a documented or explicitly hypothetical case and the strongest objection. Separate empirical uncertainty from normative disagreement.</w:t>
      </w:r>
    </w:p>
    <w:p>
      <w:pPr>
        <w:ind w:left="216" w:hanging="216"/>
      </w:pPr>
      <w:r>
        <w:rPr>
          <w:b/>
        </w:rPr>
        <w:t xml:space="preserve">8. Assessment and delayed check, 8 hours. </w:t>
      </w:r>
      <w:r>
        <w:t>Analyze a changed case and interpret an unseen assigned passage. Readiness requires a defensible argument and careful scope, not adopting a prescribed political position.</w:t>
      </w:r>
    </w:p>
    <w:p>
      <w:bookmarkStart w:id="14" w:name="section_14"/>
      <w:pPr>
        <w:pStyle w:val="Heading1"/>
        <w:pageBreakBefore/>
      </w:pPr>
      <w:r>
        <w:rPr>
          <w:color w:val="000000"/>
        </w:rPr>
        <w:t>Course 13 Advanced seminar and research apprenticeship</w:t>
      </w:r>
      <w:bookmarkEnd w:id="14"/>
    </w:p>
    <w:p>
      <w:r>
        <w:t>160 hours. Complete Course 11 and one Course 12 option first. The packet-specific prerequisites determine intellectual readiness: Packet A needs Mind and Language, Packet C needs Social Philosophy, while Packet B builds on Chinese Philosophy and Ethics and accepts any completed area course. Choose one of the three defined seminar packets below. The default is AI Language and Consciousness after Mind and Language. Comparative Moral Cultivation follows the Chinese option; Social Knowledge and Justice follows the Africana option and Social Philosophy. Aesthetics or Pragmatism can serve as the selected area while the learner specializes further in the completed global tradition. Additional advanced specialisms are extensions, not promised unfinished course options.</w:t>
      </w:r>
    </w:p>
    <w:p>
      <w:r>
        <w:t>This course supplies the research skills that the capstone assumes: constructing a manageable question, distinguishing an author’s argument from your improvement, locating and assessing scholarship, building a debate map, defending an interpretation, and revising a substantial paper. It is not merely an extra reading list.</w:t>
      </w:r>
    </w:p>
    <w:p>
      <w:pPr>
        <w:pStyle w:val="Heading2"/>
      </w:pPr>
      <w:r>
        <w:rPr>
          <w:color w:val="000000"/>
        </w:rPr>
        <w:t>Packet A AI language and consciousness</w:t>
      </w:r>
    </w:p>
    <w:p>
      <w:r>
        <w:t>Prerequisite: Course 12A. Core readings: revisit the exact Turing and Searle passages already assigned; Emily Bender, Timnit Gebru, Angelina McMillan-Major, and Shmargaret Shmitchell, “On the Dangers of Stochastic Parrots: Can Language Models Be Too Big?”, FAccT 2021, pp. 610–623; David Chalmers, “Could a Large Language Model Be Conscious?”, Boston Review, 9 August 2023, complete essay based on the 2022 NeurIPS talk; Patrick Butlin and colleagues, Consciousness in Artificial Intelligence Insights from the Science of Consciousness, arXiv 2308.08708, version 3, 22 August 2023, sections 1, 2.1–2.5, and 4.1. Record the version and actual PDF pages read; this is a substantial technical selection of about forty report pages, not a brief article. Use the report’s Glossary for terms encountered, especially computational functionalism, access/phenomenal consciousness, recurrence, and global workspace. No programming or architecture implementation is required. During the forty-four-hour analysis phase, choose one theory contrast for close reconstruction rather than try to make every technical model the subject of your paper. If two initial reading sessions reveal unfamiliar terminology still preventing reconstruction, spend the next session on the report’s own definitions and diagrams and extend the logged module estimate if needed. These are sources for argument, not established answers about any particular current system.</w:t>
      </w:r>
    </w:p>
    <w:p>
      <w:r>
        <w:t>Central question: what, if anything, do linguistic behavior, architecture, and functional organization justify about understanding or consciousness? Distinguish performance, meaning, understanding, access consciousness, phenomenal consciousness, and moral status. Do not infer one from another without an argument. Use Bender and colleagues for their actual claims about language-model risks and meaning, not as a comprehensive theory of consciousness.</w:t>
      </w:r>
    </w:p>
    <w:p>
      <w:r>
        <w:t>Default paper prompt: “Does the argument I select establish a necessary condition for consciousness, or only a reason for uncertainty?” Alternative: “What would count as evidence against the systems reply in a specified model of understanding?” A tool’s fluent answer is an object of analysis, not empirical proof of its internal state. Any informal demonstration must be labelled illustrative, with no claim that a few prompts constitute a scientific experiment.</w:t>
      </w:r>
    </w:p>
    <w:p>
      <w:pPr>
        <w:pStyle w:val="Heading2"/>
      </w:pPr>
      <w:r>
        <w:rPr>
          <w:color w:val="000000"/>
        </w:rPr>
        <w:t>Packet B Comparative moral cultivation</w:t>
      </w:r>
    </w:p>
    <w:p>
      <w:r>
        <w:t>Prerequisite: Course 11A and Course 6. Core primary passages: Aristotle, Nicomachean Ethics III.1–5 and X.6–9; Mengzi 2A2, 6A1–10, and 7A1–21; Xunzi chapters 19, 22, and 23. Chapter 22 (“Correct Naming,” Hutton pp. 236–247) is included because the modern agency debate relies on its account of mind, approval, and desire. Retain the complete translations already selected. Read Bryan W. Van Norden, “Mengzi and Xunzi: Two Views of Human Agency,” International Philosophical Quarterly 32.2 (1992), pp. 161–184, and David E. Soles, “The Nature and Grounds of Xunzi’s Disagreement with Mencius,” Asian Philosophy 9.2 (1999), pp. 123–133, DOI 10.1080/09552369908575494. These offer different diagnoses of the disagreement; Soles does not claim there is no substantive difference. Treat their disagreement as something to establish through reading, not an invented opposition.</w:t>
      </w:r>
    </w:p>
    <w:p>
      <w:r>
        <w:t>Central question: what relation between dispositions, deliberate effort, habits, and social practices explains ethical cultivation? First establish what each text argues in its own setting. Then identify a precise common problem and a genuine limit of comparison. A three-author historical summary is not yet a seminar argument.</w:t>
      </w:r>
    </w:p>
    <w:p>
      <w:r>
        <w:t>Default paper prompt: “Does my proposed interpretation make the Mengzi–Xunzi disagreement substantive rather than merely verbal?” Alternative: “Can Aristotle’s account clarify one feature of cultivation without distorting the Chinese text?” Include a short translation note and one counterexample that tests your actual conclusion.</w:t>
      </w:r>
    </w:p>
    <w:p>
      <w:pPr>
        <w:pStyle w:val="Heading2"/>
      </w:pPr>
      <w:r>
        <w:rPr>
          <w:color w:val="000000"/>
        </w:rPr>
        <w:t>Packet C Social knowledge and justice</w:t>
      </w:r>
    </w:p>
    <w:p>
      <w:r>
        <w:t>Prerequisite: Course 11B and Course 12D. Core: Charles Mills, “White Ignorance,” in Shannon Sullivan and Nancy Tuana, editors, Race and Epistemologies of Ignorance, SUNY 2007, pp. 13–38; Miranda Fricker, Epistemic Injustice chapters 1 and 7; revisit Young’s “Five Faces of Oppression” and Anderson’s “What Is the Point of Equality?”; add Kristie Dotson, “Tracking Epistemic Violence, Tracking Practices of Silencing,” Hypatia 26, 2011, pp. 236–257. Exact editions and legal reading routes are listed in the ledger.</w:t>
      </w:r>
    </w:p>
    <w:p>
      <w:r>
        <w:t>Central question: when does a pattern of credibility, interpretation, or exclusion constitute an epistemic wrong, and what follows for institutions? Distinguish interpersonal and structural claims, diagnosis and remedy, and philosophical argument from empirical evidence about the case.</w:t>
      </w:r>
    </w:p>
    <w:p>
      <w:r>
        <w:t>Default paper prompt: “Does one specified framework explain an exclusion case that another misses, and why?” Alternative: “Does a proposed remedy answer the identified epistemic wrong without creating a different injustice?” Use a documented case with restrained factual claims or a clearly hypothetical case. Do not make allegations about identifiable people as an exercise.</w:t>
      </w:r>
    </w:p>
    <w:p>
      <w:pPr>
        <w:pStyle w:val="Heading2"/>
      </w:pPr>
      <w:r>
        <w:rPr>
          <w:color w:val="000000"/>
        </w:rPr>
        <w:t>Seminar sequence for every packet</w:t>
      </w:r>
    </w:p>
    <w:p>
      <w:pPr>
        <w:ind w:left="216" w:hanging="216"/>
      </w:pPr>
      <w:r>
        <w:rPr>
          <w:b/>
        </w:rPr>
        <w:t xml:space="preserve">1. Entry and question selection, 10 hours. </w:t>
      </w:r>
      <w:r>
        <w:t>Explain two relevant arguments without notes; choose a packet; state three possible questions and narrow one. Read the core sources’ abstracts/introduction/conclusion for orientation. Output: a 400-word question note and an explicit list of scope exclusions.</w:t>
      </w:r>
    </w:p>
    <w:p>
      <w:pPr>
        <w:ind w:left="216" w:hanging="216"/>
      </w:pPr>
      <w:r>
        <w:rPr>
          <w:b/>
        </w:rPr>
        <w:t xml:space="preserve">2. Primary-text and core-scholarship analysis, 44 hours. </w:t>
      </w:r>
      <w:r>
        <w:t>Read the packet in full at its stated scope. Produce four 500-word reconstructions and two argument maps. Identify disagreements over definitions, evidence, inference, and purpose. These short tasks become material for the paper rather than separate polished publications.</w:t>
      </w:r>
    </w:p>
    <w:p>
      <w:pPr>
        <w:ind w:left="216" w:hanging="216"/>
      </w:pPr>
      <w:r>
        <w:rPr>
          <w:b/>
        </w:rPr>
        <w:t xml:space="preserve">3. Research methods and current debate check, 22 hours. </w:t>
      </w:r>
      <w:r>
        <w:t>Use the reference protocol below. Find four candidate scholarly sources, read their abstracts and introductions, then select two for full reading within a combined target of about forty to sixty pages. At least one should offer a serious challenge; at least one should be relatively recent at the time you take the course. If the search does not yield a defensible recent source, document that result instead of choosing a weak one to satisfy a date rule. Save citations, stable links, a short reason for selection, and notes distinguishing what was read from what was only indexed.</w:t>
      </w:r>
    </w:p>
    <w:p>
      <w:pPr>
        <w:ind w:left="216" w:hanging="216"/>
      </w:pPr>
      <w:r>
        <w:rPr>
          <w:b/>
        </w:rPr>
        <w:t xml:space="preserve">4. Debate map and prospectus, 16 hours. </w:t>
      </w:r>
      <w:r>
        <w:t>Write a 1,000-word map of three positions and a 600-word prospectus with a provisional thesis, objection, method, and feasible evidence base. The goal is a live question within the chosen literature, not proof that no one has ever had your idea.</w:t>
      </w:r>
    </w:p>
    <w:p>
      <w:pPr>
        <w:ind w:left="216" w:hanging="216"/>
      </w:pPr>
      <w:r>
        <w:rPr>
          <w:b/>
        </w:rPr>
        <w:t xml:space="preserve">5. Seminar paper draft, 24 hours. </w:t>
      </w:r>
      <w:r>
        <w:t>Write 2,500–3,500 words. Cite exact passages and explain the contribution of each secondary source. Mark uncertainties and unresolved objections rather than burying them. No AI-generated assessed prose.</w:t>
      </w:r>
    </w:p>
    <w:p>
      <w:pPr>
        <w:ind w:left="216" w:hanging="216"/>
      </w:pPr>
      <w:r>
        <w:rPr>
          <w:b/>
        </w:rPr>
        <w:t xml:space="preserve">6. Critical response and revision, 24 hours. </w:t>
      </w:r>
      <w:r>
        <w:t>Seek one substantial reader response if feasible; otherwise use a source-bound critical AI read and label its limits. Write a 500-word response to the strongest objection, revise the paper, and explain the main changes. A disagreeing review is not something to average away.</w:t>
      </w:r>
    </w:p>
    <w:p>
      <w:pPr>
        <w:ind w:left="216" w:hanging="216"/>
      </w:pPr>
      <w:r>
        <w:rPr>
          <w:b/>
        </w:rPr>
        <w:t xml:space="preserve">7. Independent defense and transfer, 10 hours. </w:t>
      </w:r>
      <w:r>
        <w:t>Give a ten-minute explanation and answer fifteen to twenty minutes of new questions, or use an accessible text equivalent. Complete an independent 800-word analysis of a fresh related case with sources visible but no live assistance.</w:t>
      </w:r>
    </w:p>
    <w:p>
      <w:pPr>
        <w:ind w:left="216" w:hanging="216"/>
      </w:pPr>
      <w:r>
        <w:rPr>
          <w:b/>
        </w:rPr>
        <w:t xml:space="preserve">8. Capstone readiness portfolio, 10 hours. </w:t>
      </w:r>
      <w:r>
        <w:t>Audit citations, select representative work, identify remaining weaknesses, and propose a capstone question. A later short transfer check is included. Remediate the weakest prerequisite before committing to the project.</w:t>
      </w:r>
    </w:p>
    <w:p>
      <w:r>
        <w:t>Readiness for the capstone requires a manageable question, accurate source use, a defensible argument with a serious objection, evidence of independent performance, and a feasible access plan. A high word count or a large bibliography cannot compensate for a central error.</w:t>
      </w:r>
    </w:p>
    <w:p>
      <w:bookmarkStart w:id="15" w:name="section_15"/>
      <w:pPr>
        <w:pStyle w:val="Heading1"/>
        <w:pageBreakBefore/>
      </w:pPr>
      <w:r>
        <w:rPr>
          <w:color w:val="000000"/>
        </w:rPr>
        <w:t>Course 14 Independent research capstone</w:t>
      </w:r>
      <w:bookmarkEnd w:id="15"/>
    </w:p>
    <w:p>
      <w:r>
        <w:t>180 focused hours; complete the common courses, global tradition, selected area, and advanced seminar, or document equivalent demonstrated prerequisites. Begin only when the research apprenticeship has produced a viable question and source access. The default product is a 5,000–7,000-word research paper, not a dissertation-length survey. It should make a modest, identifiable contribution: clarify a distinction, improve an objection, defend an interpretation, apply an argument to a carefully delimited new case, or show why a tempting comparison fails.</w:t>
      </w:r>
    </w:p>
    <w:p>
      <w:r>
        <w:t>This local capstone length and workload are design choices. Universities use varied senior seminars, independent projects, essays, and theses. A longer thesis can be a valuable future project but is not automatically a better finish for this learner’s goals.</w:t>
      </w:r>
    </w:p>
    <w:p>
      <w:pPr>
        <w:pStyle w:val="Heading2"/>
      </w:pPr>
      <w:r>
        <w:rPr>
          <w:color w:val="000000"/>
        </w:rPr>
        <w:t>Milestones</w:t>
      </w:r>
    </w:p>
    <w:p>
      <w:pPr>
        <w:ind w:left="216" w:hanging="216"/>
      </w:pPr>
      <w:r>
        <w:rPr>
          <w:b/>
        </w:rPr>
        <w:t xml:space="preserve">1. Proposal and feasibility, 16 hours. </w:t>
      </w:r>
      <w:r>
        <w:t>Write 800–1,000 words containing the question, significance, provisional claim, method, strongest anticipated objection, source needs, and exclusions. State why the question can be answered within the paper. The proposal is ready only when essential sources can actually be read.</w:t>
      </w:r>
    </w:p>
    <w:p>
      <w:pPr>
        <w:ind w:left="216" w:hanging="216"/>
      </w:pPr>
      <w:r>
        <w:rPr>
          <w:b/>
        </w:rPr>
        <w:t xml:space="preserve">2. Literature and source dossier, 26 hours. </w:t>
      </w:r>
      <w:r>
        <w:t>Build an annotated bibliography of the sources that genuinely bear on the question. A likely working set is eight to twelve relevant items, including sources already studied in the advanced seminar; relevance governs the count. Read the portions that bear on the question, not automatically eight to twelve whole books. Plan roughly forty to seventy pages of additional close reading in this phase, plus rechecking earlier notes and writing annotations. If the argument requires more new reading, enlarge the logged budget or narrow the question rather than pretend that a whole source has been read. For each, record a complete citation, legal access route, exact relevant pages/sections, the claim used, and whether you read the whole item or only a defined portion. Include foundational arguments, a serious competing view, and current scholarship where relevant. Verify every quotation.</w:t>
      </w:r>
    </w:p>
    <w:p>
      <w:pPr>
        <w:ind w:left="216" w:hanging="216"/>
      </w:pPr>
      <w:r>
        <w:rPr>
          <w:b/>
        </w:rPr>
        <w:t xml:space="preserve">3. Argument plan and trial section, 20 hours. </w:t>
      </w:r>
      <w:r>
        <w:t>Make a detailed outline and write a 1,000-word central section. Test the main inference before writing the entire paper. If it fails, revise the question rather than hide the failure in background exposition.</w:t>
      </w:r>
    </w:p>
    <w:p>
      <w:pPr>
        <w:ind w:left="216" w:hanging="216"/>
      </w:pPr>
      <w:r>
        <w:rPr>
          <w:b/>
        </w:rPr>
        <w:t xml:space="preserve">4. Full first draft, 40 hours. </w:t>
      </w:r>
      <w:r>
        <w:t>Write the complete paper in your own words. Separate exposition from defense, and make the contribution visible. Include citations and a provisional bibliography; do not postpone all sourcing to the end.</w:t>
      </w:r>
    </w:p>
    <w:p>
      <w:pPr>
        <w:ind w:left="216" w:hanging="216"/>
      </w:pPr>
      <w:r>
        <w:rPr>
          <w:b/>
        </w:rPr>
        <w:t xml:space="preserve">5. Critical review, 16 hours. </w:t>
      </w:r>
      <w:r>
        <w:t>Request a focused human review if available and chosen; otherwise arrange a skeptical source-bound review and label it provisional. Ask about the most serious interpretive error, the weakest inference, and the strongest objection. Write a response plan explaining which suggestions you will accept and why.</w:t>
      </w:r>
    </w:p>
    <w:p>
      <w:pPr>
        <w:ind w:left="216" w:hanging="216"/>
      </w:pPr>
      <w:r>
        <w:rPr>
          <w:b/>
        </w:rPr>
        <w:t xml:space="preserve">6. Substantive revision, 32 hours. </w:t>
      </w:r>
      <w:r>
        <w:t>Reorganize and rewrite where needed. Resolve citation issues, check every significant attribution, and remove claims beyond the evidence. Keep an explicit limitations section where appropriate. A revision memo explains the three most important changes.</w:t>
      </w:r>
    </w:p>
    <w:p>
      <w:pPr>
        <w:ind w:left="216" w:hanging="216"/>
      </w:pPr>
      <w:r>
        <w:rPr>
          <w:b/>
        </w:rPr>
        <w:t xml:space="preserve">7. Presentation and defense, 12 hours. </w:t>
      </w:r>
      <w:r>
        <w:t>Prepare a ten-to-fifteen-minute explanation and answer twenty-to-thirty minutes of unscripted questions or an equivalent accessible format. Include a challenge not rehearsed during drafting and an explanation of what would change your conclusion. Revise again if the defense exposes a substantive error.</w:t>
      </w:r>
    </w:p>
    <w:p>
      <w:pPr>
        <w:ind w:left="216" w:hanging="216"/>
      </w:pPr>
      <w:r>
        <w:rPr>
          <w:b/>
        </w:rPr>
        <w:t xml:space="preserve">8. Final portfolio and delayed synthesis, 18 hours. </w:t>
      </w:r>
      <w:r>
        <w:t>Submit the revised paper, bibliography, assistance declaration, revision memo, and selected earlier artifacts. Write a 1,000-word reflection comparing an early and late argument, identifying actual development and remaining gaps. After a pause, explain the project and apply its central distinction to a fresh case. These activities, including the final source audit, are within the 180-hour estimate.</w:t>
      </w:r>
    </w:p>
    <w:p>
      <w:pPr>
        <w:pStyle w:val="Heading2"/>
      </w:pPr>
      <w:r>
        <w:rPr>
          <w:color w:val="000000"/>
        </w:rPr>
        <w:t>Final portfolio</w:t>
      </w:r>
    </w:p>
    <w:p>
      <w:r>
        <w:t>Include the early baseline paragraph; Course 1 essay and revision; representative independent logic work; one historical interpretation; one ethics/political paper; one knowledge/science paper; one context-sensitive global-tradition paper, with translation analysis where relevant; the advanced seminar paper; the capstone; and concise records of independent tasks and dialogue. Select evidence rather than collect every note into an unreadable archive.</w:t>
      </w:r>
    </w:p>
    <w:p>
      <w:r>
        <w:t>Use the shared criteria, with stronger expectations for research scope and handling alternatives. Every essential dimension must be independently competent. An unresolved central source error, invalid pivotal inference, inability to explain the paper, or unavailable essential evidence requires further work. A competent capstone may conclude that the initial claim was too strong. Recognizing a limit can be a substantive achievement.</w:t>
      </w:r>
    </w:p>
    <w:p>
      <w:r>
        <w:t>If the project is too broad, narrow the question before adding hours. If the sources are inaccessible, change to a defensible adjacent question while preserving the learning goal, with the change documented. If a qualified reviewer is unavailable, finish the work and label the assessment honestly. Never claim publication-level originality, external certification, or equivalence to a particular university thesis without the evidence to support it.</w:t>
      </w:r>
    </w:p>
    <w:p>
      <w:pPr>
        <w:pStyle w:val="Heading2"/>
      </w:pPr>
      <w:r>
        <w:rPr>
          <w:color w:val="000000"/>
        </w:rPr>
        <w:t>Optional longer thesis route</w:t>
      </w:r>
    </w:p>
    <w:p>
      <w:r>
        <w:t>After this capstone, a learner who wants deeper specialist work may expand to 8,000–12,000 words with additional sources, external supervision if possible, and a new workload estimate based on actual capstone pace. This is a separate extension decision. It is not silently added to the required 180 hours and is not necessary for completing the recommended route.</w:t>
      </w:r>
    </w:p>
    <w:p>
      <w:bookmarkStart w:id="16" w:name="section_16"/>
      <w:pPr>
        <w:pStyle w:val="Heading1"/>
        <w:pageBreakBefore/>
      </w:pPr>
      <w:r>
        <w:rPr>
          <w:color w:val="000000"/>
        </w:rPr>
        <w:t>Reference and research protocol</w:t>
      </w:r>
      <w:bookmarkEnd w:id="16"/>
    </w:p>
    <w:p>
      <w:r>
        <w:t>A course that asks for one checked scholarly interpretation includes a small research exercise, not an unspecified additional reading list. Allocate two to four hours within the stated module or essay budget: locate a relevant scholarly reference, read the section actually needed, verify its primary-text citation, and record how it affects your interpretation. You are not expected to read an entire encyclopedia entry or monograph because it appears in a bibliography.</w:t>
      </w:r>
    </w:p>
    <w:p>
      <w:r>
        <w:t>Use the Stanford Encyclopedia of Philosophy for orientation and bibliographies, PhilPapers for bibliographic discovery, publisher/journal pages and university repositories to verify publications, and your library catalogue for access. Search engines locate sources; search snippets are not substitutes for reading them. No API key or custom retrieval software is required. A source can be bibliographically verified while its full text is inaccessible; record that distinction.</w:t>
      </w:r>
    </w:p>
    <w:p>
      <w:r>
        <w:t>For a substantial research task:</w:t>
      </w:r>
    </w:p>
    <w:p>
      <w:pPr>
        <w:ind w:left="216" w:hanging="216"/>
      </w:pPr>
      <w:r>
        <w:t>1. Write the question in one sentence and list two or three relevant concepts and author names</w:t>
      </w:r>
    </w:p>
    <w:p>
      <w:pPr>
        <w:ind w:left="216" w:hanging="216"/>
      </w:pPr>
      <w:r>
        <w:t>2. Read the relevant section of a scholarly reference entry, not automatically the entire entry</w:t>
      </w:r>
    </w:p>
    <w:p>
      <w:pPr>
        <w:ind w:left="216" w:hanging="216"/>
      </w:pPr>
      <w:r>
        <w:t>3. Trace a cited primary passage and one significant scholarly disagreement</w:t>
      </w:r>
    </w:p>
    <w:p>
      <w:pPr>
        <w:ind w:left="216" w:hanging="216"/>
      </w:pPr>
      <w:r>
        <w:t>4. Verify title, author, publication venue, date, and page/section scope at the publisher, journal, institutional repository, or the text itself</w:t>
      </w:r>
    </w:p>
    <w:p>
      <w:pPr>
        <w:ind w:left="216" w:hanging="216"/>
      </w:pPr>
      <w:r>
        <w:t>5. Read the actual argument before citing it as support; distinguish a quotation, paraphrase, and your own inference</w:t>
      </w:r>
    </w:p>
    <w:p>
      <w:pPr>
        <w:ind w:left="216" w:hanging="216"/>
      </w:pPr>
      <w:r>
        <w:t>6. Follow one backward citation and one later citation or recent related paper to test whether the discussion has changed</w:t>
      </w:r>
    </w:p>
    <w:p>
      <w:pPr>
        <w:ind w:left="216" w:hanging="216"/>
      </w:pPr>
      <w:r>
        <w:t>7. Keep only sources that do argumentative work, and record dissenting evidence rather than search only for support</w:t>
      </w:r>
    </w:p>
    <w:p>
      <w:r>
        <w:t>A source note contains: full citation; stable link or catalogue identifier; edition/translation; pages actually read; question addressed; argument in your own words; a quotation only if necessary; your objection; and how you may use it. Verify every quotation against the actual edition. If a text’s standard numbers are absent, cite its actual book/chapter and printed page instead of inventing a crosswalk. Exact wording from a modernized adaptation must be attributed to that adaptation, not presented as an unaltered translation.</w:t>
      </w:r>
    </w:p>
    <w:p>
      <w:r>
        <w:t>For changing fields such as AI, the advanced seminar’s current-debate search is intentionally part of the learning task. The core packet supplies a complete starting argument structure; the later search teaches independent research. Recheck the field when you reach it, potentially years after this curriculum’s 2026 evidence snapshot.</w:t>
      </w:r>
    </w:p>
    <w:p>
      <w:pPr>
        <w:pStyle w:val="Heading2"/>
      </w:pPr>
      <w:r>
        <w:rPr>
          <w:color w:val="000000"/>
        </w:rPr>
        <w:t>Reusable assignment forms</w:t>
      </w:r>
    </w:p>
    <w:p>
      <w:r>
        <w:t>Argument reconstruction: state the question, quote or identify the exact passage, number the explicit premises and conclusion, bracket supplied premises, explain each inferential link, note a rival interpretation, and give one objection. End by distinguishing the author’s argument from any improvement you propose.</w:t>
      </w:r>
    </w:p>
    <w:p>
      <w:r>
        <w:t>Short interpretation: state the passage’s role, explain the key term in context, support the reading with two precise textual observations, consider one plausible alternative, and justify your preference. Criticism follows accurate interpretation.</w:t>
      </w:r>
    </w:p>
    <w:p>
      <w:r>
        <w:t>Essay proposal: question, provisional answer, main supporting argument, strongest objection, primary passages, and one explicit exclusion. Keep it short enough to test before drafting.</w:t>
      </w:r>
    </w:p>
    <w:p>
      <w:r>
        <w:t>Feedback memo: identify the most consequential strength; the two most consequential problems; the passages where they arise; and the next revision task. A style edit is not a substitute for diagnosing an invalid inference or central misreading.</w:t>
      </w:r>
    </w:p>
    <w:p>
      <w:r>
        <w:t>Independent-task record: prompt, allowed sources, conditions and time used, assistance declaration, outcome-level evidence, errors requiring repair, and the next fresh task. Scores without evidence are not useful records.</w:t>
      </w:r>
    </w:p>
    <w:p>
      <w:r>
        <w:t>Source/edition record: author and title, edition and translator, actual file or book used, stable reference system, differences from the recommended edition, and unresolved access/citation issues.</w:t>
      </w:r>
    </w:p>
    <w:p>
      <w:pPr>
        <w:pStyle w:val="Heading2"/>
      </w:pPr>
      <w:r>
        <w:rPr>
          <w:color w:val="000000"/>
        </w:rPr>
        <w:t>Tutor instructions</w:t>
      </w:r>
    </w:p>
    <w:p>
      <w:r>
        <w:t>Begin each session by asking what course/module is active, which exact passage or task is in view, how much rested focused time is available, and what the learner has already attempted. Use the current course outcomes and declared source edition. Do not assume unseen text is available or that a source claim is correct because another AI stated it.</w:t>
      </w:r>
    </w:p>
    <w:p>
      <w:r>
        <w:t>Teach one consequential issue at a time. Offer a brief orientation or a different worked example when needed, then ask the learner to perform the next step. Ask for the reason linking premises to conclusions, the best objection, or evidence for an interpretation. Distinguish factual error, contested interpretation, philosophical disagreement, and unclear prose. Never grade a position by whether it agrees with your own.</w:t>
      </w:r>
    </w:p>
    <w:p>
      <w:r>
        <w:t>For a draft, diagnose before rewriting. Do not generate replacement assessed paragraphs. For a proof, identify the rule or scope problem without supplying the whole solution immediately. For a historical/global text, attend to genre, translator choices, intellectual context, and comparison limits. Do not require that all philosophy imitate one analytic essay format.</w:t>
      </w:r>
    </w:p>
    <w:p>
      <w:r>
        <w:t>For assessment, state permitted materials, use a fresh task, request evidence for each criterion, and record uncertainty. Hold out solutions until the independent attempt. Escalate unresolved source or interpretation disputes to the text, a reliable specialist source, or a qualified human. Do not call a changed role name, a fresh chat, or model agreement independent certification.</w:t>
      </w:r>
    </w:p>
    <w:p>
      <w:r>
        <w:t>End with the learner’s two-sentence account of what changed, the one artifact saved, and the next concrete step. Do not add surprise required readings, expand the course indefinitely, or use optional enrichment as an unstated gate.</w:t>
      </w:r>
    </w:p>
    <w:p>
      <w:bookmarkStart w:id="17" w:name="section_17"/>
      <w:pPr>
        <w:pStyle w:val="Heading1"/>
        <w:pageBreakBefore/>
      </w:pPr>
      <w:r>
        <w:rPr>
          <w:color w:val="000000"/>
        </w:rPr>
        <w:t>Evidence and design rationale</w:t>
      </w:r>
      <w:bookmarkEnd w:id="17"/>
    </w:p>
    <w:p>
      <w:r>
        <w:t>The evidence snapshot is 30 September 2026. Requirements and web access may change. A dated institutional requirement supports what that institution requires; it does not dictate this curriculum. Empirical findings support bounded learning-design choices; they do not validate the entire program. The exact route, hours, word ranges, and readiness procedures are local design judgments.</w:t>
      </w:r>
    </w:p>
    <w:p>
      <w:pPr>
        <w:pStyle w:val="Heading2"/>
      </w:pPr>
      <w:r>
        <w:rPr>
          <w:color w:val="000000"/>
        </w:rPr>
        <w:t>Institutional comparison</w:t>
      </w:r>
    </w:p>
    <w:p>
      <w:r>
        <w:t>The comparison deliberately includes different architectures. Native units are retained; course credits, quarter units, and UK credits are not interchangeable. Some distribution requirements overlap with seminar requirements and must not be added twice.</w:t>
      </w:r>
    </w:p>
    <w:tbl>
      <w:tblPr>
        <w:tblW w:type="auto" w:w="0"/>
        <w:jc w:val="center"/>
        <w:tblLayout w:type="fixed"/>
        <w:tblLook w:firstColumn="1" w:firstRow="1" w:lastColumn="0" w:lastRow="0" w:noHBand="0" w:noVBand="1" w:val="04A0"/>
      </w:tblPr>
      <w:tblGrid>
        <w:gridCol w:w="1512"/>
        <w:gridCol w:w="3888"/>
        <w:gridCol w:w="4536"/>
      </w:tblGrid>
      <w:tr>
        <w:trPr>
          <w:tblHeader w:val="true"/>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Program</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Verified design feature</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Implication for this plan</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Harvard</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Eleven courses in the ordinary concentration, four distribution areas, two tutorials, and no ordinary-route thesis [B01]</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Breadth plus repeated guided work can support a serious major without making a thesis universal</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Princeton</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Eight taught departmental courses plus junior independent work, a 10,000–15,000-word senior thesis, and a departmental examination [B02–B03]</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 small course count can conceal substantial separate research work</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Stanford</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Sixty quarter units, including early intensive writing, logic, science, value, theoretical philosophy, ancient and modern history, and a capstone [B04]</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Early writing and science belong naturally in a broad common foundation</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Yale</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Twelve courses including prerequisites/senior work, three history courses, theoretical/value breadth, logic, advanced seminars, and a senior seminar or independent project [B05]</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Advanced seminar work and substantial revision can be an alternative to a fixed thesis format</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Cambridge</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Common first-year papers lead to later specialization; the final dissertation is optional, and supervision emphasizes repeated essays and discussion [B06–B07]</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 beginner-safe foundation can lead to depth without studying every available subtopic</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UCL</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 360-credit single-subject BA with compulsory first-year foundations/study skills, then constrained choice; the dissertation is optional [B08–B09]</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 whole subject degree is much larger than a small US-style major and is not reproduced by matching titles</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Edinburgh</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Four-year undergraduate honours route, early Greek/Islamic history, later specialization, and either an 8,000-word dissertation or two 4,000-word coursework dissertations [B10–B12]</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Global historical material can be foundational; more than one capstone architecture is legitimate</w:t>
            </w:r>
          </w:p>
        </w:tc>
      </w:tr>
      <w:tr>
        <w:trPr>
          <w:cantSplit/>
        </w:trPr>
        <w:tc>
          <w:tcPr>
            <w:tcW w:type="dxa" w:w="15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Toronto</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Separate seven-credit major and ten-credit specialist structures, with advanced-level study and no universal thesis requirement in the listed routes [B13–B14]</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Major and specialist depth are distinct, and not all strong programs culminate in a thesis</w:t>
            </w:r>
          </w:p>
        </w:tc>
      </w:tr>
    </w:tbl>
    <w:p>
      <w:pPr>
        <w:spacing w:after="60"/>
      </w:pPr>
    </w:p>
    <w:p>
      <w:r>
        <w:t>Workload conventions reinforce the need for honest pacing. Edinburgh’s first-year Logic 1 publishes 200 nominal hours for one course; Stanford ordinarily treats a unit as thirty total quarterly hours; UCL assigns ten notional hours per credit [B11, B15–B16]. These are institutional planning conventions, not measured forecasts for this learner. This plan’s 100–180-hour courses are locally bounded work packages and are not labelled equivalent to any particular institution’s modules.</w:t>
      </w:r>
    </w:p>
    <w:p>
      <w:r>
        <w:t>The QAA’s 2025 Philosophy Subject Benchmark Statement provides a sector-authored reference for subject knowledge, intellectual/research/communication skills, plural philosophical methods, and increasing independence. It is not a prescribed syllabus or an accreditation rule for this plan [B17].</w:t>
      </w:r>
    </w:p>
    <w:p>
      <w:r>
        <w:t>Actual syllabi supplied useful reality checks: Harvard’s 2024 proseminar concentrates on one substantial book with short responses and a long paper; UCL’s current study-skills module explicitly teaches exercises and essay writing; UC San Diego’s 2024 introduction uses revision and specifications; and its 2025 science course includes contemporary trust, bias, and uncertainty questions [B09, B18, E14–E15]. Archived syllabi illustrate teaching choices at their stated dates, not current universal reading lists.</w:t>
      </w:r>
    </w:p>
    <w:p>
      <w:pPr>
        <w:pStyle w:val="Heading2"/>
      </w:pPr>
      <w:r>
        <w:rPr>
          <w:color w:val="000000"/>
        </w:rPr>
        <w:t>Pedagogical evidence used with limits</w:t>
      </w:r>
    </w:p>
    <w:p>
      <w:pPr>
        <w:ind w:left="331" w:hanging="230"/>
      </w:pPr>
      <w:r>
        <w:t xml:space="preserve">•  </w:t>
      </w:r>
      <w:r>
        <w:t>Writing and interpretation: philosophy-department guides and the APA’s statements emphasize precise questions, charitable interpretation, reasoned argument, discussion, and expression. They support the selected outcomes, while the detailed developmental ladder is this program’s design [E01–E05]</w:t>
      </w:r>
    </w:p>
    <w:p>
      <w:pPr>
        <w:ind w:left="331" w:hanging="230"/>
      </w:pPr>
      <w:r>
        <w:t xml:space="preserve">•  </w:t>
      </w:r>
      <w:r>
        <w:t>Argument visualization: Cullen and colleagues’ 2018 quasi-experimental study supports careful argument-analysis practice with feedback. It bundled intensive teaching and at least ten weekly hours of practice in a selective-college seminar. Its results cannot be promised for this five-to-seven-hour self-study program [E06]</w:t>
      </w:r>
    </w:p>
    <w:p>
      <w:pPr>
        <w:ind w:left="331" w:hanging="230"/>
      </w:pPr>
      <w:r>
        <w:t xml:space="preserve">•  </w:t>
      </w:r>
      <w:r>
        <w:t>Retrieval and spacing: Karpicke and Blunt’s science-text experiments and Cepeda and colleagues’ spacing study justify revisiting material and attempting recall before correction. They do not establish that flashcards alone teach philosophical interpretation or prescribe one fixed schedule [E07–E08]</w:t>
      </w:r>
    </w:p>
    <w:p>
      <w:pPr>
        <w:ind w:left="331" w:hanging="230"/>
      </w:pPr>
      <w:r>
        <w:t xml:space="preserve">•  </w:t>
      </w:r>
      <w:r>
        <w:t>Worked examples and revision: research on fading examples and writing feedback supports scaffolded practice and substantive revision, with important differences in population and subject matter. The particular paragraph-to-capstone sequence remains a local choice [E09–E10]</w:t>
      </w:r>
    </w:p>
    <w:p>
      <w:pPr>
        <w:ind w:left="331" w:hanging="230"/>
      </w:pPr>
      <w:r>
        <w:t xml:space="preserve">•  </w:t>
      </w:r>
      <w:r>
        <w:t>AI: different studies find different results depending on tutor design and setting. High-school mathematics and bounded undergraduate physics experiments do not validate AI assessment of a philosophy curriculum. Therefore assistance declarations, fresh tasks, source checks, and optional human review are central [E11–E12]</w:t>
      </w:r>
    </w:p>
    <w:p>
      <w:pPr>
        <w:ind w:left="331" w:hanging="230"/>
      </w:pPr>
      <w:r>
        <w:t xml:space="preserve">•  </w:t>
      </w:r>
      <w:r>
        <w:t>Global and methodological breadth: professional guidance supports serious engagement with diverse traditions and cautions against breadth without depth or treating traditions as ornamental additions. It does not require the exact Chinese/Africana choices made here [E02, E13]</w:t>
      </w:r>
    </w:p>
    <w:p>
      <w:pPr>
        <w:pStyle w:val="Heading2"/>
      </w:pPr>
      <w:r>
        <w:rPr>
          <w:color w:val="000000"/>
        </w:rPr>
        <w:t>Evidence ledger</w:t>
      </w:r>
    </w:p>
    <w:p>
      <w:r>
        <w:t xml:space="preserve">E01. American Philosophical Association, Statement on Outcomes Assessment. Professional guidance on the kinds of philosophical learning to assess; not a validation of a percentage cutoff. </w:t>
      </w:r>
      <w:hyperlink r:id="rId27">
        <w:r>
          <w:rPr>
            <w:color w:val="174A6B"/>
            <w:u w:val="single"/>
          </w:rPr>
          <w:t>https://www.apaonline.org/page/outcomes</w:t>
        </w:r>
      </w:hyperlink>
      <w:r/>
    </w:p>
    <w:p>
      <w:r>
        <w:t xml:space="preserve">E02. American Philosophical Association, Statement on the Major. Professional guidance on breadth, depth, skills, and curricular flexibility. </w:t>
      </w:r>
      <w:hyperlink r:id="rId28">
        <w:r>
          <w:rPr>
            <w:color w:val="174A6B"/>
            <w:u w:val="single"/>
          </w:rPr>
          <w:t>https://www.apaonline.org/page/major</w:t>
        </w:r>
      </w:hyperlink>
      <w:r/>
    </w:p>
    <w:p>
      <w:r>
        <w:t xml:space="preserve">E03. University College London Philosophy, Marking Criteria. Institutional disciplinary criteria for reading, argumentation, writing, and technical work; its percentages are not imported into this plan. </w:t>
      </w:r>
      <w:hyperlink r:id="rId29">
        <w:r>
          <w:rPr>
            <w:color w:val="174A6B"/>
            <w:u w:val="single"/>
          </w:rPr>
          <w:t>https://www.ucl.ac.uk/arts-humanities/philosophy/current-students/marking-criteria</w:t>
        </w:r>
      </w:hyperlink>
      <w:r/>
    </w:p>
    <w:p>
      <w:r>
        <w:t xml:space="preserve">E04. Jim Pryor, Guidelines on Reading Philosophy and Guidelines on Writing a Philosophy Paper. Instructor guidance used for reconstruction, clarity, and revision. </w:t>
      </w:r>
      <w:hyperlink r:id="rId30">
        <w:r>
          <w:rPr>
            <w:color w:val="174A6B"/>
            <w:u w:val="single"/>
          </w:rPr>
          <w:t>https://www.jimpryor.net/teaching/guidelines/reading.html</w:t>
        </w:r>
      </w:hyperlink>
      <w:r>
        <w:t xml:space="preserve"> and </w:t>
      </w:r>
      <w:hyperlink r:id="rId31">
        <w:r>
          <w:rPr>
            <w:color w:val="174A6B"/>
            <w:u w:val="single"/>
          </w:rPr>
          <w:t>https://www.jimpryor.net/teaching/guidelines/writing.html</w:t>
        </w:r>
      </w:hyperlink>
      <w:r/>
    </w:p>
    <w:p>
      <w:r>
        <w:t xml:space="preserve">E05. Joe Cruz, Williams College Philosophy Writing Tutor. A public sequence showing a paper developing through several drafts; a worked example, not a universal grade benchmark. </w:t>
      </w:r>
      <w:hyperlink r:id="rId32">
        <w:r>
          <w:rPr>
            <w:color w:val="174A6B"/>
            <w:u w:val="single"/>
          </w:rPr>
          <w:t>https://sites.williams.edu/philosophywritingtutor/</w:t>
        </w:r>
      </w:hyperlink>
      <w:r/>
    </w:p>
    <w:p>
      <w:r>
        <w:t xml:space="preserve">E06. Cullen, Fan, van der Brugge, and Elga, Improving Analytical Reasoning and Argument Understanding A Quasi Experimental Field Study of Argument Visualization, 2018. Actual study; intervention intensity and nonrandom assignment limit generalization. </w:t>
      </w:r>
      <w:hyperlink r:id="rId33">
        <w:r>
          <w:rPr>
            <w:color w:val="174A6B"/>
            <w:u w:val="single"/>
          </w:rPr>
          <w:t>https://www.nature.com/articles/s41539-018-0038-5</w:t>
        </w:r>
      </w:hyperlink>
      <w:r/>
    </w:p>
    <w:p>
      <w:r>
        <w:t xml:space="preserve">E07. Karpicke and Blunt, Retrieval Practice Produces More Learning than Elaborative Studying with Concept Mapping, 2011. Primary learning experiment using science texts; argument mapping is not the same as generic concept mapping. </w:t>
      </w:r>
      <w:hyperlink r:id="rId34">
        <w:r>
          <w:rPr>
            <w:color w:val="174A6B"/>
            <w:u w:val="single"/>
          </w:rPr>
          <w:t>https://doi.org/10.1126/science.1199327</w:t>
        </w:r>
      </w:hyperlink>
      <w:r/>
    </w:p>
    <w:p>
      <w:r>
        <w:t xml:space="preserve">E08. Cepeda and colleagues, Spacing Effects in Learning A Temporal Ridgeline of Optimal Retention, 2008. Primary spacing research; does not prescribe this plan’s intervals. </w:t>
      </w:r>
      <w:hyperlink r:id="rId35">
        <w:r>
          <w:rPr>
            <w:color w:val="174A6B"/>
            <w:u w:val="single"/>
          </w:rPr>
          <w:t>https://doi.org/10.1111/j.1467-9280.2008.02209.x</w:t>
        </w:r>
      </w:hyperlink>
      <w:r/>
    </w:p>
    <w:p>
      <w:r>
        <w:t xml:space="preserve">E09. Renkl, Atkinson, Maier, and Staley, From Example Study to Problem Solving Smooth Transitions Help Learning, 2002. Primary worked-example research in problem-solving domains; application to philosophy is a reasoned design inference. </w:t>
      </w:r>
      <w:hyperlink r:id="rId36">
        <w:r>
          <w:rPr>
            <w:color w:val="174A6B"/>
            <w:u w:val="single"/>
          </w:rPr>
          <w:t>https://doi.org/10.1080/00220970209599510</w:t>
        </w:r>
      </w:hyperlink>
      <w:r/>
    </w:p>
    <w:p>
      <w:r>
        <w:t xml:space="preserve">E10. Cho and MacArthur, Student Revision with Peer and Expert Reviewing, 2010. Small undergraduate-writing study; supports attention to substantive revision, not replacement of expertise by comment volume. </w:t>
      </w:r>
      <w:hyperlink r:id="rId37">
        <w:r>
          <w:rPr>
            <w:color w:val="174A6B"/>
            <w:u w:val="single"/>
          </w:rPr>
          <w:t>https://doi.org/10.1016/j.learninstruc.2009.08.006</w:t>
        </w:r>
      </w:hyperlink>
      <w:r/>
    </w:p>
    <w:p>
      <w:r>
        <w:t xml:space="preserve">E11. Bastani and colleagues, Generative AI without Guardrails Can Harm Learning Evidence from High School Mathematics, 2025. Primary field experiment; effects depend on assistance design and context. </w:t>
      </w:r>
      <w:hyperlink r:id="rId38">
        <w:r>
          <w:rPr>
            <w:color w:val="174A6B"/>
            <w:u w:val="single"/>
          </w:rPr>
          <w:t>https://doi.org/10.1073/pnas.2422633122</w:t>
        </w:r>
      </w:hyperlink>
      <w:r/>
    </w:p>
    <w:p>
      <w:r>
        <w:t xml:space="preserve">E12. Kestin and colleagues, AI Tutoring Outperforms In Class Active Learning An RCT Introducing a Novel Research Based Design in an Authentic Educational Setting, 2025. Primary study of bounded physics lessons, not a whole-program comparison or philosophy assessment. </w:t>
      </w:r>
      <w:hyperlink r:id="rId39">
        <w:r>
          <w:rPr>
            <w:color w:val="174A6B"/>
            <w:u w:val="single"/>
          </w:rPr>
          <w:t>https://www.nature.com/articles/s41598-025-97652-6</w:t>
        </w:r>
      </w:hyperlink>
      <w:r/>
    </w:p>
    <w:p>
      <w:r>
        <w:t xml:space="preserve">E13. American Philosophical Association, Good Practices Guide, 2020, curricular guidance. Professional recommendations, not accreditation requirements. </w:t>
      </w:r>
      <w:hyperlink r:id="rId40">
        <w:r>
          <w:rPr>
            <w:color w:val="174A6B"/>
            <w:u w:val="single"/>
          </w:rPr>
          <w:t>https://www.apaonline.org/resource/resmgr/docs/Good_Practices_Guide_2020.pdf</w:t>
        </w:r>
      </w:hyperlink>
      <w:r/>
    </w:p>
    <w:p>
      <w:r>
        <w:t xml:space="preserve">E14. UC San Diego, Spring 2024 Introduction to Philosophy syllabus, Maralee Harrell. Actual course example of specification-based work, revision, and argument diagrams. </w:t>
      </w:r>
      <w:hyperlink r:id="rId41">
        <w:r>
          <w:rPr>
            <w:color w:val="174A6B"/>
            <w:u w:val="single"/>
          </w:rPr>
          <w:t>https://philosophy.ucsd.edu/_files/courses/24spring/PHIL%201%20Syllabus%20Spring%202024%20Harrell.pdf</w:t>
        </w:r>
      </w:hyperlink>
      <w:r/>
    </w:p>
    <w:p>
      <w:r>
        <w:t xml:space="preserve">E15. UC San Diego, Spring 2025 Philosophy of Science syllabus, Kerry McKenzie. Actual course showing a contemporary scope beyond a chronological list of classics and no assumption of prior formal logic. </w:t>
      </w:r>
      <w:hyperlink r:id="rId42">
        <w:r>
          <w:rPr>
            <w:color w:val="174A6B"/>
            <w:u w:val="single"/>
          </w:rPr>
          <w:t>https://philosophy.ucsd.edu/_files/courses/25spring/McKenzie_Kerry_SP25_Phil%20145_Philosophy%20of%20Science.pdf</w:t>
        </w:r>
      </w:hyperlink>
      <w:r/>
    </w:p>
    <w:p>
      <w:r>
        <w:t xml:space="preserve">E16. MIT OpenCourseWare, Ancient Philosophy assignments, 2004. Primary teaching example tying Republic 434d–441c to the justice/soul question; the old date does not change the classical passage. </w:t>
      </w:r>
      <w:hyperlink r:id="rId43">
        <w:r>
          <w:rPr>
            <w:color w:val="174A6B"/>
            <w:u w:val="single"/>
          </w:rPr>
          <w:t>https://ocw.mit.edu/courses/24-200-ancient-philosophy-fall-2004/pages/assignments/</w:t>
        </w:r>
      </w:hyperlink>
      <w:r/>
    </w:p>
    <w:p>
      <w:r>
        <w:t xml:space="preserve">E17. UC Berkeley, Arabic Philosophy course description. An institutional example of Arabic philosophy within historical study, not evidence all universities require this design. </w:t>
      </w:r>
      <w:hyperlink r:id="rId44">
        <w:r>
          <w:rPr>
            <w:color w:val="174A6B"/>
            <w:u w:val="single"/>
          </w:rPr>
          <w:t>https://philosophy.berkeley.edu/courses/detail/1452</w:t>
        </w:r>
      </w:hyperlink>
      <w:r/>
    </w:p>
    <w:p>
      <w:r>
        <w:t xml:space="preserve">E18. forall x Calgary official text and Carnap documentation. Primary tool/text documentation; pin the edition and calculus, and retain a written-work fallback. </w:t>
      </w:r>
      <w:hyperlink r:id="rId45">
        <w:r>
          <w:rPr>
            <w:color w:val="174A6B"/>
            <w:u w:val="single"/>
          </w:rPr>
          <w:t>https://forallx.openlogicproject.org/html/</w:t>
        </w:r>
      </w:hyperlink>
      <w:r>
        <w:t xml:space="preserve"> and </w:t>
      </w:r>
      <w:hyperlink r:id="rId46">
        <w:r>
          <w:rPr>
            <w:color w:val="174A6B"/>
            <w:u w:val="single"/>
          </w:rPr>
          <w:t>https://carnap.io/srv/doc/systems.md</w:t>
        </w:r>
      </w:hyperlink>
      <w:r/>
    </w:p>
    <w:p>
      <w:r>
        <w:t xml:space="preserve">E19. OpenStax, Introduction to Philosophy, 2022. Open textbook for orientation and academic skills; it supplements rather than replaces assigned primary sources. </w:t>
      </w:r>
      <w:hyperlink r:id="rId47">
        <w:r>
          <w:rPr>
            <w:color w:val="174A6B"/>
            <w:u w:val="single"/>
          </w:rPr>
          <w:t>https://openstax.org/books/introduction-philosophy/pages/preface</w:t>
        </w:r>
      </w:hyperlink>
      <w:r/>
    </w:p>
    <w:p>
      <w:r>
        <w:t xml:space="preserve">E20. Harvard Philosophy, Department Writing Fellow. Public guides are available, while named tutoring services have student-eligibility limits. </w:t>
      </w:r>
      <w:hyperlink r:id="rId48">
        <w:r>
          <w:rPr>
            <w:color w:val="174A6B"/>
            <w:u w:val="single"/>
          </w:rPr>
          <w:t>https://philosophy.fas.harvard.edu/department-writing-fellow</w:t>
        </w:r>
      </w:hyperlink>
      <w:r/>
    </w:p>
    <w:p>
      <w:pPr>
        <w:pStyle w:val="Heading2"/>
      </w:pPr>
      <w:r>
        <w:rPr>
          <w:color w:val="000000"/>
        </w:rPr>
        <w:t>Institutional source ledger</w:t>
      </w:r>
    </w:p>
    <w:p>
      <w:r>
        <w:t xml:space="preserve">B01. Harvard Philosophy concentration requirements. Live undated department page </w:t>
      </w:r>
      <w:hyperlink r:id="rId49">
        <w:r>
          <w:rPr>
            <w:color w:val="174A6B"/>
            <w:u w:val="single"/>
          </w:rPr>
          <w:t>https://philosophy.fas.harvard.edu/concentration</w:t>
        </w:r>
      </w:hyperlink>
      <w:r/>
    </w:p>
    <w:p>
      <w:r>
        <w:t xml:space="preserve">B02. Princeton philosophy major requirements. Live current department page </w:t>
      </w:r>
      <w:hyperlink r:id="rId50">
        <w:r>
          <w:rPr>
            <w:color w:val="174A6B"/>
            <w:u w:val="single"/>
          </w:rPr>
          <w:t>https://philosophy.princeton.edu/undergraduate/major-requirements</w:t>
        </w:r>
      </w:hyperlink>
      <w:r/>
    </w:p>
    <w:p>
      <w:r>
        <w:t xml:space="preserve">B03. Princeton independent work guide. Academic year 2026–2027 </w:t>
      </w:r>
      <w:hyperlink r:id="rId51">
        <w:r>
          <w:rPr>
            <w:color w:val="174A6B"/>
            <w:u w:val="single"/>
          </w:rPr>
          <w:t>https://philosophy.princeton.edu/sites/g/files/toruqf2381/files/documents/Independent%20Work%20Guide_2026-2027_final8.6.pdf</w:t>
        </w:r>
      </w:hyperlink>
      <w:r/>
    </w:p>
    <w:p>
      <w:r>
        <w:t xml:space="preserve">B04. Stanford PHILO-BA program policies and requirements. Current live bulletin, links the 2026–27 calendar </w:t>
      </w:r>
      <w:hyperlink r:id="rId52">
        <w:r>
          <w:rPr>
            <w:color w:val="174A6B"/>
            <w:u w:val="single"/>
          </w:rPr>
          <w:t>https://bulletin.stanford.edu/programs/PHILO-BA/program-policies-WgPxM</w:t>
        </w:r>
      </w:hyperlink>
      <w:r/>
    </w:p>
    <w:p>
      <w:r>
        <w:t xml:space="preserve">B05. Yale philosophy standard major requirements. Yale College Programs of Study 2026–2027 </w:t>
      </w:r>
      <w:hyperlink r:id="rId53">
        <w:r>
          <w:rPr>
            <w:color w:val="174A6B"/>
            <w:u w:val="single"/>
          </w:rPr>
          <w:t>https://catalog.yale.edu/ycps/subjects-of-instruction/philosophy/</w:t>
        </w:r>
      </w:hyperlink>
      <w:r/>
    </w:p>
    <w:p>
      <w:r>
        <w:t xml:space="preserve">B06. Cambridge Philosophy Tripos Guide to Courses. Academic year 2026–27; updated May 2026 </w:t>
      </w:r>
      <w:hyperlink r:id="rId54">
        <w:r>
          <w:rPr>
            <w:color w:val="174A6B"/>
            <w:u w:val="single"/>
          </w:rPr>
          <w:t>https://www.phil.cam.ac.uk/files/guide_to_courses_2026-27_2026_05_final5.pdf</w:t>
        </w:r>
      </w:hyperlink>
      <w:r/>
    </w:p>
    <w:p>
      <w:r>
        <w:t xml:space="preserve">B07. Cambridge Guide to College Supervisions. Current live official guide; publication date not assigned </w:t>
      </w:r>
      <w:hyperlink r:id="rId55">
        <w:r>
          <w:rPr>
            <w:color w:val="174A6B"/>
            <w:u w:val="single"/>
          </w:rPr>
          <w:t>https://www.phil.cam.ac.uk/guide-college-supervisions</w:t>
        </w:r>
      </w:hyperlink>
      <w:r/>
    </w:p>
    <w:p>
      <w:r>
        <w:t xml:space="preserve">B08. UCL Philosophy BA 2026-entry course structure. 2026 entry, 2026–27 start; explicitly distinguished from 2027 entry </w:t>
      </w:r>
      <w:hyperlink r:id="rId56">
        <w:r>
          <w:rPr>
            <w:color w:val="174A6B"/>
            <w:u w:val="single"/>
          </w:rPr>
          <w:t>https://www.ucl.ac.uk/prospective-students/undergraduate/degrees/philosophy-ba-2026</w:t>
        </w:r>
      </w:hyperlink>
      <w:r/>
    </w:p>
    <w:p>
      <w:r>
        <w:t xml:space="preserve">B09. UCL BA modules 2026–27 provisional syllabi. Academic year 2026–27; provisional, subject to change </w:t>
      </w:r>
      <w:hyperlink r:id="rId57">
        <w:r>
          <w:rPr>
            <w:color w:val="174A6B"/>
            <w:u w:val="single"/>
          </w:rPr>
          <w:t>https://www.ucl.ac.uk/arts-humanities/philosophy/current-students/ba-modules</w:t>
        </w:r>
      </w:hyperlink>
      <w:r/>
    </w:p>
    <w:p>
      <w:r>
        <w:t xml:space="preserve">B10. Edinburgh Philosophy MA (Hons) degree programme table. Degree Regulations and Programmes of Study 2026–2027 </w:t>
      </w:r>
      <w:hyperlink r:id="rId58">
        <w:r>
          <w:rPr>
            <w:color w:val="174A6B"/>
            <w:u w:val="single"/>
          </w:rPr>
          <w:t>https://www.drps.ed.ac.uk/26-27/dpt/utphily.htm</w:t>
        </w:r>
      </w:hyperlink>
      <w:r/>
    </w:p>
    <w:p>
      <w:r>
        <w:t xml:space="preserve">B11. Edinburgh Logic 1 current course outline. 2026–27 official course outline; full reading list not entered </w:t>
      </w:r>
      <w:hyperlink r:id="rId59">
        <w:r>
          <w:rPr>
            <w:color w:val="174A6B"/>
            <w:u w:val="single"/>
          </w:rPr>
          <w:t>https://www.drps.ed.ac.uk/26-27/dpt/cxphil08004.htm</w:t>
        </w:r>
      </w:hyperlink>
      <w:r/>
    </w:p>
    <w:p>
      <w:r>
        <w:t xml:space="preserve">B12. Edinburgh Dissertation in Philosophy course outline. 2026–27 official course outline </w:t>
      </w:r>
      <w:hyperlink r:id="rId60">
        <w:r>
          <w:rPr>
            <w:color w:val="174A6B"/>
            <w:u w:val="single"/>
          </w:rPr>
          <w:t>https://www.drps.ed.ac.uk/26-27/dpt/cxphil10026.htm</w:t>
        </w:r>
      </w:hyperlink>
      <w:r/>
    </w:p>
    <w:p>
      <w:r>
        <w:t xml:space="preserve">B13. Toronto St. George philosophy specialist requirements. Live current Faculty of Arts and Science calendar; year not asserted from undated page </w:t>
      </w:r>
      <w:hyperlink r:id="rId61">
        <w:r>
          <w:rPr>
            <w:color w:val="174A6B"/>
            <w:u w:val="single"/>
          </w:rPr>
          <w:t>https://artsci.calendar.utoronto.ca/program/asspe0231</w:t>
        </w:r>
      </w:hyperlink>
      <w:r/>
    </w:p>
    <w:p>
      <w:r>
        <w:t xml:space="preserve">B14. Toronto St. George philosophy major requirements. Live current Faculty of Arts and Science calendar; year not asserted from undated page </w:t>
      </w:r>
      <w:hyperlink r:id="rId62">
        <w:r>
          <w:rPr>
            <w:color w:val="174A6B"/>
            <w:u w:val="single"/>
          </w:rPr>
          <w:t>https://artsci.calendar.utoronto.ca/program/asmaj0231</w:t>
        </w:r>
      </w:hyperlink>
      <w:r/>
    </w:p>
    <w:p>
      <w:r>
        <w:t xml:space="preserve">B15. Stanford Unit of Credit policy. Current live official policy </w:t>
      </w:r>
      <w:hyperlink r:id="rId63">
        <w:r>
          <w:rPr>
            <w:color w:val="174A6B"/>
            <w:u w:val="single"/>
          </w:rPr>
          <w:t>https://bulletin.stanford.edu/academic-polices/courses/unit-of-credit</w:t>
        </w:r>
      </w:hyperlink>
      <w:r/>
    </w:p>
    <w:p>
      <w:r>
        <w:t xml:space="preserve">B16. UCL Qualifications and Credit Framework. UCL Academic Manual 2026–27; current PDF </w:t>
      </w:r>
      <w:hyperlink r:id="rId64">
        <w:r>
          <w:rPr>
            <w:color w:val="174A6B"/>
            <w:u w:val="single"/>
          </w:rPr>
          <w:t>https://www.ucl.ac.uk/study/sites/study/files/2026-08/chapter-7a-qualifications-and-credit-framework-2026-27.pdf</w:t>
        </w:r>
      </w:hyperlink>
      <w:r/>
    </w:p>
    <w:p>
      <w:r>
        <w:t xml:space="preserve">B17. QAA Philosophy Subject Benchmark Statement. April 2025; latest statement found and verified </w:t>
      </w:r>
      <w:hyperlink r:id="rId65">
        <w:r>
          <w:rPr>
            <w:color w:val="174A6B"/>
            <w:u w:val="single"/>
          </w:rPr>
          <w:t>https://www.qaa.ac.uk/docs/qaa/sbs/subject-benchmark-statement-philosophy-2025.pdf</w:t>
        </w:r>
      </w:hyperlink>
      <w:r/>
    </w:p>
    <w:p>
      <w:r>
        <w:t xml:space="preserve">B18. Harvard PHIL 169 Nozick syllabus. Spring 2024; archived dated syllabus </w:t>
      </w:r>
      <w:hyperlink r:id="rId66">
        <w:r>
          <w:rPr>
            <w:color w:val="174A6B"/>
            <w:u w:val="single"/>
          </w:rPr>
          <w:t>https://sberker.scholars.harvard.edu/sites/g/files/omnuum4776/files/2025-12/phil169-2024-syllabus.pdf</w:t>
        </w:r>
      </w:hyperlink>
      <w:r/>
    </w:p>
    <w:p>
      <w:pPr>
        <w:pStyle w:val="Heading2"/>
      </w:pPr>
      <w:r>
        <w:rPr>
          <w:color w:val="000000"/>
        </w:rPr>
        <w:t>What changed from the earlier fifteen unit plan</w:t>
      </w:r>
    </w:p>
    <w:p>
      <w:r>
        <w:t>The previous material supplied a useful introduction, roles, rubrics, and reading anchors, but fourteen units were still outlines. The new route replaces those placeholders with finite readings, ordered modules, writing tasks, assessment evidence, and explicit hours. It also changes the structure rather than preserving a number for its own sake.</w:t>
      </w:r>
    </w:p>
    <w:p>
      <w:pPr>
        <w:ind w:left="331" w:hanging="230"/>
      </w:pPr>
      <w:r>
        <w:t xml:space="preserve">•  </w:t>
      </w:r>
      <w:r>
        <w:t>Preserved: close primary reading, argument reconstruction, counterexamples, repeated writing and revision, oral explanation, source verification, and cumulative review</w:t>
      </w:r>
    </w:p>
    <w:p>
      <w:pPr>
        <w:ind w:left="331" w:hanging="230"/>
      </w:pPr>
      <w:r>
        <w:t xml:space="preserve">•  </w:t>
      </w:r>
      <w:r>
        <w:t>Added: beginner academic skills, required science, a sustained global tradition, Indian and Islamic/Jewish encounters in the common courses, explicit research training, access checks, and a fully specified first teaching sequence</w:t>
      </w:r>
    </w:p>
    <w:p>
      <w:pPr>
        <w:ind w:left="331" w:hanging="230"/>
      </w:pPr>
      <w:r>
        <w:t xml:space="preserve">•  </w:t>
      </w:r>
      <w:r>
        <w:t>Corrected: Republic’s missing justice answer, Kant’s missing causation locator, overbroad medieval and nineteenth-century claims, unsupported logic chapter boundaries, and confusion between a collected aid and the assigned primary text</w:t>
      </w:r>
    </w:p>
    <w:p>
      <w:pPr>
        <w:ind w:left="331" w:hanging="230"/>
      </w:pPr>
      <w:r>
        <w:t xml:space="preserve">•  </w:t>
      </w:r>
      <w:r>
        <w:t>Rebalanced: combined knowledge/reality and mind/language courses state their limits; aesthetics, social philosophy, and pragmatist/phenomenological work become real choices rather than every specialist area becoming compulsory</w:t>
      </w:r>
    </w:p>
    <w:p>
      <w:pPr>
        <w:ind w:left="331" w:hanging="230"/>
      </w:pPr>
      <w:r>
        <w:t xml:space="preserve">•  </w:t>
      </w:r>
      <w:r>
        <w:t>Replaced: rigid numerical AI mastery thresholds with criterion-level evidence; a mandatory long thesis with a bounded research capstone; and “always struggle first” with scaffolded practice followed by increasing independence</w:t>
      </w:r>
    </w:p>
    <w:p>
      <w:pPr>
        <w:ind w:left="331" w:hanging="230"/>
      </w:pPr>
      <w:r>
        <w:t xml:space="preserve">•  </w:t>
      </w:r>
      <w:r>
        <w:t>Disclosed: multi-year workload, unavailable editions, translation differences, limits of AI grading, uncertain transfer of educational findings, and the difference between self-study completion and external review</w:t>
      </w:r>
    </w:p>
    <w:p>
      <w:r>
        <w:t>The research and review record at the end summarizes the completed critique rounds, model roles, substantive corrections, and limits. No number of review passes proves correctness; material problems must be checked against the relevant evidence.</w:t>
      </w:r>
    </w:p>
    <w:p>
      <w:bookmarkStart w:id="18" w:name="section_18"/>
      <w:pPr>
        <w:pStyle w:val="Heading1"/>
        <w:pageBreakBefore/>
      </w:pPr>
      <w:r>
        <w:rPr>
          <w:color w:val="000000"/>
        </w:rPr>
        <w:t>Assessment blueprints and operational rubric</w:t>
      </w:r>
      <w:bookmarkEnd w:id="18"/>
    </w:p>
    <w:p>
      <w:pPr>
        <w:pStyle w:val="Heading2"/>
      </w:pPr>
      <w:r>
        <w:rPr>
          <w:color w:val="000000"/>
        </w:rPr>
        <w:t>Course specific evidence</w:t>
      </w:r>
    </w:p>
    <w:p>
      <w:r>
        <w:t>The substantial paper assesses sustained argument, interpretation, attribution, organization, and revision. The independent task samples an essential outcome outside the paper’s narrow topic. The conversation checks responsiveness and the ability to explain one’s own reasoning. These are parts of the already budgeted assessment, not extra examinations. At the start of the final assessment module, make a small evidence grid with one row per outcome group in the blueprint below and columns for module artifact, independent fresh task, and any needed repair. Use the named module outputs as the first evidence. Reserve a source-open written session of about ninety minutes for three or four short fresh prompts spanning the remaining groups, plus a twenty-minute explanation or accessible equivalent; formal logic uses its longer mixed-problem session. If the paper already supplies independent evidence for a group, do not duplicate a large essay. Use the rest of the course’s assessment hours for feedback, repair, citation checking, and a fifteen-to-thirty-minute delayed sample of the least secure group. These times are within the existing module allocation. Keep the assessment prompts separate from coached practice. A row without both kinds of evidence remains unresolved; do not infer coverage from a total score.</w:t>
      </w:r>
    </w:p>
    <w:p>
      <w:pPr>
        <w:ind w:left="331" w:hanging="230"/>
      </w:pPr>
      <w:r>
        <w:t xml:space="preserve">•  </w:t>
      </w:r>
      <w:r>
        <w:t>Course 1: independently reconstruct a short passage, classify an inference with explanation, supply a counterexample, and answer an objection to the essay. Accurate reconstruction and attribution are essential; polished style cannot compensate for confusing the author with an opponent</w:t>
      </w:r>
    </w:p>
    <w:p>
      <w:pPr>
        <w:ind w:left="331" w:hanging="230"/>
      </w:pPr>
      <w:r>
        <w:t xml:space="preserve">•  </w:t>
      </w:r>
      <w:r>
        <w:t>Course 2: sample English-to-symbol translation, interpretation of a formula, truth-table/countermodel reasoning, a truth-functional proof, a first-order proof, and explanation of a rule restriction. Each family must be demonstrated independently; formal correctness alone does not establish faithful symbolization</w:t>
      </w:r>
    </w:p>
    <w:p>
      <w:pPr>
        <w:ind w:left="331" w:hanging="230"/>
      </w:pPr>
      <w:r>
        <w:t xml:space="preserve">•  </w:t>
      </w:r>
      <w:r>
        <w:t>Course 3: interpret a Republic passage relevant to justice, distinguish an Aristotelian explanatory claim, and explain one Hellenistic argument or practice. The paper supplies depth in one of these; independent tasks cover the remaining outcomes</w:t>
      </w:r>
    </w:p>
    <w:p>
      <w:pPr>
        <w:ind w:left="331" w:hanging="230"/>
      </w:pPr>
      <w:r>
        <w:t xml:space="preserve">•  </w:t>
      </w:r>
      <w:r>
        <w:t>Course 4: reconstruct one existence argument, interpret a soul/time/negative-theology passage not central to the paper, and explain a contextual difference between two authors. Do not assess detailed doctrines outside the assigned excerpts</w:t>
      </w:r>
    </w:p>
    <w:p>
      <w:pPr>
        <w:ind w:left="331" w:hanging="230"/>
      </w:pPr>
      <w:r>
        <w:t xml:space="preserve">•  </w:t>
      </w:r>
      <w:r>
        <w:t>Course 5: reconstruct a Cartesian transition, explain an interaction or substance argument, and analyze an induction/ideas claim. Select the independent tasks from topics the paper did not cover, with exact passages available</w:t>
      </w:r>
    </w:p>
    <w:p>
      <w:pPr>
        <w:ind w:left="331" w:hanging="230"/>
      </w:pPr>
      <w:r>
        <w:t xml:space="preserve">•  </w:t>
      </w:r>
      <w:r>
        <w:t>Course 6: analyze a changed case under two normative approaches, explain the selected metaethical distinction, and interpret a primary passage. An application needs an explicit theory-to-verdict inference, not a label</w:t>
      </w:r>
    </w:p>
    <w:p>
      <w:pPr>
        <w:ind w:left="331" w:hanging="230"/>
      </w:pPr>
      <w:r>
        <w:t xml:space="preserve">•  </w:t>
      </w:r>
      <w:r>
        <w:t>Course 7: evaluate a new knowledge or testimony case, distinguish two accounts of self/identity, and reconstruct an argument about responsibility. The paper plus independent tasks must supply evidence for all three clusters</w:t>
      </w:r>
    </w:p>
    <w:p>
      <w:pPr>
        <w:ind w:left="331" w:hanging="230"/>
      </w:pPr>
      <w:r>
        <w:t xml:space="preserve">•  </w:t>
      </w:r>
      <w:r>
        <w:t>Course 8: analyze an authority/liberty case, explain a distributive argument, and interpret a structural critique. Require the learner to identify any empirical premise that needs outside evidence</w:t>
      </w:r>
    </w:p>
    <w:p>
      <w:pPr>
        <w:ind w:left="331" w:hanging="230"/>
      </w:pPr>
      <w:r>
        <w:t xml:space="preserve">•  </w:t>
      </w:r>
      <w:r>
        <w:t>Course 9: explain Kant’s objective-succession argument, interpret one selected post-Kantian passage, and compare methods without confusing genealogy, social explanation, and transcendental argument. If the paper is on Kant, the independent passage is post-Kantian, and conversely</w:t>
      </w:r>
    </w:p>
    <w:p>
      <w:pPr>
        <w:ind w:left="331" w:hanging="230"/>
      </w:pPr>
      <w:r>
        <w:t xml:space="preserve">•  </w:t>
      </w:r>
      <w:r>
        <w:t>Course 10: distinguish confirmation from deduction, analyze a falsification or explanation case, compare realism/empirical adequacy, and identify a value/uncertainty issue in the scientific packet. The case paper and short tasks jointly cover these outcomes</w:t>
      </w:r>
    </w:p>
    <w:p>
      <w:pPr>
        <w:ind w:left="331" w:hanging="230"/>
      </w:pPr>
      <w:r>
        <w:t xml:space="preserve">•  </w:t>
      </w:r>
      <w:r>
        <w:t>Course 11A: interpret a fresh passage from one of the five assigned thinkers, reconstruct a dispute with another, justify one translation-sensitive claim, and explain a limit of cross-tradition comparison</w:t>
      </w:r>
    </w:p>
    <w:p>
      <w:pPr>
        <w:ind w:left="331" w:hanging="230"/>
      </w:pPr>
      <w:r>
        <w:t xml:space="preserve">•  </w:t>
      </w:r>
      <w:r>
        <w:t>Course 11B: interpret a fresh Du Bois/Fanon passage, reconstruct the person/community debate, and diagnose a methodological mistake in comparison. The paper cannot substitute for understanding the other core debate</w:t>
      </w:r>
    </w:p>
    <w:p>
      <w:pPr>
        <w:ind w:left="331" w:hanging="230"/>
      </w:pPr>
      <w:r>
        <w:t xml:space="preserve">•  </w:t>
      </w:r>
      <w:r>
        <w:t>Course 12A: analyze a reference/description example, explain functionalist reasoning, and assess a machine-intelligence or consciousness argument outside the paper topic</w:t>
      </w:r>
    </w:p>
    <w:p>
      <w:pPr>
        <w:ind w:left="331" w:hanging="230"/>
      </w:pPr>
      <w:r>
        <w:t xml:space="preserve">•  </w:t>
      </w:r>
      <w:r>
        <w:t>Course 12B: distinguish classification and evaluation, reconstruct a taste/category argument, and analyze an unfamiliar artwork whose relevant context is supplied</w:t>
      </w:r>
    </w:p>
    <w:p>
      <w:pPr>
        <w:ind w:left="331" w:hanging="230"/>
      </w:pPr>
      <w:r>
        <w:t xml:space="preserve">•  </w:t>
      </w:r>
      <w:r>
        <w:t>Course 12C: explain two different methods in their own terms, interpret a fresh passage, and show what a relevant objection would target</w:t>
      </w:r>
    </w:p>
    <w:p>
      <w:pPr>
        <w:ind w:left="331" w:hanging="230"/>
      </w:pPr>
      <w:r>
        <w:t xml:space="preserve">•  </w:t>
      </w:r>
      <w:r>
        <w:t>Course 12D: distinguish structural, relational, and distributive claims, evaluate an applied case, and identify a limitation of idealization</w:t>
      </w:r>
    </w:p>
    <w:p>
      <w:pPr>
        <w:ind w:left="331" w:hanging="230"/>
      </w:pPr>
      <w:r>
        <w:t xml:space="preserve">•  </w:t>
      </w:r>
      <w:r>
        <w:t>Course 13: evaluate the research question and source dossier, assess the seminar paper, test a new related case, and ask why a rival interpretation or source was rejected</w:t>
      </w:r>
    </w:p>
    <w:p>
      <w:pPr>
        <w:ind w:left="331" w:hanging="230"/>
      </w:pPr>
      <w:r>
        <w:t xml:space="preserve">•  </w:t>
      </w:r>
      <w:r>
        <w:t>Course 14: check proposal, research integrity, sustained argument, substantive revision, unscripted response, and delayed transfer. Completion requires the integrated evidence, not simply submission of a long document</w:t>
      </w:r>
    </w:p>
    <w:p>
      <w:pPr>
        <w:pStyle w:val="Heading2"/>
      </w:pPr>
      <w:r>
        <w:rPr>
          <w:color w:val="000000"/>
        </w:rPr>
        <w:t>Observable rubric anchors</w:t>
      </w:r>
    </w:p>
    <w:p>
      <w:r>
        <w:t>Question and claim. Developing work names a broad topic or a claim that shifts. Competent work answers the actual question with a specific, appropriately qualified thesis. Strong work explains why the precise disputed issue matters and anticipates a relevant limit. Repair: turn a topic into one question, then write a one-sentence answer and one explicit exclusion.</w:t>
      </w:r>
    </w:p>
    <w:p>
      <w:r>
        <w:t>Interpretation and context. Developing work captures part of the view but confuses a term, speaker, premise, or historical setting. Competent work reconstructs the relevant position fairly using identifiable passages. Strong work handles a genuine ambiguity or rival interpretation through evidence. Repair: annotate the exact passage and compare two readings before evaluating either.</w:t>
      </w:r>
    </w:p>
    <w:p>
      <w:r>
        <w:t>Reasoning. Developing work offers relevant reasons but leaves an important inferential gap. Competent work explains how the reasons support the conclusion, identifies crucial assumptions, and qualifies the conclusion appropriately. Strong work tests the pivotal assumption and explains why the argument survives a serious alternative. Repair: make the missing premise explicit and test it with a counterexample.</w:t>
      </w:r>
    </w:p>
    <w:p>
      <w:r>
        <w:t>Objection and reply. Developing work states disagreement or attacks a weaker view. Competent work presents a serious challenge to the actual argument and answers it directly, including by revising the claim. Strong work shows how the objection changes or deepens the defended view and acknowledges residual difficulty. Repair: identify exactly which premise, inference, interpretation, or scope claim is challenged.</w:t>
      </w:r>
    </w:p>
    <w:p>
      <w:r>
        <w:t>Evidence and attribution. Developing work gives vague references or blurs paraphrase and inference. Competent work makes claims traceable to sources actually read, identifies editions and assistance, and distinguishes quotation from interpretation. Strong work explains why the chosen sources are appropriate and what their limits are. Fabrication or unattributed borrowing is not merely “developing”; it requires correction before assessment can proceed.</w:t>
      </w:r>
    </w:p>
    <w:p>
      <w:r>
        <w:t>Organization and expression. Developing work has a recognizable argument but unclear paragraph roles, terminology, or transitions. Competent work lets a reader follow the reasoning in ordinary language. Strong work makes difficult material precise and economical without hiding uncertainty. Repair: reverse-outline each paragraph’s function, remove irrelevant material, and repair one recurrent ambiguity at a time.</w:t>
      </w:r>
    </w:p>
    <w:p>
      <w:r>
        <w:t>Revision. Developing work changes wording while leaving the central problem untouched. Competent work makes substantive, reasoned changes and explains their effect. Strong work prioritizes criticism well, justifies accepting or rejecting advice, and identifies what remains unresolved. A new independent task is still needed to show that the learning transfers beyond the revised artifact.</w:t>
      </w:r>
    </w:p>
    <w:p>
      <w:r>
        <w:t>Dialogue. Developing work repeats prepared claims or misses the question. Competent work listens, answers directly, gives reasons, and can revise under an objection. Strong work identifies the issue beneath a question and draws a useful distinction. Assess philosophical responsiveness rather than confidence, fluency, speed, accent, or performance style.</w:t>
      </w:r>
    </w:p>
    <w:p>
      <w:r>
        <w:t>Formal work. Developing work succeeds with hints but makes recurring syntax, scope, semantics, or rule errors. Competent work solves new varied problems independently and explains the strategy and restrictions. Strong work transfers between English, formal notation, proof, and countermodel, explaining where a formalization is contestable. A proof checker validates only the calculus it implements.</w:t>
      </w:r>
    </w:p>
    <w:p>
      <w:r>
        <w:t>Not every dimension applies to every small assignment. A précis should not fail for lacking an objection if none was requested. Apply the dimensions relevant to the task, and raise complexity gradually rather than mechanically changing a numerical cutoff.</w:t>
      </w:r>
    </w:p>
    <w:p>
      <w:pPr>
        <w:pStyle w:val="Heading2"/>
      </w:pPr>
      <w:r>
        <w:rPr>
          <w:color w:val="000000"/>
        </w:rPr>
        <w:t>Outcome evidence grids</w:t>
      </w:r>
    </w:p>
    <w:p>
      <w:r>
        <w:t>Use these grids to fill the course record; they are the promised mapping, not an instruction to invent another exam. “Module evidence” means the learner’s named output, including its revision and assistance declaration. It can count as satisfactory supported practice. “Fresh sample” means a new, uncoached question, case, or passage selection completed independently; it need not be a text never encountered. Use a different case or inferential task from the module exercise. The quoted minute budgets are planning allocations within the course’s final assessment module, not strict speed grades. Adjust time for access needs without changing the intellectual task.</w:t>
      </w:r>
    </w:p>
    <w:p>
      <w:r>
        <w:t>For every grid, allow the assigned primary texts and a citation sheet; prohibit AI content help, answer keys, and prewritten responses during the fresh samples. Logic permits only the agreed rule sheet, with checker feedback withheld until submission. Use the already assigned twenty-minute dialogue or accessible typed exchange to clarify a response, not to introduce untaught content. If a grid row already uses that dialogue, count it once rather than add another. Courses 13–14 use their own stated defense timings. A fifteen-to-thirty-minute delayed task samples the least secure group on a new case after roughly four to six weeks or two later modules. For Course 1, the broader six-hour consolidation package already includes that delayed task and corrections. Record actual minutes against the prior course. A failed group gets a targeted fresh retest within remaining assessment time; additional remediation is recorded as extra time if the estimate is exceeded.</w:t>
      </w:r>
    </w:p>
    <w:p>
      <w:r>
        <w:t>These grids sample the central outcome groups and reading methods. They do not claim twice-tested mastery of every sentence, author, or topic in a survey. To finish, each row needs a satisfactory module artifact and an independently competent fresh sample; a narrow essay cannot erase a missing row. Source integrity, accurate interpretation, and relevant reasoning are required across the evidence.</w:t>
      </w:r>
    </w:p>
    <w:p>
      <w:pPr>
        <w:pStyle w:val="Heading3"/>
      </w:pPr>
      <w:r>
        <w:rPr>
          <w:color w:val="000000"/>
        </w:rPr>
        <w:t>Course 1</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Argument and conditions</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2 reconstructions and definition tests</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Explain one new valid/invalid pair and test a new necessary/sufficient-condition claim</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Interpretation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4–8 reconstructions</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Interpret an uncoached 200–350-word passage from an assigned text; distinguish speaker, premise, and conclusion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60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Philosophical writing and response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10 essay and revision memo</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Write 500–700 words answering a new objection to the essay without copying its reply</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60</w:t>
            </w:r>
          </w:p>
        </w:tc>
      </w:tr>
    </w:tbl>
    <w:p>
      <w:pPr>
        <w:spacing w:after="60"/>
      </w:pPr>
    </w:p>
    <w:p>
      <w:pPr>
        <w:pStyle w:val="Heading3"/>
      </w:pPr>
      <w:r>
        <w:rPr>
          <w:color w:val="000000"/>
        </w:rPr>
        <w:t>Course 2</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Symbolization and scope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2 and 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Four short new translations, including nested quantifiers and one ambiguity explanation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Semantics</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3 and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One truth-functional validity test and one finite first-order countermodel with prose explanation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Proof</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4 and 7</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One truth-functional and one quantified proof, with assumption/rule restrictions explained</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60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Modeling limits</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 8 formalization paper</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Explain a new disputed formalization and why validity does not settle soundness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20</w:t>
            </w:r>
          </w:p>
        </w:tc>
      </w:tr>
    </w:tbl>
    <w:p>
      <w:pPr>
        <w:spacing w:after="60"/>
      </w:pPr>
    </w:p>
    <w:p>
      <w:pPr>
        <w:pStyle w:val="Heading3"/>
      </w:pPr>
      <w:r>
        <w:rPr>
          <w:color w:val="000000"/>
        </w:rPr>
        <w:t>Course 3</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Platonic argument and dialogue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2–4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Interpret a justice/soul passage not used in the paper and identify the needed inference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Aristotelian explanation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5–6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Analyze a new natural-object example using the assigned explanatory distinctions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Hellenistic argument and historical comparison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6 comparison</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Reconstruct a specified Epicurean or skeptical move and compare it with a studied rival without anachronism</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4</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Existence arguments</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3 and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Reconstruct a new question about the Anselm/Gaunilo exchange or a studied Aquinas way</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25</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Time and soul</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2 and 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Interpret an assigned Augustine or Avicenna passage not central to the paper and state its limits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25</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Reason revelation and predication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 5, and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Compare a precise al-Ghazali/Maimonides claim with textual evidence and one contextual caution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25</w:t>
            </w:r>
          </w:p>
        </w:tc>
      </w:tr>
    </w:tbl>
    <w:p>
      <w:pPr>
        <w:spacing w:after="60"/>
      </w:pPr>
    </w:p>
    <w:p>
      <w:pPr>
        <w:pStyle w:val="Heading3"/>
      </w:pPr>
      <w:r>
        <w:rPr>
          <w:color w:val="000000"/>
        </w:rPr>
        <w:t>Course 5</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Cartesian transitions and interaction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1–3</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Diagnose one uncoached inference or reply in Descartes/Elisabeth</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Substance ideas and qualities</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4–5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Compare two assigned positions on a newly specified explanatory question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Induction and necessary connection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Test a new proposed answer to Hume and identify any circularity or change of question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6</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Normative theories</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2, 4, and 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Analyze one changed case under two theories, explaining the premise-to-verdict connection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Cultivation and interpretation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 3 plus Aristotle work</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Interpret a short Mengzi passage and compare one point with Aristotle, stating a limit</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Metaethics and applied reasoning</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Distinguish a normative from a metaethical claim and test a changed Thomson-type case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7</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Knowledge testimony and injustice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1–3</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Analyze a new testimonial case using justification, trust, and credibility injustice as distinct questions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35</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Self and identity</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4–5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Compare a new continuity/fission case with one precise claim in SN 22.59; state why the projects differ</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Freedom and responsibility</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Identify which premise a new objection attacks in Frankfurt or van Inwagen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25</w:t>
            </w:r>
          </w:p>
        </w:tc>
      </w:tr>
    </w:tbl>
    <w:p>
      <w:pPr>
        <w:spacing w:after="60"/>
      </w:pPr>
    </w:p>
    <w:p>
      <w:pPr>
        <w:pStyle w:val="Heading3"/>
      </w:pPr>
      <w:r>
        <w:rPr>
          <w:color w:val="000000"/>
        </w:rPr>
        <w:t>Course 8</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Authority and liberty</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1–3</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Analyze a new authority or speech case and distinguish empirical from normative premises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Distribution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 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Evaluate a changed Rawls/Nozick distribution example without treating arithmetic as the whole argument</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Gender race and idealization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4 and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Interpret a fresh assigned passage and explain how its critique changes one theory’s assumptions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9</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Kantian conditions and causation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Explain an uncoached objective-succession example using the Second Analogy and a relevant limit</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35</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Recognition and social explanation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5–6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Interpret a Hegel or Marx passage outside the essay’s main focus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Genealogy and method</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Evaluate a new inference from a genealogy and distinguish explanation from refutation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25</w:t>
            </w:r>
          </w:p>
        </w:tc>
      </w:tr>
    </w:tbl>
    <w:p>
      <w:pPr>
        <w:spacing w:after="60"/>
      </w:pPr>
    </w:p>
    <w:p>
      <w:pPr>
        <w:pStyle w:val="Heading3"/>
      </w:pPr>
      <w:r>
        <w:rPr>
          <w:color w:val="000000"/>
        </w:rPr>
        <w:t>Course 10</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Induction and testing</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1–2</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Analyze a new hypothesis/evidence case, identifying auxiliaries and the kind of inference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25</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Explanation and scientific change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3–4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Test a new explanation example or an uncoached anomaly/revolution classification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25</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Realism</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State what acceptance commits each view to in a newly specified unobservable-entity case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25</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Values and uncertainty</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6–7</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Read an uncoached claim from the assigned packet and separate assessed confidence, evidence, and policy inference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25</w:t>
            </w:r>
          </w:p>
        </w:tc>
      </w:tr>
    </w:tbl>
    <w:p>
      <w:pPr>
        <w:spacing w:after="60"/>
      </w:pPr>
    </w:p>
    <w:p>
      <w:pPr>
        <w:pStyle w:val="Heading3"/>
      </w:pPr>
      <w:r>
        <w:rPr>
          <w:color w:val="000000"/>
        </w:rPr>
        <w:t>Course 11A</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Concern and cultivation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2 and 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Apply a new case to a specific Analects/Mozi disagreement, with citations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Nature and deliberate effort</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3 and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Interpret a new Mengzi/Xunzi comparison, comparing two identified short renderings or a translator’s explicit commentary and explaining one philosophical consequence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Perspective and comparison method</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5 and 7</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Interpret a Zhuangzi passage not used in the essay and state one justified and one unjustified cross-tradition comparison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11B</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Racialized experience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2–3</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Interpret a new Du Bois/Fanon passage and distinguish phenomenological, historical, and normative claims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Person and community</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 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Assess a changed personhood case under Menkiti and Gyekye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Method and institutions</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 5, and 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Diagnose a new bad comparison using Wiredu and explain one Mills claim without generalizing to all Africana thought</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12A</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Meaning and reference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1–2</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Analyze a new description/name case and explain the limits of its formalization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Mind and understanding</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3–4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Evaluate a new machine-understanding claim using functionalism and a studied objection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Conscious experience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Reconstruct a changed knowledge/experience case and identify its epistemic and metaphysical premises separately</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12B</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Taste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2–3</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Compare Hume/Kant on a new disagreement in taste, preserving their different claims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Art classification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1 and 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Test a new work’s classification under a stated theory without assuming the verdict</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Categories and interpretation</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5 and case essay</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Analyze a new adequately documented work under two plausible categories and justify the difference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12C</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Pragmatist method</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1–2</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Apply a studied methodological claim to a new dispute without equating truth with convenience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Phenomenological method</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3–4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Interpret a fresh assigned passage and distinguish description, empirical hypothesis, and philosophical inference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Freedom and ethical inquiry</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5–6</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Compare a new responsibility/faith case with two assigned arguments and state what would count as an objection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12D</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Structural and relational justice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1–4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Compare two frameworks on a new well-specified case, with empirical assumptions marked</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Moral scope</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 5</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Evaluate a changed animal/environment case, preserving a disagreement rather than forcing consensus</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Idealization and method</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6 and essay</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Audit an unfamiliar argument for an assumption that hides a relevant institution or historical condition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pPr>
        <w:pStyle w:val="Heading3"/>
      </w:pPr>
      <w:r>
        <w:rPr>
          <w:color w:val="000000"/>
        </w:rPr>
        <w:t>Course 13</w:t>
      </w:r>
    </w:p>
    <w:tbl>
      <w:tblPr>
        <w:tblW w:type="auto" w:w="0"/>
        <w:jc w:val="center"/>
        <w:tblLayout w:type="fixed"/>
        <w:tblLook w:firstColumn="1" w:firstRow="1" w:lastColumn="0" w:lastRow="0" w:noHBand="0" w:noVBand="1" w:val="04A0"/>
      </w:tblPr>
      <w:tblGrid>
        <w:gridCol w:w="1728"/>
        <w:gridCol w:w="1656"/>
        <w:gridCol w:w="5760"/>
        <w:gridCol w:w="792"/>
      </w:tblGrid>
      <w:tr>
        <w:trPr>
          <w:tblHeader w:val="true"/>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Essential group</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Module evidence</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pPr>
            <w:r>
              <w:rPr>
                <w:b/>
                <w:color w:val="FFFFFF"/>
                <w:sz w:val="20"/>
              </w:rPr>
              <w:t>Independent fresh sample</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333333"/>
          </w:tcPr>
          <w:p>
            <w:pPr>
              <w:spacing w:after="0" w:line="252" w:lineRule="auto"/>
              <w:jc w:val="center"/>
            </w:pPr>
            <w:r>
              <w:rPr>
                <w:b/>
                <w:color w:val="FFFFFF"/>
                <w:sz w:val="20"/>
              </w:rPr>
              <w:t>Min</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Source evaluation and debate mapping</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Modules 2–4</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Assess an unfamiliar short abstract/introduction from a verified related paper; state what it can and cannot support</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Specialist interpretation and argument</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Modules 5–6 paper</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pPr>
            <w:r>
              <w:rPr>
                <w:b w:val="0"/>
                <w:color w:val="000000"/>
                <w:sz w:val="20"/>
              </w:rPr>
              <w:t>Defend a new objection during the unscripted exchange and justify one source/translation decision</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5F6"/>
          </w:tcPr>
          <w:p>
            <w:pPr>
              <w:spacing w:after="0" w:line="252" w:lineRule="auto"/>
              <w:jc w:val="center"/>
            </w:pPr>
            <w:r>
              <w:rPr>
                <w:b w:val="0"/>
                <w:color w:val="000000"/>
                <w:sz w:val="20"/>
              </w:rPr>
              <w:t>30</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Transfer</w:t>
            </w:r>
          </w:p>
        </w:tc>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Module 7 independent 800-word new-case analysis</w:t>
            </w:r>
          </w:p>
        </w:tc>
        <w:tc>
          <w:tcPr>
            <w:tcW w:type="dxa" w:w="57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pPr>
            <w:r>
              <w:rPr>
                <w:b w:val="0"/>
                <w:color w:val="000000"/>
                <w:sz w:val="20"/>
              </w:rPr>
              <w:t>In Module 8, complete a different delayed case in 250–350 words without live content help</w:t>
            </w:r>
          </w:p>
        </w:tc>
        <w:tc>
          <w:tcPr>
            <w:tcW w:type="dxa" w:w="7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b w:val="0"/>
                <w:color w:val="000000"/>
                <w:sz w:val="20"/>
              </w:rPr>
              <w:t>30</w:t>
            </w:r>
          </w:p>
        </w:tc>
      </w:tr>
    </w:tbl>
    <w:p>
      <w:pPr>
        <w:spacing w:after="60"/>
      </w:pPr>
    </w:p>
    <w:p>
      <w:r>
        <w:t>The Course 13 defense is the existing Module 7 task, not a second defense. Module 7’s already budgeted 800-word independent analysis is the first transfer occasion; Module 8’s thirty-minute delayed task uses a genuinely different case as the second. The abstract task also uses time already allocated to Module 8’s source/readiness audit. Do not count the same artifact as both occasions.</w:t>
      </w:r>
    </w:p>
    <w:p>
      <w:pPr>
        <w:pStyle w:val="Heading3"/>
      </w:pPr>
      <w:r>
        <w:rPr>
          <w:color w:val="000000"/>
        </w:rPr>
        <w:t>Course 14</w:t>
      </w:r>
    </w:p>
    <w:p>
      <w:r>
        <w:t>The capstone’s evidence grid is its milestone sequence rather than another exam. Question/method is demonstrated by proposal and trial section; source integrity by dossier and final citation audit; sustained reasoning by draft and independently written final paper; response/revision by the review plan, revised text, and unscripted defense; transfer by the final delayed new-case task. Record relevant sections and reviewer observations for each group. A missing group requires work on that milestone rather than a generic extra test. The 180 hours already include preparation, defense, source audit, and delayed synthesis. Any additional reading required by a changed question is logged explicitly rather than hidden in this estimate.</w:t>
      </w:r>
    </w:p>
    <w:p>
      <w:bookmarkStart w:id="19" w:name="section_19"/>
      <w:pPr>
        <w:pStyle w:val="Heading1"/>
        <w:pageBreakBefore/>
      </w:pPr>
      <w:r>
        <w:rPr>
          <w:color w:val="000000"/>
        </w:rPr>
        <w:t>Reading access and edition crosswalk</w:t>
      </w:r>
      <w:bookmarkEnd w:id="19"/>
    </w:p>
    <w:p>
      <w:r>
        <w:t>The curriculum specifies what to read; the existing study collection supplies many, but not all, of those readings. A catalogue record verifies that a publication exists. A readable copy establishes access. An older translation, partial anthology, modernized aid, and preferred scholarly edition are different things. The distinctions below are part of the plan, not optional fine print.</w:t>
      </w:r>
    </w:p>
    <w:p>
      <w:r>
        <w:t>Use the existing collection’s CAT identifiers to locate files in its index. No original collection files have been changed. Preserve notices and keep copyrighted study copies private. Online availability does not grant redistribution rights, and public-domain status can differ by jurisdiction. The plan does not require purchases, enrollment, account creation, or uploading your work.</w:t>
      </w:r>
    </w:p>
    <w:p>
      <w:pPr>
        <w:pStyle w:val="Heading2"/>
      </w:pPr>
      <w:r>
        <w:rPr>
          <w:color w:val="000000"/>
        </w:rPr>
        <w:t>How to acquire only what you need</w:t>
      </w:r>
    </w:p>
    <w:p>
      <w:r>
        <w:t>For the next course, search a local library catalogue by exact title, translator, and edition; check authorized electronic access; then ask about interlibrary loan or lawful chapter supply if eligible. Availability, fees, and loan duration vary. A borrowed anthology or collected edition can cover several assignments, but check the actual table of contents and passage extent before relying on it. A preview or catalogue listing is not the full reading.</w:t>
      </w:r>
    </w:p>
    <w:p>
      <w:r>
        <w:t>Obtain the next one or two modules’ sources before beginning them. There is no reason to buy a shelf of books now. The initial course can start with the existing collection and free guides. If an indispensable text cannot be obtained, pause that module or choose a fully specified available route; do not silently replace the argument with an AI summary. The tutor may propose a pedagogically defensible substitution, but it must be explicitly documented with revised tasks and outcomes rather than called the original assignment.</w:t>
      </w:r>
    </w:p>
    <w:p>
      <w:r>
        <w:t>The named scholarly edition is the default reference. Existing older full translations can support a first reading and may support assessed work when the relevant passage is clear and properly cited. Quote only the edition actually in hand. For a translation-sensitive dispute or a task depending on scholarly locators absent from the old copy, borrow the specified edition before that assessment. Compare translations when their difference affects the argument; do not make a modern edition a prestige requirement without a pedagogical reason.</w:t>
      </w:r>
    </w:p>
    <w:p>
      <w:pPr>
        <w:pStyle w:val="Heading2"/>
      </w:pPr>
      <w:r>
        <w:rPr>
          <w:color w:val="000000"/>
        </w:rPr>
        <w:t>Courses 1 and 2</w:t>
      </w:r>
    </w:p>
    <w:p>
      <w:r>
        <w:t xml:space="preserve">Course 1 is usable now. CAT-001 supplies complete Jowett translations of the three Plato dialogues, but the TXT/EPUB files do not print Stephanus numbers. The </w:t>
      </w:r>
      <w:hyperlink r:id="rId12">
        <w:r>
          <w:rPr>
            <w:color w:val="174A6B"/>
            <w:u w:val="single"/>
          </w:rPr>
          <w:t>Wabash marked Euthyphro copy</w:t>
        </w:r>
      </w:hyperlink>
      <w:r>
        <w:t xml:space="preserve"> supplies visible references: 2a on PDF page 1, 5d on page 4, and 8b on page 7. Use it for the opening sessions and cite the translation actually read; do not pretend the local files contain those markers. The </w:t>
      </w:r>
      <w:hyperlink r:id="rId13">
        <w:r>
          <w:rPr>
            <w:color w:val="174A6B"/>
            <w:u w:val="single"/>
          </w:rPr>
          <w:t>CHS Apology</w:t>
        </w:r>
      </w:hyperlink>
      <w:r>
        <w:t xml:space="preserve"> prints the required markers and identifies its adapted Jowett translation. The </w:t>
      </w:r>
      <w:hyperlink r:id="rId14">
        <w:r>
          <w:rPr>
            <w:color w:val="174A6B"/>
            <w:u w:val="single"/>
          </w:rPr>
          <w:t>MIT Meno</w:t>
        </w:r>
      </w:hyperlink>
      <w:r>
        <w:t xml:space="preserve"> identifies Lee Perlman as translator and prints bold Stephanus references: read main text from page 1 through section 86c beginning on page 34, stopping before 86d, then 97a on page 53 through the dialogue’s end on page 60. Footnotes are optional. These are separate named versions, not the identical text already in CAT-001. Read on the host sites and do not assume permission to redistribute modern adaptations. CAT-002 supplies Veitch’s complete Meditations, with Meditations I–II at printed pp. 79–94 of that edition; it does not print the AT crosswalk. CAT-003 contains Gettier’s complete English article in an authorized 2013 Disputatio republication, printed pp. 186–188 or PDF pp. 2–4; those are not the original Analysis pages. CAT-004 contains Singer’s complete 1972 article at original printed pp. 229–243 and does not include his later postscript. CAT-005 supplies Pryor’s guide. Retain the actual edition details in citations.</w:t>
      </w:r>
    </w:p>
    <w:p>
      <w:r>
        <w:t xml:space="preserve">OpenStax is available at </w:t>
      </w:r>
      <w:hyperlink r:id="rId47">
        <w:r>
          <w:rPr>
            <w:color w:val="174A6B"/>
            <w:u w:val="single"/>
          </w:rPr>
          <w:t>https://openstax.org/books/introduction-philosophy/pages/preface</w:t>
        </w:r>
      </w:hyperlink>
      <w:r>
        <w:t xml:space="preserve"> ; reading and writing sections are </w:t>
      </w:r>
      <w:hyperlink r:id="rId11">
        <w:r>
          <w:rPr>
            <w:color w:val="174A6B"/>
            <w:u w:val="single"/>
          </w:rPr>
          <w:t>https://openstax.org/books/introduction-philosophy/pages/2-5-reading-philosophy</w:t>
        </w:r>
      </w:hyperlink>
      <w:r>
        <w:t xml:space="preserve"> and </w:t>
      </w:r>
      <w:hyperlink r:id="rId67">
        <w:r>
          <w:rPr>
            <w:color w:val="174A6B"/>
            <w:u w:val="single"/>
          </w:rPr>
          <w:t>https://openstax.org/books/introduction-philosophy/pages/2-6-writing-philosophy-papers</w:t>
        </w:r>
      </w:hyperlink>
      <w:r>
        <w:t xml:space="preserve"> . The book is licensed CC BY-NC-SA 4.0. Pryor’s current guide is </w:t>
      </w:r>
      <w:hyperlink r:id="rId31">
        <w:r>
          <w:rPr>
            <w:color w:val="174A6B"/>
            <w:u w:val="single"/>
          </w:rPr>
          <w:t>https://www.jimpryor.net/teaching/guidelines/writing.html</w:t>
        </w:r>
      </w:hyperlink>
      <w:r>
        <w:t xml:space="preserve"> . Williams’ revision example is optional at </w:t>
      </w:r>
      <w:hyperlink r:id="rId32">
        <w:r>
          <w:rPr>
            <w:color w:val="174A6B"/>
            <w:u w:val="single"/>
          </w:rPr>
          <w:t>https://sites.williams.edu/philosophywritingtutor/</w:t>
        </w:r>
      </w:hyperlink>
      <w:r>
        <w:t xml:space="preserve"> . These public guides do not include personal university tutoring.</w:t>
      </w:r>
    </w:p>
    <w:p>
      <w:r>
        <w:t xml:space="preserve">Course 2 uses CAT-006, the pinned forall x Calgary Fall 2025 text and matching selected-solutions booklet. The official current text is </w:t>
      </w:r>
      <w:hyperlink r:id="rId45">
        <w:r>
          <w:rPr>
            <w:color w:val="174A6B"/>
            <w:u w:val="single"/>
          </w:rPr>
          <w:t>https://forallx.openlogicproject.org/html/</w:t>
        </w:r>
      </w:hyperlink>
      <w:r>
        <w:t xml:space="preserve"> and carries CC BY 4.0. Not every exercise has a published solution. Use the correct chapter boundaries: Parts I 1–3; II 4–8; III 9–15; IV 16–22; V 23–29; VI 30–35; VII 36–41. Carnap documentation is at </w:t>
      </w:r>
      <w:hyperlink r:id="rId46">
        <w:r>
          <w:rPr>
            <w:color w:val="174A6B"/>
            <w:u w:val="single"/>
          </w:rPr>
          <w:t>https://carnap.io/srv/doc/systems.md</w:t>
        </w:r>
      </w:hyperlink>
      <w:r>
        <w:t xml:space="preserve"> ; it is optional and must match the chosen calculus.</w:t>
      </w:r>
    </w:p>
    <w:p>
      <w:pPr>
        <w:pStyle w:val="Heading2"/>
      </w:pPr>
      <w:r>
        <w:rPr>
          <w:color w:val="000000"/>
        </w:rPr>
        <w:t>Courses 3 through 6</w:t>
      </w:r>
    </w:p>
    <w:p>
      <w:r>
        <w:t xml:space="preserve">Course 3: Plato, Aristotle, and Epicurus are in CAT-007–011 and CAT-092 as older complete or relevant reading copies. The existing Phaedo and Republic reading copies are complete but their Stephanus markers should not be assumed. Use the </w:t>
      </w:r>
      <w:hyperlink r:id="rId15">
        <w:r>
          <w:rPr>
            <w:color w:val="174A6B"/>
            <w:u w:val="single"/>
          </w:rPr>
          <w:t>marked Republic number 55201</w:t>
        </w:r>
      </w:hyperlink>
      <w:r>
        <w:t xml:space="preserve"> and the </w:t>
      </w:r>
      <w:hyperlink r:id="rId16">
        <w:r>
          <w:rPr>
            <w:color w:val="174A6B"/>
            <w:u w:val="single"/>
          </w:rPr>
          <w:t>marked CHS Phaedo</w:t>
        </w:r>
      </w:hyperlink>
      <w:r>
        <w:t xml:space="preserve"> for the exact ranges. In Phaedo, find [64a] and read through [69e], stopping before [70a]; then find [72e] and read through [84b], stopping before [84c]. The CHS text is Jowett adapted by Nagy, Carlisle, and Kim, not verbatim Jowett. The important gap is Sextus: CAT-012 is Mary Mills Patrick’s secondary study, not the primary Outlines. Borrow Julia Annas and Jonathan Barnes, Outlines of Scepticism, Cambridge 2000, and read I.1–30. For Epicurus, the existing Yonge translation in Diogenes Laertius X contains the complete letter; a modern scholarly translation is helpful for a contested wording. Long and Sedley’s sourcebook is not an automatic substitute for every whole assigned passage.</w:t>
      </w:r>
    </w:p>
    <w:p>
      <w:r>
        <w:t xml:space="preserve">Course 4: Augustine, Anselm/Gaunilo, and Aquinas have older reading copies in CAT-013–015. For the additional Aquinas articles, use the complete Part I Dominican Province translation, </w:t>
      </w:r>
      <w:hyperlink r:id="rId68">
        <w:r>
          <w:rPr>
            <w:color w:val="174A6B"/>
            <w:u w:val="single"/>
          </w:rPr>
          <w:t>https://www.gutenberg.org/ebooks/17611</w:t>
        </w:r>
      </w:hyperlink>
      <w:r>
        <w:t xml:space="preserve"> , rather than assume a local excerpt includes them. Borrow Khalidi’s Medieval Islamic Philosophical Writings, Cambridge 2005, for Avicenna pp. 27–58 and al-Ghazali pp. 59–98; these are complete anthology excerpts, not complete original works. The publisher’s contents are </w:t>
      </w:r>
      <w:hyperlink r:id="rId69">
        <w:r>
          <w:rPr>
            <w:color w:val="174A6B"/>
            <w:u w:val="single"/>
          </w:rPr>
          <w:t>https://assets.cambridge.org/97805218/22435/toc/9780521822435_toc.pdf</w:t>
        </w:r>
      </w:hyperlink>
      <w:r>
        <w:t xml:space="preserve"> . Borrow Pines’ Guide of the Perplexed for Maimonides I.50–60; publisher record: </w:t>
      </w:r>
      <w:hyperlink r:id="rId70">
        <w:r>
          <w:rPr>
            <w:color w:val="174A6B"/>
            <w:u w:val="single"/>
          </w:rPr>
          <w:t>https://press.uchicago.edu/ucp/books/book/chicago/G/bo251523761</w:t>
        </w:r>
      </w:hyperlink>
      <w:r>
        <w:t xml:space="preserve"> .</w:t>
      </w:r>
    </w:p>
    <w:p>
      <w:r>
        <w:t xml:space="preserve">Course 5: Descartes, Spinoza, Leibniz, Locke, Berkeley, and Hume have existing reading copies in CAT-016 and CAT-018–022. The correspondence in CAT-017/076 is Jonathan Bennett’s modernized aid, not Lisa Shapiro’s translation. Borrow Shapiro 2007 for the assigned letters and Cottingham/Stoothoff/Murdoch volume II when an AT-based quotation is required. Shapiro edition record: </w:t>
      </w:r>
      <w:hyperlink r:id="rId71">
        <w:r>
          <w:rPr>
            <w:color w:val="174A6B"/>
            <w:u w:val="single"/>
          </w:rPr>
          <w:t>https://www.bibliovault.org/BV.landing.epl?ISBN=9780226204420</w:t>
        </w:r>
      </w:hyperlink>
      <w:r>
        <w:t xml:space="preserve"> . The first-pass alternative must be labelled as an adaptation.</w:t>
      </w:r>
    </w:p>
    <w:p>
      <w:r>
        <w:t>Course 6: Aristotle, Kant, Mill, Hume, and Thomson are in CAT-031–033, CAT-035, and CAT-040, with translation/reprint qualifications. Ayer chapter VI is not supplied; borrow the second edition of Language, Truth and Logic. Use Van Norden’s complete Mengzi, Hackett 2008, for the exact 2A6 and 6A1–10 passages if the 2023 anthology does not contain the whole range. That same copy later supports the Chinese course and seminar.</w:t>
      </w:r>
    </w:p>
    <w:p>
      <w:pPr>
        <w:pStyle w:val="Heading2"/>
      </w:pPr>
      <w:r>
        <w:rPr>
          <w:color w:val="000000"/>
        </w:rPr>
        <w:t>Courses 7 through 10</w:t>
      </w:r>
    </w:p>
    <w:p>
      <w:r>
        <w:t xml:space="preserve">Course 7: Gettier, Goldman, Hume, Locke, Frankfurt, and van Inwagen have usable collection copies in CAT-052, CAT-054, CAT-022, CAT-020/062, and CAT-064–065. Borrow Brookes’ 1997 critical edition of Reid for VI.24; an Early Modern Texts adaptation is practice support, not the edition for an exact scholarly quote. Borrow Fricker’s Epistemic Injustice, chapter 1, from </w:t>
      </w:r>
      <w:hyperlink r:id="rId72">
        <w:r>
          <w:rPr>
            <w:color w:val="174A6B"/>
            <w:u w:val="single"/>
          </w:rPr>
          <w:t>https://academic.oup.com/book/32817</w:t>
        </w:r>
      </w:hyperlink>
      <w:r>
        <w:t xml:space="preserve"> or a library. SN 22.59 is openly readable in Sujato’s translation at </w:t>
      </w:r>
      <w:hyperlink r:id="rId19">
        <w:r>
          <w:rPr>
            <w:color w:val="174A6B"/>
            <w:u w:val="single"/>
          </w:rPr>
          <w:t>https://suttacentral.net/sn22.59/en/sujato</w:t>
        </w:r>
      </w:hyperlink>
      <w:r>
        <w:t xml:space="preserve"> ; its Bilara translation licence is recorded at </w:t>
      </w:r>
      <w:hyperlink r:id="rId73">
        <w:r>
          <w:rPr>
            <w:color w:val="174A6B"/>
            <w:u w:val="single"/>
          </w:rPr>
          <w:t>https://github.com/suttacentral/bilara-data/blob/published/LICENSE.md</w:t>
        </w:r>
      </w:hyperlink>
      <w:r>
        <w:t xml:space="preserve"> . Parfit’s 1971 article is a new assignment, not the missing Reasons and Persons book: journal identifier </w:t>
      </w:r>
      <w:hyperlink r:id="rId74">
        <w:r>
          <w:rPr>
            <w:color w:val="174A6B"/>
            <w:u w:val="single"/>
          </w:rPr>
          <w:t>https://doi.org/10.2307/2184309</w:t>
        </w:r>
      </w:hyperlink>
      <w:r>
        <w:t xml:space="preserve"> ; a university-hosted reading copy is </w:t>
      </w:r>
      <w:hyperlink r:id="rId75">
        <w:r>
          <w:rPr>
            <w:color w:val="174A6B"/>
            <w:u w:val="single"/>
          </w:rPr>
          <w:t>https://people.brandeis.edu/~teuber/Parfit_on_Identity.pdf</w:t>
        </w:r>
      </w:hyperlink>
      <w:r>
        <w:t xml:space="preserve"> . Retain its notices and original printed pp. 3–27.</w:t>
      </w:r>
    </w:p>
    <w:p>
      <w:r>
        <w:t xml:space="preserve">Course 8: Hobbes, Locke, Mill, Wollstonecraft, and Du Bois are present in CAT-041–046 as specified in the course. Borrow Rawls’s revised 1999 Theory of Justice, Nozick’s Anarchy State and Utopia, and Mills’s Racial Contract. The Rawls edition matters: </w:t>
      </w:r>
      <w:hyperlink r:id="rId76">
        <w:r>
          <w:rPr>
            <w:color w:val="174A6B"/>
            <w:u w:val="single"/>
          </w:rPr>
          <w:t>https://www.jstor.org/stable/j.ctvkjb25m</w:t>
        </w:r>
      </w:hyperlink>
      <w:r>
        <w:t xml:space="preserve"> identifies the revised edition, but a catalogue page is not a guarantee of your access. Mills record: </w:t>
      </w:r>
      <w:hyperlink r:id="rId77">
        <w:r>
          <w:rPr>
            <w:color w:val="174A6B"/>
            <w:u w:val="single"/>
          </w:rPr>
          <w:t>https://www.jstor.org/stable/10.7591/j.ctt5hh1wj</w:t>
        </w:r>
      </w:hyperlink>
      <w:r>
        <w:t xml:space="preserve"> . Request only the assigned sections when lawful library chapter supply is available.</w:t>
      </w:r>
    </w:p>
    <w:p>
      <w:r>
        <w:t xml:space="preserve">Course 9: Prolegomena, Hegel, Nietzsche, and an Engels-edited Theses on Feuerbach are in CAT-024, CAT-026, CAT-030, and CAT-028. The local Meiklejohn Critique lacks A/B page markers, so borrow Guyer/Wood or another clearly identified scholarly translation for the B Preface and Second Analogy. Marx’s Estranged Labour is an online reading, </w:t>
      </w:r>
      <w:hyperlink r:id="rId78">
        <w:r>
          <w:rPr>
            <w:color w:val="174A6B"/>
            <w:u w:val="single"/>
          </w:rPr>
          <w:t>https://www.marxists.org/archive/marx/works/1844/manuscripts/labour.htm</w:t>
        </w:r>
      </w:hyperlink>
      <w:r>
        <w:t xml:space="preserve"> ; name the translation actually used rather than silently citing the Penguin edition. The local Hegel uses Baillie; the course’s Miller translation is a separate loan if needed for close interpretive work.</w:t>
      </w:r>
    </w:p>
    <w:p>
      <w:r>
        <w:t xml:space="preserve">Course 10: Hume is already available. Hempel, Popper, Kuhn, van Fraassen, and Longino are additional library/e-book readings. The assigned chapter numbers and titles are finite; a library can search or supply them without acquiring whole works permanently. Kuhn’s fourth edition: </w:t>
      </w:r>
      <w:hyperlink r:id="rId79">
        <w:r>
          <w:rPr>
            <w:color w:val="174A6B"/>
            <w:u w:val="single"/>
          </w:rPr>
          <w:t>https://press.uchicago.edu/ucp/books/book/chicago/S/bo13179781.html</w:t>
        </w:r>
      </w:hyperlink>
      <w:r>
        <w:t xml:space="preserve"> . Longino: </w:t>
      </w:r>
      <w:hyperlink r:id="rId80">
        <w:r>
          <w:rPr>
            <w:color w:val="174A6B"/>
            <w:u w:val="single"/>
          </w:rPr>
          <w:t>https://www.jstor.org/stable/j.ctvx5wbfz</w:t>
        </w:r>
      </w:hyperlink>
      <w:r>
        <w:t xml:space="preserve"> ; chapter 4 is “Values and Objectivity,” pp. 62–82. Hempel’s chapter 2 is “Scientific Inquiry: Invention and Test”; chapter 5 is “Laws and Their Role in Scientific Explanation,” pp. 47–69. The scientific case is open: </w:t>
      </w:r>
      <w:hyperlink r:id="rId22">
        <w:r>
          <w:rPr>
            <w:color w:val="174A6B"/>
            <w:u w:val="single"/>
          </w:rPr>
          <w:t>https://www.ipcc.ch/report/ar6/syr/summary-for-policymakers/</w:t>
        </w:r>
      </w:hyperlink>
      <w:r>
        <w:t xml:space="preserve"> and </w:t>
      </w:r>
      <w:hyperlink r:id="rId81">
        <w:r>
          <w:rPr>
            <w:color w:val="174A6B"/>
            <w:u w:val="single"/>
          </w:rPr>
          <w:t>https://www.ipcc.ch/report/ar6/syr/downloads/report/IPCC_AR6_SYR_SPM.pdf</w:t>
        </w:r>
      </w:hyperlink>
      <w:r>
        <w:t xml:space="preserve"> . Read the Introduction with footnote 4, A.1, A.2, and Figure SPM.1. The short original-study pairing is Gillett and colleagues’ 2021 abstract at </w:t>
      </w:r>
      <w:hyperlink r:id="rId23">
        <w:r>
          <w:rPr>
            <w:color w:val="174A6B"/>
            <w:u w:val="single"/>
          </w:rPr>
          <w:t>https://www.nature.com/articles/s41558-020-00965-9</w:t>
        </w:r>
      </w:hyperlink>
      <w:r>
        <w:t xml:space="preserve"> ; only the abstract is required and openly displayed, while the full article may require library access. Do not infer a direct figure-source relationship without verification.</w:t>
      </w:r>
    </w:p>
    <w:p>
      <w:pPr>
        <w:pStyle w:val="Heading2"/>
      </w:pPr>
      <w:r>
        <w:rPr>
          <w:color w:val="000000"/>
        </w:rPr>
        <w:t>Course 11 options</w:t>
      </w:r>
    </w:p>
    <w:p>
      <w:r>
        <w:t xml:space="preserve">Chinese philosophy requires complete coverage of the assigned ranges, not merely a book that includes each author’s name. Default loans are Slingerland’s Analects, Hackett 2003, ISBN 9780872206359; Van Norden’s Mengzi, Hackett 2008, ISBN 9780872209138; Johnston’s complete Mozi, 2010, chapter 16; Ziporyn’s Essential Writings of Zhuangzi, Hackett 2009, which contains the complete Inner Chapters; and Hutton’s Complete Xunzi, Princeton 2014, chapters 1 and 23. In Hutton these are pp. 1–8 and 248–257. The 2023 Hackett anthology is a selection sourcebook; its actual copy must be checked before treating it as coverage of every locus. Publisher support: </w:t>
      </w:r>
      <w:hyperlink r:id="rId82">
        <w:r>
          <w:rPr>
            <w:color w:val="174A6B"/>
            <w:u w:val="single"/>
          </w:rPr>
          <w:t>https://hackettpublishing.com/rccp-support</w:t>
        </w:r>
      </w:hyperlink>
      <w:r>
        <w:t xml:space="preserve"> . Chinese Text Project can support comparison with older translations, but does not supply the named modern translations automatically.</w:t>
      </w:r>
    </w:p>
    <w:p>
      <w:r>
        <w:t xml:space="preserve">Africana philosophy: Du Bois’s complete Souls is available through the collection or </w:t>
      </w:r>
      <w:hyperlink r:id="rId83">
        <w:r>
          <w:rPr>
            <w:color w:val="174A6B"/>
            <w:u w:val="single"/>
          </w:rPr>
          <w:t>https://www.gutenberg.org/ebooks/408</w:t>
        </w:r>
      </w:hyperlink>
      <w:r>
        <w:t xml:space="preserve"> . Borrow Philcox’s 2008 Fanon, chapter 5, pp. 89–119; Wright’s African Philosophy An Introduction, third edition, 1984, for Wiredu’s “How Not to Compare” and Menkiti’s whole “Person and Community” essay; the 1992 Person and Community Ghanaian Philosophical Studies I for Gyekye, pp. 101–122; and Mills’s Racial Contract chapter 2. Wiredu is the whole Wright anthology essay, rather than a chapter in his 1980 book. Bibliographic references vary in their page ranges across versions: match the specified title and edition, read the entire essay, and cite the actual pages in your copy.</w:t>
      </w:r>
    </w:p>
    <w:p>
      <w:pPr>
        <w:pStyle w:val="Heading2"/>
      </w:pPr>
      <w:r>
        <w:rPr>
          <w:color w:val="000000"/>
        </w:rPr>
        <w:t>Course 12 options</w:t>
      </w:r>
    </w:p>
    <w:p>
      <w:r>
        <w:t xml:space="preserve">Mind and Language: Russell, Putnam, Turing, Searle’s main article, Nagel, and Jackson are in CAT-068, CAT-080–084. The Frege file CAT-067 is German only. Borrow the specified English translation in Geach/Black, pp. 56–78, and identify whether the title renders Bedeutung as “reference” or “meaning.” Kripke Lecture I and Ryle chapter I are missing and require loans; a 2009 Ryle anniversary edition includes later commentary that is not the assigned original chapter. Ryle publisher: </w:t>
      </w:r>
      <w:hyperlink r:id="rId84">
        <w:r>
          <w:rPr>
            <w:color w:val="174A6B"/>
            <w:u w:val="single"/>
          </w:rPr>
          <w:t>https://www.routledge.com/The-Concept-of-Mind-60th-Anniversary-Edition/Ryle/p/book/9780415485470</w:t>
        </w:r>
      </w:hyperlink>
      <w:r>
        <w:t xml:space="preserve"> .</w:t>
      </w:r>
    </w:p>
    <w:p>
      <w:r>
        <w:t xml:space="preserve">Aesthetics: Hume, Kant, Weitz, Danto, Walton, and Plato have collection reading routes. Danto’s CAT-090 is a later publisher sample containing the article, not the 1964 journal issue; use the article’s actual printed pagination and confirm the final paragraph before citing a complete reading. The work is “The Artworld,” Journal of Philosophy 61, 1964, pp. 571–584, </w:t>
      </w:r>
      <w:hyperlink r:id="rId85">
        <w:r>
          <w:rPr>
            <w:color w:val="174A6B"/>
            <w:u w:val="single"/>
          </w:rPr>
          <w:t>https://www.jstor.org/stable/2022937</w:t>
        </w:r>
      </w:hyperlink>
      <w:r>
        <w:t xml:space="preserve"> .</w:t>
      </w:r>
    </w:p>
    <w:p>
      <w:r>
        <w:t xml:space="preserve">Pragmatism Phenomenology and Existential Inquiry: the named James, Dewey, Husserl, Merleau-Ponty, Sartre, and Beauvoir texts are not supplied by the old ninety-two-row collection. Use library or verified lawful full-text routes for the exact readings. Kierkegaard’s collected Hollander anthology does not contain Problema I. A complete route is Jech’s 2024 Fear and Trembling, </w:t>
      </w:r>
      <w:hyperlink r:id="rId86">
        <w:r>
          <w:rPr>
            <w:color w:val="174A6B"/>
            <w:u w:val="single"/>
          </w:rPr>
          <w:t>https://hackettpublishing.com/new-forthcoming/new-in-philosophy/fear-and-trembling</w:t>
        </w:r>
      </w:hyperlink>
      <w:r>
        <w:t xml:space="preserve"> . Borrow before starting this option; a partial selection is not completion of the assignment.</w:t>
      </w:r>
    </w:p>
    <w:p>
      <w:r>
        <w:t xml:space="preserve">Social Philosophy: borrow the specified Okin, hooks, Young, Singer, and Leopold chapters/essays. Anderson’s article has journal record </w:t>
      </w:r>
      <w:hyperlink r:id="rId87">
        <w:r>
          <w:rPr>
            <w:color w:val="174A6B"/>
            <w:u w:val="single"/>
          </w:rPr>
          <w:t>https://www.journals.uchicago.edu/doi/10.1086/233897</w:t>
        </w:r>
      </w:hyperlink>
      <w:r>
        <w:t xml:space="preserve"> ; Mills’s “Ideal Theory as Ideology” is pp. 165–183, </w:t>
      </w:r>
      <w:hyperlink r:id="rId88">
        <w:r>
          <w:rPr>
            <w:color w:val="174A6B"/>
            <w:u w:val="single"/>
          </w:rPr>
          <w:t>https://onlinelibrary.wiley.com/doi/10.1111/j.1527-2001.2005.tb00493.x</w:t>
        </w:r>
      </w:hyperlink>
      <w:r>
        <w:t xml:space="preserve"> . Library access or lawful article supply is needed where a full authorized reading copy is unavailable.</w:t>
      </w:r>
    </w:p>
    <w:p>
      <w:pPr>
        <w:pStyle w:val="Heading2"/>
      </w:pPr>
      <w:r>
        <w:rPr>
          <w:color w:val="000000"/>
        </w:rPr>
        <w:t>Advanced seminars and capstone</w:t>
      </w:r>
    </w:p>
    <w:p>
      <w:r>
        <w:t xml:space="preserve">AI packet: Bender and colleagues’ paper is identified by </w:t>
      </w:r>
      <w:hyperlink r:id="rId89">
        <w:r>
          <w:rPr>
            <w:color w:val="174A6B"/>
            <w:u w:val="single"/>
          </w:rPr>
          <w:t>https://doi.org/10.1145/3442188.3445922</w:t>
        </w:r>
      </w:hyperlink>
      <w:r>
        <w:t xml:space="preserve"> ; use its authorized publisher/author reading route. Chalmers’s selected version is the 9 August 2023 Boston Review essay, </w:t>
      </w:r>
      <w:hyperlink r:id="rId90">
        <w:r>
          <w:rPr>
            <w:color w:val="174A6B"/>
            <w:u w:val="single"/>
          </w:rPr>
          <w:t>https://www.bostonreview.net/articles/could-a-large-language-model-be-conscious/</w:t>
        </w:r>
      </w:hyperlink>
      <w:r>
        <w:t xml:space="preserve"> . The revised arXiv version is a different version and should be cited accordingly if substituted. Butlin and colleagues’ report is </w:t>
      </w:r>
      <w:hyperlink r:id="rId91">
        <w:r>
          <w:rPr>
            <w:color w:val="174A6B"/>
            <w:u w:val="single"/>
          </w:rPr>
          <w:t>https://arxiv.org/abs/2308.08708</w:t>
        </w:r>
      </w:hyperlink>
      <w:r>
        <w:t xml:space="preserve"> ; use the specified 2023 version and selected sections. Its indicator framework is provisional and does not make indicator satisfaction conclusive proof of consciousness.</w:t>
      </w:r>
    </w:p>
    <w:p>
      <w:r>
        <w:t xml:space="preserve">Comparative cultivation packet: the primary texts use the course’s complete translations. Van Norden’s author-maintained essays page links the 1992 paper, </w:t>
      </w:r>
      <w:hyperlink r:id="rId92">
        <w:r>
          <w:rPr>
            <w:color w:val="174A6B"/>
            <w:u w:val="single"/>
          </w:rPr>
          <w:t>https://www.bryanvannorden.com/-academic-essays</w:t>
        </w:r>
      </w:hyperlink>
      <w:r>
        <w:t xml:space="preserve"> . Soles’s article is </w:t>
      </w:r>
      <w:hyperlink r:id="rId93">
        <w:r>
          <w:rPr>
            <w:color w:val="174A6B"/>
            <w:u w:val="single"/>
          </w:rPr>
          <w:t>https://doi.org/10.1080/09552369908575494</w:t>
        </w:r>
      </w:hyperlink>
      <w:r>
        <w:t xml:space="preserve"> and may require a library loan. Winnie Sung’s “Mencius and Xunzi on Xing,” 2016, is an optional further perspective, with a lawful author-deposited draft at </w:t>
      </w:r>
      <w:hyperlink r:id="rId94">
        <w:r>
          <w:rPr>
            <w:color w:val="174A6B"/>
            <w:u w:val="single"/>
          </w:rPr>
          <w:t>https://dr.ntu.edu.sg/server/api/core/bitstreams/49559054-ea00-4f5f-90f2-65a72c2ef724/content</w:t>
        </w:r>
      </w:hyperlink>
      <w:r>
        <w:t xml:space="preserve"> . It does not silently replace the required debate pair.</w:t>
      </w:r>
    </w:p>
    <w:p>
      <w:r>
        <w:t xml:space="preserve">Social knowledge packet: Mills’s “White Ignorance” is pp. 13–38, </w:t>
      </w:r>
      <w:hyperlink r:id="rId95">
        <w:r>
          <w:rPr>
            <w:color w:val="174A6B"/>
            <w:u w:val="single"/>
          </w:rPr>
          <w:t>https://doi.org/10.1515/9780791480038-002</w:t>
        </w:r>
      </w:hyperlink>
      <w:r>
        <w:t xml:space="preserve"> . Borrow Fricker chapters 1 and 7; the assigned Young and Anderson readings recur from the area course. Dotson’s 2011 article is pp. 236–257, </w:t>
      </w:r>
      <w:hyperlink r:id="rId96">
        <w:r>
          <w:rPr>
            <w:color w:val="174A6B"/>
            <w:u w:val="single"/>
          </w:rPr>
          <w:t>https://doi.org/10.1111/j.1527-2001.2011.01177.x</w:t>
        </w:r>
      </w:hyperlink>
      <w:r>
        <w:t xml:space="preserve"> . Use library/authorized access; a publisher record alone is not a readable copy.</w:t>
      </w:r>
    </w:p>
    <w:p>
      <w:r>
        <w:t>Capstone access is question-dependent as part of research, not an unfinished syllabus. Its proposal gate requires a specific source dossier and actual access to every indispensable item before the question is approved. If the access plan fails, narrow or change the question transparently rather than improvise an unauthorized copy.</w:t>
      </w:r>
    </w:p>
    <w:p>
      <w:pPr>
        <w:pStyle w:val="Heading2"/>
      </w:pPr>
      <w:r>
        <w:rPr>
          <w:color w:val="000000"/>
        </w:rPr>
        <w:t>Bounded context guide access</w:t>
      </w:r>
    </w:p>
    <w:p>
      <w:r>
        <w:t xml:space="preserve">The required context guides are free scholarly reference entries, read only at the scope specified in their courses: IEP “Buddha,” </w:t>
      </w:r>
      <w:hyperlink r:id="rId20">
        <w:r>
          <w:rPr>
            <w:color w:val="174A6B"/>
            <w:u w:val="single"/>
          </w:rPr>
          <w:t>https://iep.utm.edu/buddha/</w:t>
        </w:r>
      </w:hyperlink>
      <w:r>
        <w:t xml:space="preserve"> ; SEP “Georg Wilhelm Friedrich Hegel,” </w:t>
      </w:r>
      <w:hyperlink r:id="rId21">
        <w:r>
          <w:rPr>
            <w:color w:val="174A6B"/>
            <w:u w:val="single"/>
          </w:rPr>
          <w:t>https://plato.stanford.edu/entries/hegel/</w:t>
        </w:r>
      </w:hyperlink>
      <w:r>
        <w:t xml:space="preserve"> ; and SEP “Frantz Fanon,” </w:t>
      </w:r>
      <w:hyperlink r:id="rId26">
        <w:r>
          <w:rPr>
            <w:color w:val="174A6B"/>
            <w:u w:val="single"/>
          </w:rPr>
          <w:t>https://plato.stanford.edu/entries/frantz-fanon/</w:t>
        </w:r>
      </w:hyperlink>
      <w:r>
        <w:t xml:space="preserve"> . Their headings and passage boundaries were checked on 30 September 2026. Chinese context uses only the named portions of </w:t>
      </w:r>
      <w:hyperlink r:id="rId24">
        <w:r>
          <w:rPr>
            <w:color w:val="174A6B"/>
            <w:u w:val="single"/>
          </w:rPr>
          <w:t>https://plato.stanford.edu/entries/ethics-chinese/</w:t>
        </w:r>
      </w:hyperlink>
      <w:r>
        <w:t xml:space="preserve"> and </w:t>
      </w:r>
      <w:hyperlink r:id="rId25">
        <w:r>
          <w:rPr>
            <w:color w:val="174A6B"/>
            <w:u w:val="single"/>
          </w:rPr>
          <w:t>https://plato.stanford.edu/entries/mencius/</w:t>
        </w:r>
      </w:hyperlink>
      <w:r>
        <w:t xml:space="preserve"> . They are secondary context, not replacement primary readings. Read them on their official sites and cite the version actually used.</w:t>
      </w:r>
    </w:p>
    <w:p>
      <w:pPr>
        <w:pStyle w:val="Heading2"/>
      </w:pPr>
      <w:r>
        <w:rPr>
          <w:color w:val="000000"/>
        </w:rPr>
        <w:t>Marked Republic starting points</w:t>
      </w:r>
    </w:p>
    <w:p>
      <w:r>
        <w:t>Use the green or marginal Stephanus references, not the red ordinary print-page numbers. Unless a session explicitly says to stop at the start of a marker, a range includes the complete endpoint section. These links open the assigned starts; stop after the named endpoint.</w:t>
      </w:r>
    </w:p>
    <w:p>
      <w:pPr>
        <w:ind w:left="331" w:hanging="230"/>
      </w:pPr>
      <w:r>
        <w:t xml:space="preserve">•  </w:t>
      </w:r>
      <w:r/>
      <w:hyperlink r:id="rId97">
        <w:r>
          <w:rPr>
            <w:color w:val="174A6B"/>
            <w:u w:val="single"/>
          </w:rPr>
          <w:t>Book I 327a–354c</w:t>
        </w:r>
      </w:hyperlink>
      <w:r/>
    </w:p>
    <w:p>
      <w:pPr>
        <w:ind w:left="331" w:hanging="230"/>
      </w:pPr>
      <w:r>
        <w:t xml:space="preserve">•  </w:t>
      </w:r>
      <w:r/>
      <w:hyperlink r:id="rId98">
        <w:r>
          <w:rPr>
            <w:color w:val="174A6B"/>
            <w:u w:val="single"/>
          </w:rPr>
          <w:t>Book II 357a–367e</w:t>
        </w:r>
      </w:hyperlink>
      <w:r/>
    </w:p>
    <w:p>
      <w:pPr>
        <w:ind w:left="331" w:hanging="230"/>
      </w:pPr>
      <w:r>
        <w:t xml:space="preserve">•  </w:t>
      </w:r>
      <w:r/>
      <w:hyperlink r:id="rId99">
        <w:r>
          <w:rPr>
            <w:color w:val="174A6B"/>
            <w:u w:val="single"/>
          </w:rPr>
          <w:t>Book IV 427d–445e</w:t>
        </w:r>
      </w:hyperlink>
      <w:r/>
    </w:p>
    <w:p>
      <w:pPr>
        <w:ind w:left="331" w:hanging="230"/>
      </w:pPr>
      <w:r>
        <w:t xml:space="preserve">•  </w:t>
      </w:r>
      <w:r/>
      <w:hyperlink r:id="rId100">
        <w:r>
          <w:rPr>
            <w:color w:val="174A6B"/>
            <w:u w:val="single"/>
          </w:rPr>
          <w:t>Book VI 509d–511e</w:t>
        </w:r>
      </w:hyperlink>
      <w:r/>
    </w:p>
    <w:p>
      <w:pPr>
        <w:ind w:left="331" w:hanging="230"/>
      </w:pPr>
      <w:r>
        <w:t xml:space="preserve">•  </w:t>
      </w:r>
      <w:r/>
      <w:hyperlink r:id="rId101">
        <w:r>
          <w:rPr>
            <w:color w:val="174A6B"/>
            <w:u w:val="single"/>
          </w:rPr>
          <w:t>Book VII 514a–521b</w:t>
        </w:r>
      </w:hyperlink>
      <w:r/>
    </w:p>
    <w:p>
      <w:pPr>
        <w:ind w:left="331" w:hanging="230"/>
      </w:pPr>
      <w:r>
        <w:t xml:space="preserve">•  </w:t>
      </w:r>
      <w:r/>
      <w:hyperlink r:id="rId102">
        <w:r>
          <w:rPr>
            <w:color w:val="174A6B"/>
            <w:u w:val="single"/>
          </w:rPr>
          <w:t>Book IX 577c–580c</w:t>
        </w:r>
      </w:hyperlink>
      <w:r/>
    </w:p>
    <w:p>
      <w:bookmarkStart w:id="20" w:name="section_20"/>
      <w:pPr>
        <w:pStyle w:val="Heading1"/>
        <w:pageBreakBefore/>
      </w:pPr>
      <w:r>
        <w:rPr>
          <w:color w:val="000000"/>
        </w:rPr>
        <w:t>Research and review record</w:t>
      </w:r>
      <w:bookmarkEnd w:id="20"/>
    </w:p>
    <w:p>
      <w:pPr>
        <w:pStyle w:val="Heading2"/>
      </w:pPr>
      <w:r>
        <w:rPr>
          <w:color w:val="000000"/>
        </w:rPr>
        <w:t>What was checked</w:t>
      </w:r>
    </w:p>
    <w:p>
      <w:r>
        <w:t>The curriculum was built from separate investigations of university requirements and actual syllabi, philosophy teaching and learning evidence, coverage/prerequisite alignment, and exact reading/edition/access requirements. Institutional facts, empirical findings, and local design choices were kept distinct. Eight programs supplied contrasting reference points; their names and requirements do not certify this plan.</w:t>
      </w:r>
    </w:p>
    <w:p>
      <w:r>
        <w:t>The draft then received two rounds of full-manuscript AI critique. The second round used fresh instances and checked the revised text, including every option, capstone, assessment grid, and access appendix. Issues were tracked and corrected; agreement among models was not used as a substitute for source evidence.</w:t>
      </w:r>
    </w:p>
    <w:p>
      <w:pPr>
        <w:pStyle w:val="Heading2"/>
      </w:pPr>
      <w:r>
        <w:rPr>
          <w:color w:val="000000"/>
        </w:rPr>
        <w:t>Models and roles</w:t>
      </w:r>
    </w:p>
    <w:p>
      <w:pPr>
        <w:ind w:left="331" w:hanging="230"/>
      </w:pPr>
      <w:r>
        <w:t xml:space="preserve">•  </w:t>
      </w:r>
      <w:r>
        <w:t>Institutional benchmark: gpt-6.1-sol</w:t>
      </w:r>
    </w:p>
    <w:p>
      <w:pPr>
        <w:ind w:left="331" w:hanging="230"/>
      </w:pPr>
      <w:r>
        <w:t xml:space="preserve">•  </w:t>
      </w:r>
      <w:r>
        <w:t>Teaching and assessment evidence: gpt-6-astra</w:t>
      </w:r>
    </w:p>
    <w:p>
      <w:pPr>
        <w:ind w:left="331" w:hanging="230"/>
      </w:pPr>
      <w:r>
        <w:t xml:space="preserve">•  </w:t>
      </w:r>
      <w:r>
        <w:t>Coverage and prerequisite audit: gpt-6-sol</w:t>
      </w:r>
    </w:p>
    <w:p>
      <w:pPr>
        <w:ind w:left="331" w:hanging="230"/>
      </w:pPr>
      <w:r>
        <w:t xml:space="preserve">•  </w:t>
      </w:r>
      <w:r>
        <w:t>Reading and access audit: gpt-6-luna</w:t>
      </w:r>
    </w:p>
    <w:p>
      <w:pPr>
        <w:ind w:left="331" w:hanging="230"/>
      </w:pPr>
      <w:r>
        <w:t xml:space="preserve">•  </w:t>
      </w:r>
      <w:r>
        <w:t>Synthesis and document construction: gpt-6-astra</w:t>
      </w:r>
    </w:p>
    <w:p>
      <w:pPr>
        <w:ind w:left="331" w:hanging="230"/>
      </w:pPr>
      <w:r>
        <w:t xml:space="preserve">•  </w:t>
      </w:r>
      <w:r>
        <w:t>First full critique round: gpt-6.1-sol on academic rigor and gpt-6-sol on learning design</w:t>
      </w:r>
    </w:p>
    <w:p>
      <w:pPr>
        <w:ind w:left="331" w:hanging="230"/>
      </w:pPr>
      <w:r>
        <w:t xml:space="preserve">•  </w:t>
      </w:r>
      <w:r>
        <w:t>Second full critique round: fresh gpt-6-astra on academic alignment and fresh gpt-6.1-sol on execution and consistency</w:t>
      </w:r>
    </w:p>
    <w:p>
      <w:r>
        <w:t>These were AI research and review passes, not independent faculty assessment. Shared training data and shared source errors can produce correlated mistakes.</w:t>
      </w:r>
    </w:p>
    <w:p>
      <w:pPr>
        <w:pStyle w:val="Heading2"/>
      </w:pPr>
      <w:r>
        <w:rPr>
          <w:color w:val="000000"/>
        </w:rPr>
        <w:t>Changes produced by review</w:t>
      </w:r>
    </w:p>
    <w:p>
      <w:pPr>
        <w:ind w:left="331" w:hanging="230"/>
      </w:pPr>
      <w:r>
        <w:t xml:space="preserve">•  </w:t>
      </w:r>
      <w:r>
        <w:t>Corrected an OpenStax historical-context locator, aligned the first sessions with the actual reading/argument sections, and supplied marked Plato copies so the assigned excerpts can actually be located</w:t>
      </w:r>
    </w:p>
    <w:p>
      <w:pPr>
        <w:ind w:left="331" w:hanging="230"/>
      </w:pPr>
      <w:r>
        <w:t xml:space="preserve">•  </w:t>
      </w:r>
      <w:r>
        <w:t>Added the missing original-study excerpt and uncertainty note to the science case, with limits on abstract-only analysis</w:t>
      </w:r>
    </w:p>
    <w:p>
      <w:pPr>
        <w:ind w:left="331" w:hanging="230"/>
      </w:pPr>
      <w:r>
        <w:t xml:space="preserve">•  </w:t>
      </w:r>
      <w:r>
        <w:t>Made the six compatible elective pairs explicit and counted extra prerequisites for two broader routes</w:t>
      </w:r>
    </w:p>
    <w:p>
      <w:pPr>
        <w:ind w:left="331" w:hanging="230"/>
      </w:pPr>
      <w:r>
        <w:t xml:space="preserve">•  </w:t>
      </w:r>
      <w:r>
        <w:t>Replaced unnamed Buddhist, Hegel, Fanon, and Chinese context readings with finite, verified sections</w:t>
      </w:r>
    </w:p>
    <w:p>
      <w:pPr>
        <w:ind w:left="331" w:hanging="230"/>
      </w:pPr>
      <w:r>
        <w:t xml:space="preserve">•  </w:t>
      </w:r>
      <w:r>
        <w:t>Added the primary Xunzi chapter needed to check a specialist interpretation</w:t>
      </w:r>
    </w:p>
    <w:p>
      <w:pPr>
        <w:ind w:left="331" w:hanging="230"/>
      </w:pPr>
      <w:r>
        <w:t xml:space="preserve">•  </w:t>
      </w:r>
      <w:r>
        <w:t>Mapped each course’s essential outcomes to module evidence, independent tasks, permitted aids, and counted assessment minutes</w:t>
      </w:r>
    </w:p>
    <w:p>
      <w:pPr>
        <w:ind w:left="331" w:hanging="230"/>
      </w:pPr>
      <w:r>
        <w:t xml:space="preserve">•  </w:t>
      </w:r>
      <w:r>
        <w:t>Reconciled the first six hours with the course modules and prevented delayed review from deleting or double-counting later work</w:t>
      </w:r>
    </w:p>
    <w:p>
      <w:pPr>
        <w:ind w:left="331" w:hanging="230"/>
      </w:pPr>
      <w:r>
        <w:t xml:space="preserve">•  </w:t>
      </w:r>
      <w:r>
        <w:t>Expanded the advanced seminar’s analysis time, clarified capstone source reuse, and made translation assessment’s limits explicit</w:t>
      </w:r>
    </w:p>
    <w:p>
      <w:pPr>
        <w:ind w:left="331" w:hanging="230"/>
      </w:pPr>
      <w:r>
        <w:t xml:space="preserve">•  </w:t>
      </w:r>
      <w:r>
        <w:t>Distinguished complete texts, older translations, adaptations, partial anthologies, online copies, and library requirements</w:t>
      </w:r>
    </w:p>
    <w:p>
      <w:pPr>
        <w:ind w:left="331" w:hanging="230"/>
      </w:pPr>
      <w:r>
        <w:t xml:space="preserve">•  </w:t>
      </w:r>
      <w:r>
        <w:t>Corrected duplicate transfer evidence and made the portfolio requirement fit both Chinese and Africana routes</w:t>
      </w:r>
    </w:p>
    <w:p>
      <w:pPr>
        <w:pStyle w:val="Heading2"/>
      </w:pPr>
      <w:r>
        <w:rPr>
          <w:color w:val="000000"/>
        </w:rPr>
        <w:t>Limits that remain</w:t>
      </w:r>
    </w:p>
    <w:p>
      <w:r>
        <w:t>No learner pilot or external faculty assessment has been conducted. Hours are adjustable planning estimates; matching them does not establish equivalence to a university course. Some required modern editions must be borrowed or otherwise obtained legally; their catalogue records are not proof that the learner currently has access. Bibliographic and representative passage checks do not amount to a page-by-page scholarly edition audit of every assigned book. Source access and current debates should be rechecked when later courses begin. AI feedback and this review process cannot award credits or validate a degree-level claim.</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8"/>
      </w:rPr>
      <w:t>Philosophy study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stax.org/books/introduction-philosophy/pages/2-5-reading-philosophy" TargetMode="External"/><Relationship Id="rId12" Type="http://schemas.openxmlformats.org/officeDocument/2006/relationships/hyperlink" Target="https://persweb.wabash.edu/facstaff/helmang/phi110-1516F/phi110-handouts/Euthyphro.pdf" TargetMode="External"/><Relationship Id="rId13" Type="http://schemas.openxmlformats.org/officeDocument/2006/relationships/hyperlink" Target="https://www-current.chs.harvard.edu/primary-source/plato-the-apology-of-socrates-sb/" TargetMode="External"/><Relationship Id="rId14" Type="http://schemas.openxmlformats.org/officeDocument/2006/relationships/hyperlink" Target="https://ocw.mit.edu/courses/es-113-ancient-greek-philosophy-and-mathematics-spring-2016/dacf28712c74d94ae88a474376a61cf0_MITES_113S16_Meno.pdf" TargetMode="External"/><Relationship Id="rId15" Type="http://schemas.openxmlformats.org/officeDocument/2006/relationships/hyperlink" Target="https://www.gutenberg.org/files/55201/55201-h/55201-h.htm" TargetMode="External"/><Relationship Id="rId16" Type="http://schemas.openxmlformats.org/officeDocument/2006/relationships/hyperlink" Target="https://www-current.chs.harvard.edu/primary-source/plato-phaedo-sb/" TargetMode="External"/><Relationship Id="rId17" Type="http://schemas.openxmlformats.org/officeDocument/2006/relationships/hyperlink" Target="https://openstax.org/books/introduction-philosophy/pages/4-2-classical-philosophy" TargetMode="External"/><Relationship Id="rId18" Type="http://schemas.openxmlformats.org/officeDocument/2006/relationships/hyperlink" Target="https://classics.mit.edu/Aristotle/metaphysics.1.i.html" TargetMode="External"/><Relationship Id="rId19" Type="http://schemas.openxmlformats.org/officeDocument/2006/relationships/hyperlink" Target="https://suttacentral.net/sn22.59/en/sujato" TargetMode="External"/><Relationship Id="rId20" Type="http://schemas.openxmlformats.org/officeDocument/2006/relationships/hyperlink" Target="https://iep.utm.edu/buddha/" TargetMode="External"/><Relationship Id="rId21" Type="http://schemas.openxmlformats.org/officeDocument/2006/relationships/hyperlink" Target="https://plato.stanford.edu/entries/hegel/" TargetMode="External"/><Relationship Id="rId22" Type="http://schemas.openxmlformats.org/officeDocument/2006/relationships/hyperlink" Target="https://www.ipcc.ch/report/ar6/syr/summary-for-policymakers/" TargetMode="External"/><Relationship Id="rId23" Type="http://schemas.openxmlformats.org/officeDocument/2006/relationships/hyperlink" Target="https://www.nature.com/articles/s41558-020-00965-9" TargetMode="External"/><Relationship Id="rId24" Type="http://schemas.openxmlformats.org/officeDocument/2006/relationships/hyperlink" Target="https://plato.stanford.edu/entries/ethics-chinese/" TargetMode="External"/><Relationship Id="rId25" Type="http://schemas.openxmlformats.org/officeDocument/2006/relationships/hyperlink" Target="https://plato.stanford.edu/entries/mencius/" TargetMode="External"/><Relationship Id="rId26" Type="http://schemas.openxmlformats.org/officeDocument/2006/relationships/hyperlink" Target="https://plato.stanford.edu/entries/frantz-fanon/" TargetMode="External"/><Relationship Id="rId27" Type="http://schemas.openxmlformats.org/officeDocument/2006/relationships/hyperlink" Target="https://www.apaonline.org/page/outcomes" TargetMode="External"/><Relationship Id="rId28" Type="http://schemas.openxmlformats.org/officeDocument/2006/relationships/hyperlink" Target="https://www.apaonline.org/page/major" TargetMode="External"/><Relationship Id="rId29" Type="http://schemas.openxmlformats.org/officeDocument/2006/relationships/hyperlink" Target="https://www.ucl.ac.uk/arts-humanities/philosophy/current-students/marking-criteria" TargetMode="External"/><Relationship Id="rId30" Type="http://schemas.openxmlformats.org/officeDocument/2006/relationships/hyperlink" Target="https://www.jimpryor.net/teaching/guidelines/reading.html" TargetMode="External"/><Relationship Id="rId31" Type="http://schemas.openxmlformats.org/officeDocument/2006/relationships/hyperlink" Target="https://www.jimpryor.net/teaching/guidelines/writing.html" TargetMode="External"/><Relationship Id="rId32" Type="http://schemas.openxmlformats.org/officeDocument/2006/relationships/hyperlink" Target="https://sites.williams.edu/philosophywritingtutor/" TargetMode="External"/><Relationship Id="rId33" Type="http://schemas.openxmlformats.org/officeDocument/2006/relationships/hyperlink" Target="https://www.nature.com/articles/s41539-018-0038-5" TargetMode="External"/><Relationship Id="rId34" Type="http://schemas.openxmlformats.org/officeDocument/2006/relationships/hyperlink" Target="https://doi.org/10.1126/science.1199327" TargetMode="External"/><Relationship Id="rId35" Type="http://schemas.openxmlformats.org/officeDocument/2006/relationships/hyperlink" Target="https://doi.org/10.1111/j.1467-9280.2008.02209.x" TargetMode="External"/><Relationship Id="rId36" Type="http://schemas.openxmlformats.org/officeDocument/2006/relationships/hyperlink" Target="https://doi.org/10.1080/00220970209599510" TargetMode="External"/><Relationship Id="rId37" Type="http://schemas.openxmlformats.org/officeDocument/2006/relationships/hyperlink" Target="https://doi.org/10.1016/j.learninstruc.2009.08.006" TargetMode="External"/><Relationship Id="rId38" Type="http://schemas.openxmlformats.org/officeDocument/2006/relationships/hyperlink" Target="https://doi.org/10.1073/pnas.2422633122" TargetMode="External"/><Relationship Id="rId39" Type="http://schemas.openxmlformats.org/officeDocument/2006/relationships/hyperlink" Target="https://www.nature.com/articles/s41598-025-97652-6" TargetMode="External"/><Relationship Id="rId40" Type="http://schemas.openxmlformats.org/officeDocument/2006/relationships/hyperlink" Target="https://www.apaonline.org/resource/resmgr/docs/Good_Practices_Guide_2020.pdf" TargetMode="External"/><Relationship Id="rId41" Type="http://schemas.openxmlformats.org/officeDocument/2006/relationships/hyperlink" Target="https://philosophy.ucsd.edu/_files/courses/24spring/PHIL%201%20Syllabus%20Spring%202024%20Harrell.pdf" TargetMode="External"/><Relationship Id="rId42" Type="http://schemas.openxmlformats.org/officeDocument/2006/relationships/hyperlink" Target="https://philosophy.ucsd.edu/_files/courses/25spring/McKenzie_Kerry_SP25_Phil%20145_Philosophy%20of%20Science.pdf" TargetMode="External"/><Relationship Id="rId43" Type="http://schemas.openxmlformats.org/officeDocument/2006/relationships/hyperlink" Target="https://ocw.mit.edu/courses/24-200-ancient-philosophy-fall-2004/pages/assignments/" TargetMode="External"/><Relationship Id="rId44" Type="http://schemas.openxmlformats.org/officeDocument/2006/relationships/hyperlink" Target="https://philosophy.berkeley.edu/courses/detail/1452" TargetMode="External"/><Relationship Id="rId45" Type="http://schemas.openxmlformats.org/officeDocument/2006/relationships/hyperlink" Target="https://forallx.openlogicproject.org/html/" TargetMode="External"/><Relationship Id="rId46" Type="http://schemas.openxmlformats.org/officeDocument/2006/relationships/hyperlink" Target="https://carnap.io/srv/doc/systems.md" TargetMode="External"/><Relationship Id="rId47" Type="http://schemas.openxmlformats.org/officeDocument/2006/relationships/hyperlink" Target="https://openstax.org/books/introduction-philosophy/pages/preface" TargetMode="External"/><Relationship Id="rId48" Type="http://schemas.openxmlformats.org/officeDocument/2006/relationships/hyperlink" Target="https://philosophy.fas.harvard.edu/department-writing-fellow" TargetMode="External"/><Relationship Id="rId49" Type="http://schemas.openxmlformats.org/officeDocument/2006/relationships/hyperlink" Target="https://philosophy.fas.harvard.edu/concentration" TargetMode="External"/><Relationship Id="rId50" Type="http://schemas.openxmlformats.org/officeDocument/2006/relationships/hyperlink" Target="https://philosophy.princeton.edu/undergraduate/major-requirements" TargetMode="External"/><Relationship Id="rId51" Type="http://schemas.openxmlformats.org/officeDocument/2006/relationships/hyperlink" Target="https://philosophy.princeton.edu/sites/g/files/toruqf2381/files/documents/Independent%20Work%20Guide_2026-2027_final8.6.pdf" TargetMode="External"/><Relationship Id="rId52" Type="http://schemas.openxmlformats.org/officeDocument/2006/relationships/hyperlink" Target="https://bulletin.stanford.edu/programs/PHILO-BA/program-policies-WgPxM" TargetMode="External"/><Relationship Id="rId53" Type="http://schemas.openxmlformats.org/officeDocument/2006/relationships/hyperlink" Target="https://catalog.yale.edu/ycps/subjects-of-instruction/philosophy/" TargetMode="External"/><Relationship Id="rId54" Type="http://schemas.openxmlformats.org/officeDocument/2006/relationships/hyperlink" Target="https://www.phil.cam.ac.uk/files/guide_to_courses_2026-27_2026_05_final5.pdf" TargetMode="External"/><Relationship Id="rId55" Type="http://schemas.openxmlformats.org/officeDocument/2006/relationships/hyperlink" Target="https://www.phil.cam.ac.uk/guide-college-supervisions" TargetMode="External"/><Relationship Id="rId56" Type="http://schemas.openxmlformats.org/officeDocument/2006/relationships/hyperlink" Target="https://www.ucl.ac.uk/prospective-students/undergraduate/degrees/philosophy-ba-2026" TargetMode="External"/><Relationship Id="rId57" Type="http://schemas.openxmlformats.org/officeDocument/2006/relationships/hyperlink" Target="https://www.ucl.ac.uk/arts-humanities/philosophy/current-students/ba-modules" TargetMode="External"/><Relationship Id="rId58" Type="http://schemas.openxmlformats.org/officeDocument/2006/relationships/hyperlink" Target="https://www.drps.ed.ac.uk/26-27/dpt/utphily.htm" TargetMode="External"/><Relationship Id="rId59" Type="http://schemas.openxmlformats.org/officeDocument/2006/relationships/hyperlink" Target="https://www.drps.ed.ac.uk/26-27/dpt/cxphil08004.htm" TargetMode="External"/><Relationship Id="rId60" Type="http://schemas.openxmlformats.org/officeDocument/2006/relationships/hyperlink" Target="https://www.drps.ed.ac.uk/26-27/dpt/cxphil10026.htm" TargetMode="External"/><Relationship Id="rId61" Type="http://schemas.openxmlformats.org/officeDocument/2006/relationships/hyperlink" Target="https://artsci.calendar.utoronto.ca/program/asspe0231" TargetMode="External"/><Relationship Id="rId62" Type="http://schemas.openxmlformats.org/officeDocument/2006/relationships/hyperlink" Target="https://artsci.calendar.utoronto.ca/program/asmaj0231" TargetMode="External"/><Relationship Id="rId63" Type="http://schemas.openxmlformats.org/officeDocument/2006/relationships/hyperlink" Target="https://bulletin.stanford.edu/academic-polices/courses/unit-of-credit" TargetMode="External"/><Relationship Id="rId64" Type="http://schemas.openxmlformats.org/officeDocument/2006/relationships/hyperlink" Target="https://www.ucl.ac.uk/study/sites/study/files/2026-08/chapter-7a-qualifications-and-credit-framework-2026-27.pdf" TargetMode="External"/><Relationship Id="rId65" Type="http://schemas.openxmlformats.org/officeDocument/2006/relationships/hyperlink" Target="https://www.qaa.ac.uk/docs/qaa/sbs/subject-benchmark-statement-philosophy-2025.pdf" TargetMode="External"/><Relationship Id="rId66" Type="http://schemas.openxmlformats.org/officeDocument/2006/relationships/hyperlink" Target="https://sberker.scholars.harvard.edu/sites/g/files/omnuum4776/files/2025-12/phil169-2024-syllabus.pdf" TargetMode="External"/><Relationship Id="rId67" Type="http://schemas.openxmlformats.org/officeDocument/2006/relationships/hyperlink" Target="https://openstax.org/books/introduction-philosophy/pages/2-6-writing-philosophy-papers" TargetMode="External"/><Relationship Id="rId68" Type="http://schemas.openxmlformats.org/officeDocument/2006/relationships/hyperlink" Target="https://www.gutenberg.org/ebooks/17611" TargetMode="External"/><Relationship Id="rId69" Type="http://schemas.openxmlformats.org/officeDocument/2006/relationships/hyperlink" Target="https://assets.cambridge.org/97805218/22435/toc/9780521822435_toc.pdf" TargetMode="External"/><Relationship Id="rId70" Type="http://schemas.openxmlformats.org/officeDocument/2006/relationships/hyperlink" Target="https://press.uchicago.edu/ucp/books/book/chicago/G/bo251523761" TargetMode="External"/><Relationship Id="rId71" Type="http://schemas.openxmlformats.org/officeDocument/2006/relationships/hyperlink" Target="https://www.bibliovault.org/BV.landing.epl?ISBN=9780226204420" TargetMode="External"/><Relationship Id="rId72" Type="http://schemas.openxmlformats.org/officeDocument/2006/relationships/hyperlink" Target="https://academic.oup.com/book/32817" TargetMode="External"/><Relationship Id="rId73" Type="http://schemas.openxmlformats.org/officeDocument/2006/relationships/hyperlink" Target="https://github.com/suttacentral/bilara-data/blob/published/LICENSE.md" TargetMode="External"/><Relationship Id="rId74" Type="http://schemas.openxmlformats.org/officeDocument/2006/relationships/hyperlink" Target="https://doi.org/10.2307/2184309" TargetMode="External"/><Relationship Id="rId75" Type="http://schemas.openxmlformats.org/officeDocument/2006/relationships/hyperlink" Target="https://people.brandeis.edu/~teuber/Parfit_on_Identity.pdf" TargetMode="External"/><Relationship Id="rId76" Type="http://schemas.openxmlformats.org/officeDocument/2006/relationships/hyperlink" Target="https://www.jstor.org/stable/j.ctvkjb25m" TargetMode="External"/><Relationship Id="rId77" Type="http://schemas.openxmlformats.org/officeDocument/2006/relationships/hyperlink" Target="https://www.jstor.org/stable/10.7591/j.ctt5hh1wj" TargetMode="External"/><Relationship Id="rId78" Type="http://schemas.openxmlformats.org/officeDocument/2006/relationships/hyperlink" Target="https://www.marxists.org/archive/marx/works/1844/manuscripts/labour.htm" TargetMode="External"/><Relationship Id="rId79" Type="http://schemas.openxmlformats.org/officeDocument/2006/relationships/hyperlink" Target="https://press.uchicago.edu/ucp/books/book/chicago/S/bo13179781.html" TargetMode="External"/><Relationship Id="rId80" Type="http://schemas.openxmlformats.org/officeDocument/2006/relationships/hyperlink" Target="https://www.jstor.org/stable/j.ctvx5wbfz" TargetMode="External"/><Relationship Id="rId81" Type="http://schemas.openxmlformats.org/officeDocument/2006/relationships/hyperlink" Target="https://www.ipcc.ch/report/ar6/syr/downloads/report/IPCC_AR6_SYR_SPM.pdf" TargetMode="External"/><Relationship Id="rId82" Type="http://schemas.openxmlformats.org/officeDocument/2006/relationships/hyperlink" Target="https://hackettpublishing.com/rccp-support" TargetMode="External"/><Relationship Id="rId83" Type="http://schemas.openxmlformats.org/officeDocument/2006/relationships/hyperlink" Target="https://www.gutenberg.org/ebooks/408" TargetMode="External"/><Relationship Id="rId84" Type="http://schemas.openxmlformats.org/officeDocument/2006/relationships/hyperlink" Target="https://www.routledge.com/The-Concept-of-Mind-60th-Anniversary-Edition/Ryle/p/book/9780415485470" TargetMode="External"/><Relationship Id="rId85" Type="http://schemas.openxmlformats.org/officeDocument/2006/relationships/hyperlink" Target="https://www.jstor.org/stable/2022937" TargetMode="External"/><Relationship Id="rId86" Type="http://schemas.openxmlformats.org/officeDocument/2006/relationships/hyperlink" Target="https://hackettpublishing.com/new-forthcoming/new-in-philosophy/fear-and-trembling" TargetMode="External"/><Relationship Id="rId87" Type="http://schemas.openxmlformats.org/officeDocument/2006/relationships/hyperlink" Target="https://www.journals.uchicago.edu/doi/10.1086/233897" TargetMode="External"/><Relationship Id="rId88" Type="http://schemas.openxmlformats.org/officeDocument/2006/relationships/hyperlink" Target="https://onlinelibrary.wiley.com/doi/10.1111/j.1527-2001.2005.tb00493.x" TargetMode="External"/><Relationship Id="rId89" Type="http://schemas.openxmlformats.org/officeDocument/2006/relationships/hyperlink" Target="https://doi.org/10.1145/3442188.3445922" TargetMode="External"/><Relationship Id="rId90" Type="http://schemas.openxmlformats.org/officeDocument/2006/relationships/hyperlink" Target="https://www.bostonreview.net/articles/could-a-large-language-model-be-conscious/" TargetMode="External"/><Relationship Id="rId91" Type="http://schemas.openxmlformats.org/officeDocument/2006/relationships/hyperlink" Target="https://arxiv.org/abs/2308.08708" TargetMode="External"/><Relationship Id="rId92" Type="http://schemas.openxmlformats.org/officeDocument/2006/relationships/hyperlink" Target="https://www.bryanvannorden.com/-academic-essays" TargetMode="External"/><Relationship Id="rId93" Type="http://schemas.openxmlformats.org/officeDocument/2006/relationships/hyperlink" Target="https://doi.org/10.1080/09552369908575494" TargetMode="External"/><Relationship Id="rId94" Type="http://schemas.openxmlformats.org/officeDocument/2006/relationships/hyperlink" Target="https://dr.ntu.edu.sg/server/api/core/bitstreams/49559054-ea00-4f5f-90f2-65a72c2ef724/content" TargetMode="External"/><Relationship Id="rId95" Type="http://schemas.openxmlformats.org/officeDocument/2006/relationships/hyperlink" Target="https://doi.org/10.1515/9780791480038-002" TargetMode="External"/><Relationship Id="rId96" Type="http://schemas.openxmlformats.org/officeDocument/2006/relationships/hyperlink" Target="https://doi.org/10.1111/j.1527-2001.2011.01177.x" TargetMode="External"/><Relationship Id="rId97" Type="http://schemas.openxmlformats.org/officeDocument/2006/relationships/hyperlink" Target="https://www.gutenberg.org/files/55201/55201-h/55201-h.htm#stpage327A" TargetMode="External"/><Relationship Id="rId98" Type="http://schemas.openxmlformats.org/officeDocument/2006/relationships/hyperlink" Target="https://www.gutenberg.org/files/55201/55201-h/55201-h.htm#stpage357A" TargetMode="External"/><Relationship Id="rId99" Type="http://schemas.openxmlformats.org/officeDocument/2006/relationships/hyperlink" Target="https://www.gutenberg.org/files/55201/55201-h/55201-h.htm#stpage427D" TargetMode="External"/><Relationship Id="rId100" Type="http://schemas.openxmlformats.org/officeDocument/2006/relationships/hyperlink" Target="https://www.gutenberg.org/files/55201/55201-h/55201-h.htm#stpage509D" TargetMode="External"/><Relationship Id="rId101" Type="http://schemas.openxmlformats.org/officeDocument/2006/relationships/hyperlink" Target="https://www.gutenberg.org/files/55201/55201-h/55201-h.htm#stpage514A" TargetMode="External"/><Relationship Id="rId102" Type="http://schemas.openxmlformats.org/officeDocument/2006/relationships/hyperlink" Target="https://www.gutenberg.org/files/55201/55201-h/55201-h.htm#stpage57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Complete Program of Philosophical Study</dc:title>
  <dc:subject>A complete university informed self study curriculum</dc:subject>
  <dc:creator>dot</dc:creator>
  <cp:keywords>philosophy, curriculum, self study</cp:keywords>
  <dc:description>generated by python-docx</dc:description>
  <cp:lastModifiedBy/>
  <cp:revision>1</cp:revision>
  <dcterms:created xsi:type="dcterms:W3CDTF">2013-12-23T23:15:00Z</dcterms:created>
  <dcterms:modified xsi:type="dcterms:W3CDTF">2013-12-23T23:15:00Z</dcterms:modified>
  <cp:category/>
</cp:coreProperties>
</file>