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X"/>
      </w:pPr>
      <w:r>
        <w:t xml:space="preserve"> Seções 1, 2 e 3 — fechamento</w:t>
      </w:r>
    </w:p>
    <w:p>
      <w:pPr>
        <w:pStyle w:val="SubtitleX"/>
      </w:pPr>
      <w:r>
        <w:t xml:space="preserve"> Avaliação da v2 de 24/09, correções necessárias e texto revisado</w:t>
      </w:r>
    </w:p>
    <w:p>
      <w:pPr>
        <w:pStyle w:val="Heading1"/>
      </w:pPr>
      <w:r>
        <w:t xml:space="preserve">1. O que mudou nesta versão</w:t>
      </w:r>
    </w:p>
    <w:p>
      <w:r>
        <w:t xml:space="preserve">A equipe implementou o essencial do giro terminológico. Balanço: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4564"/>
        <w:gridCol w:w="4506"/>
      </w:tblGrid>
      <w:tr>
        <w:trPr>
          <w:tblHeader/>
        </w:trPr>
        <w:tc>
          <w:tcPr>
            <w:tcW w:w="4564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Ponto</w:t>
            </w:r>
          </w:p>
        </w:tc>
        <w:tc>
          <w:tcPr>
            <w:tcW w:w="4506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w="45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Título 1.4.1 → "As Múltiplas Dimensões da Segurança na Amazônia"</w:t>
            </w:r>
          </w:p>
        </w:tc>
        <w:tc>
          <w:tcPr>
            <w:tcW w:w="4506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feito</w:t>
            </w:r>
          </w:p>
        </w:tc>
      </w:tr>
      <w:tr>
        <w:tc>
          <w:tcPr>
            <w:tcW w:w="45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§202 reescrito, OEA removida, âncora teórica trocada</w:t>
            </w:r>
          </w:p>
        </w:tc>
        <w:tc>
          <w:tcPr>
            <w:tcW w:w="4506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feito, com nota pendente</w:t>
            </w:r>
          </w:p>
        </w:tc>
      </w:tr>
      <w:tr>
        <w:tc>
          <w:tcPr>
            <w:tcW w:w="45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Dois-pontos retirados dos títulos 1.4.2 e 1.4.3</w:t>
            </w:r>
          </w:p>
        </w:tc>
        <w:tc>
          <w:tcPr>
            <w:tcW w:w="4506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feito</w:t>
            </w:r>
          </w:p>
        </w:tc>
      </w:tr>
      <w:tr>
        <w:tc>
          <w:tcPr>
            <w:tcW w:w="45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Parágrafo do encadeamento soberania–segurança–sustentabilidade</w:t>
            </w:r>
          </w:p>
        </w:tc>
        <w:tc>
          <w:tcPr>
            <w:tcW w:w="4506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inserido, mas em posição que gera problema (ver 2.4)</w:t>
            </w:r>
          </w:p>
        </w:tc>
      </w:tr>
      <w:tr>
        <w:tc>
          <w:tcPr>
            <w:tcW w:w="45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Título 1.4.4 → "Atuação das Forças Armadas"</w:t>
            </w:r>
          </w:p>
        </w:tc>
        <w:tc>
          <w:tcPr>
            <w:tcW w:w="4506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provisório; comentário aberto com consenso já formado (ver 2.5)</w:t>
            </w:r>
          </w:p>
        </w:tc>
      </w:tr>
      <w:tr>
        <w:tc>
          <w:tcPr>
            <w:tcW w:w="45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Título seção 3 → "A convergência dos Desafios na Amazônia"</w:t>
            </w:r>
          </w:p>
        </w:tc>
        <w:tc>
          <w:tcPr>
            <w:tcW w:w="4506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feito; falta o caixa-alta</w:t>
            </w:r>
          </w:p>
        </w:tc>
      </w:tr>
      <w:tr>
        <w:tc>
          <w:tcPr>
            <w:tcW w:w="45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§261 e §276: termo substituído</w:t>
            </w:r>
          </w:p>
        </w:tc>
        <w:tc>
          <w:tcPr>
            <w:tcW w:w="4506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feito</w:t>
            </w:r>
          </w:p>
        </w:tc>
      </w:tr>
      <w:tr>
        <w:tc>
          <w:tcPr>
            <w:tcW w:w="45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Lacuna 2 e Recomendação 10 do Eixo 1</w:t>
            </w:r>
          </w:p>
        </w:tc>
        <w:tc>
          <w:tcPr>
            <w:tcW w:w="4506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feito, mas gerou redundância (ver 3)</w:t>
            </w:r>
          </w:p>
        </w:tc>
      </w:tr>
      <w:tr>
        <w:tc>
          <w:tcPr>
            <w:tcW w:w="45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Recomendação 9 renomeada</w:t>
            </w:r>
          </w:p>
        </w:tc>
        <w:tc>
          <w:tcPr>
            <w:tcW w:w="4506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feito</w:t>
            </w:r>
          </w:p>
        </w:tc>
      </w:tr>
      <w:tr>
        <w:tc>
          <w:tcPr>
            <w:tcW w:w="45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§667 da conclusão (o termo como "avanço")</w:t>
            </w:r>
          </w:p>
        </w:tc>
        <w:tc>
          <w:tcPr>
            <w:tcW w:w="4506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suprimido</w:t>
            </w:r>
          </w:p>
        </w:tc>
      </w:tr>
      <w:tr>
        <w:tc>
          <w:tcPr>
            <w:tcW w:w="45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Seção 2.1: dois parágrafos novos sobre PRODES e Conama</w:t>
            </w:r>
          </w:p>
        </w:tc>
        <w:tc>
          <w:tcPr>
            <w:tcW w:w="4506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inseridos, com quatro erros factuais (ver 3)</w:t>
            </w:r>
          </w:p>
        </w:tc>
      </w:tr>
      <w:tr>
        <w:tc>
          <w:tcPr>
            <w:tcW w:w="456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Sumário</w:t>
            </w:r>
          </w:p>
        </w:tc>
        <w:tc>
          <w:tcPr>
            <w:tcW w:w="4506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não atualizado</w:t>
            </w:r>
            <w:r>
              <w:rPr>
                <w:sz w:val="19"/>
                <w:szCs w:val="19"/>
              </w:rPr>
              <w:t xml:space="preserve"> — ainda exibe os títulos antigos</w:t>
            </w:r>
          </w:p>
        </w:tc>
      </w:tr>
    </w:tbl>
    <w:p>
      <w:pPr>
        <w:pStyle w:val="Tight"/>
      </w:pPr>
    </w:p>
    <w:p>
      <w:r>
        <w:t xml:space="preserve">O sumário é campo automático: no Google Docs, clicar no índice e no ícone de atualizar; no Word, Ctrl+A e F9. Enquanto não for atualizado, quem abrir o arquivo lê "1.4.1. Segurança Multidimensional" logo na segunda página.</w:t>
      </w:r>
    </w:p>
    <w:p>
      <w:pPr>
        <w:pStyle w:val="Heading1"/>
      </w:pPr>
      <w:r>
        <w:t xml:space="preserve">2. Seis pontos que precisam de decisão antes de fechar</w:t>
      </w:r>
    </w:p>
    <w:p>
      <w:pPr>
        <w:pStyle w:val="Heading2"/>
      </w:pPr>
      <w:r>
        <w:t xml:space="preserve">2.1. O parágrafo novo da seção 2.1 contradiz a Lacuna 6 do Eixo 1</w:t>
      </w:r>
    </w:p>
    <w:p>
      <w:r>
        <w:t xml:space="preserve">Este é o problema mais sério desta versão, porque desmonta uma lacuna e a recomendação correspondente.</w:t>
      </w:r>
    </w:p>
    <w:p>
      <w:r>
        <w:rPr>
          <w:b/>
        </w:rPr>
        <w:t xml:space="preserve">O que o §245 (seção 2.1) passou a dizer:</w:t>
      </w:r>
    </w:p>
    <w:p>
      <w:r>
        <w:t xml:space="preserve">"A trajetória de defesa também oscilou. Apesar de ter mantido continuidade operacional, </w:t>
      </w:r>
      <w:r>
        <w:rPr>
          <w:b/>
        </w:rPr>
        <w:t xml:space="preserve">com as Operações Ágata sendo realizadas anualmente desde 2011</w:t>
      </w:r>
      <w:r>
        <w:t xml:space="preserve">, a sua duração estende-se por poucas semanas a cada ano..."</w:t>
      </w:r>
    </w:p>
    <w:p>
      <w:r>
        <w:rPr>
          <w:b/>
        </w:rPr>
        <w:t xml:space="preserve">O que o Eixo 1 diz, duas seções adiante:</w:t>
      </w:r>
    </w:p>
    <w:p>
      <w:pPr>
        <w:pStyle w:val="Bullet"/>
      </w:pPr>
      <w:r>
        <w:t xml:space="preserve">• Título da Lacuna 6: "Fragilidade estratégica associada à </w:t>
      </w:r>
      <w:r>
        <w:rPr>
          <w:b/>
        </w:rPr>
        <w:t xml:space="preserve">intermitência</w:t>
      </w:r>
      <w:r>
        <w:t xml:space="preserve"> da Operação Ágata"</w:t>
      </w:r>
    </w:p>
    <w:p>
      <w:pPr>
        <w:pStyle w:val="Bullet"/>
      </w:pPr>
      <w:r>
        <w:t xml:space="preserve">• Corpo da Lacuna 6: "a Operação Ágata </w:t>
      </w:r>
      <w:r>
        <w:rPr>
          <w:b/>
        </w:rPr>
        <w:t xml:space="preserve">não conta com um calendário fixo, sendo definida caso a caso</w:t>
      </w:r>
      <w:r>
        <w:t xml:space="preserve">, conforme decisões políticas e a disponibilidade de recursos"</w:t>
      </w:r>
    </w:p>
    <w:p>
      <w:pPr>
        <w:pStyle w:val="Bullet"/>
      </w:pPr>
      <w:r>
        <w:t xml:space="preserve">• Recomendação 2: "O protocolo deve estabelecer </w:t>
      </w:r>
      <w:r>
        <w:rPr>
          <w:b/>
        </w:rPr>
        <w:t xml:space="preserve">periodicidade mínima obrigatória e um calendário definido</w:t>
      </w:r>
      <w:r>
        <w:t xml:space="preserve">"</w:t>
      </w:r>
    </w:p>
    <w:p>
      <w:r>
        <w:t xml:space="preserve">Se a Ágata é realizada anualmente desde 2011, não há intermitência a corrigir e a Recomendação 2 perde objeto. Um revisor externo encontra essa contradição em uma leitura.</w:t>
      </w:r>
    </w:p>
    <w:p>
      <w:r>
        <w:rPr>
          <w:b/>
        </w:rPr>
        <w:t xml:space="preserve">Correção sugerida para o trecho do §245:</w:t>
      </w:r>
    </w:p>
    <w:p>
      <w:r>
        <w:t xml:space="preserve">"A trajetória de defesa oscilou de outro modo. A Operação Ágata manteve-se como instrumento recorrente desde 2011, mas sem calendário fixo e com duração de poucas semanas a cada edição, período reduzido diante de redes criminosas que atuam de forma contínua sobre rotas e territórios da região; sua execução orçamentária, por sua vez, variou consideravelmente ao longo da última década."</w:t>
      </w:r>
    </w:p>
    <w:p>
      <w:r>
        <w:t xml:space="preserve">"Recorrente, mas sem calendário fixo" preserva o fato (a Ágata não parou) sem anular a lacuna.</w:t>
      </w:r>
    </w:p>
    <w:p>
      <w:pPr>
        <w:pStyle w:val="Heading2"/>
      </w:pPr>
      <w:r>
        <w:t xml:space="preserve">2.2. Os dados do §228: a atribuição de evento está errada em um dos três casos</w:t>
      </w:r>
    </w:p>
    <w:p>
      <w:r>
        <w:t xml:space="preserve">Este é o nó do thread de comentários 22 a 30. Fui às transcrições e o quadro é mais específico do que o debate no documento sugere: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2640"/>
        <w:gridCol w:w="3399"/>
        <w:gridCol w:w="3031"/>
      </w:tblGrid>
      <w:tr>
        <w:trPr>
          <w:tblHeader/>
        </w:trPr>
        <w:tc>
          <w:tcPr>
            <w:tcW w:w="2640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Dado no §228</w:t>
            </w:r>
          </w:p>
        </w:tc>
        <w:tc>
          <w:tcPr>
            <w:tcW w:w="3399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Onde foi realmente dito</w:t>
            </w:r>
          </w:p>
        </w:tc>
        <w:tc>
          <w:tcPr>
            <w:tcW w:w="3031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w="264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Ibama: oitocentos agentes, sete aeronaves, algumas centenas de viaturas</w:t>
            </w:r>
          </w:p>
        </w:tc>
        <w:tc>
          <w:tcPr>
            <w:tcW w:w="339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Workshop </w:t>
            </w:r>
            <w:r>
              <w:rPr>
                <w:b/>
                <w:sz w:val="19"/>
                <w:szCs w:val="19"/>
              </w:rPr>
              <w:t xml:space="preserve">Regional</w:t>
            </w:r>
            <w:r>
              <w:rPr>
                <w:sz w:val="19"/>
                <w:szCs w:val="19"/>
              </w:rPr>
              <w:t xml:space="preserve"> (Manaus), Carolina Bastos, coordenadora-geral de fiscalização ambiental do Ibama</w:t>
            </w:r>
          </w:p>
        </w:tc>
        <w:tc>
          <w:tcPr>
            <w:tcW w:w="303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evento correto; números marcados como "conferir" na nossa própria tabela de verificação</w:t>
            </w:r>
          </w:p>
        </w:tc>
      </w:tr>
      <w:tr>
        <w:tc>
          <w:tcPr>
            <w:tcW w:w="264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ANM: cinco servidores para toda a Amazônia</w:t>
            </w:r>
          </w:p>
        </w:tc>
        <w:tc>
          <w:tcPr>
            <w:tcW w:w="339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Workshop </w:t>
            </w:r>
            <w:r>
              <w:rPr>
                <w:b/>
                <w:sz w:val="19"/>
                <w:szCs w:val="19"/>
              </w:rPr>
              <w:t xml:space="preserve">Nacional</w:t>
            </w:r>
            <w:r>
              <w:rPr>
                <w:sz w:val="19"/>
                <w:szCs w:val="19"/>
              </w:rPr>
              <w:t xml:space="preserve"> (online) — </w:t>
            </w:r>
            <w:r>
              <w:rPr>
                <w:b/>
                <w:sz w:val="19"/>
                <w:szCs w:val="19"/>
              </w:rPr>
              <w:t xml:space="preserve">não o Regional</w:t>
            </w:r>
          </w:p>
        </w:tc>
        <w:tc>
          <w:tcPr>
            <w:tcW w:w="3031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atribuição de evento errada</w:t>
            </w:r>
            <w:r>
              <w:rPr>
                <w:sz w:val="19"/>
                <w:szCs w:val="19"/>
              </w:rPr>
              <w:t xml:space="preserve">, e a fala é de segunda mão</w:t>
            </w:r>
          </w:p>
        </w:tc>
      </w:tr>
      <w:tr>
        <w:tc>
          <w:tcPr>
            <w:tcW w:w="264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Funai: seis servidores para trinta e cinco municípios</w:t>
            </w:r>
          </w:p>
        </w:tc>
        <w:tc>
          <w:tcPr>
            <w:tcW w:w="339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Workshop </w:t>
            </w:r>
            <w:r>
              <w:rPr>
                <w:b/>
                <w:sz w:val="19"/>
                <w:szCs w:val="19"/>
              </w:rPr>
              <w:t xml:space="preserve">Regional</w:t>
            </w:r>
            <w:r>
              <w:rPr>
                <w:sz w:val="19"/>
                <w:szCs w:val="19"/>
              </w:rPr>
              <w:t xml:space="preserve">, em primeira pessoa</w:t>
            </w:r>
          </w:p>
        </w:tc>
        <w:tc>
          <w:tcPr>
            <w:tcW w:w="3031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evento correto, fala direta</w:t>
            </w:r>
          </w:p>
        </w:tc>
      </w:tr>
    </w:tbl>
    <w:p>
      <w:pPr>
        <w:pStyle w:val="Tight"/>
      </w:pPr>
    </w:p>
    <w:p>
      <w:r>
        <w:t xml:space="preserve">Sobre o dado da ANM, a transcrição do Workshop Nacional registra: </w:t>
      </w:r>
      <w:r>
        <w:rPr>
          <w:i/>
        </w:rPr>
        <w:t xml:space="preserve">"já me falaram que são só cinco funcionários da ANM responsáveis por toda a fiscalização da Amazônia em relação a garimpo"</w:t>
      </w:r>
      <w:r>
        <w:t xml:space="preserve">. É relato de terceiro dentro de uma fala, e a nossa tabela de conferência já o marcou como "</w:t>
      </w:r>
      <w:r>
        <w:rPr>
          <w:b/>
        </w:rPr>
        <w:t xml:space="preserve">Conferir o número</w:t>
      </w:r>
      <w:r>
        <w:t xml:space="preserve">". Publicar isso como dado de um evento que não é aquele em que foi dito é o tipo de problema que a reunião de ontem quis evitar.</w:t>
      </w:r>
    </w:p>
    <w:p>
      <w:r>
        <w:rPr>
          <w:b/>
        </w:rPr>
        <w:t xml:space="preserve">Sobre Chatham House (comentário 22 de Mariana).</w:t>
      </w:r>
      <w:r>
        <w:t xml:space="preserve"> A regra não proíbe dizer que o evento ocorreu nem usar a informação — ela proíbe revelar a identidade ou a filiação de quem falou. Dizer "no Workshop Regional, o Ibama dispunha de..." não nomeia ninguém, mas identifica a filiação do falante por dedução, já que só o representante do Ibama diria isso. É aí que está o desconforto, e ele é legítimo.</w:t>
      </w:r>
    </w:p>
    <w:p>
      <w:r>
        <w:rPr>
          <w:b/>
        </w:rPr>
        <w:t xml:space="preserve">Boa notícia: há saída pública para a parte mais forte do dado.</w:t>
      </w:r>
      <w:r>
        <w:t xml:space="preserve"> A mesma Carolina Bastos falou no </w:t>
      </w:r>
      <w:r>
        <w:rPr>
          <w:b/>
        </w:rPr>
        <w:t xml:space="preserve">Webinar 1</w:t>
      </w:r>
      <w:r>
        <w:t xml:space="preserve">, que foi público, transmitido e pode ser citado nominalmente. Lá ela diz, sem os números de frota:</w:t>
      </w:r>
    </w:p>
    <w:p>
      <w:r>
        <w:t xml:space="preserve">&gt; "[17:40] ...o desmatamento é difuso — detectamos em torno de 70 mil a 80 mil polígonos por ano. Precisam ser viáveis de acordo com a capacidade instalada do IBAMA, porque não temos estrutura, logística nem recursos humanos para ocupar todo esse território."</w:t>
      </w:r>
    </w:p>
    <w:p>
      <w:r>
        <w:t xml:space="preserve">&gt;</w:t>
      </w:r>
    </w:p>
    <w:p>
      <w:r>
        <w:t xml:space="preserve">&gt; "[27:10] Quando falamos de Amazônia, um dos principais desafios estruturais é a logística: pelo tamanho do território, dificilmente uma única instituição terá estrutura logística para atuar em todo ele, seja de aeronaves, viaturas ou bases. Daí a importância da cooperação."</w:t>
      </w:r>
    </w:p>
    <w:p>
      <w:r>
        <w:t xml:space="preserve">A segunda é exatamente a citação que você já apontou como a melhor das três de Lenira (comentário 54). Ela vem do Webinar 1, não do Webinar 3 — vale corrigir a referência ao fechar aquele comentário.</w:t>
      </w:r>
    </w:p>
    <w:p>
      <w:r>
        <w:rPr>
          <w:b/>
        </w:rPr>
        <w:t xml:space="preserve">Versão sugerida para o §228:</w:t>
      </w:r>
    </w:p>
    <w:p>
      <w:r>
        <w:t xml:space="preserve">"O contraste entre a escala do território e a dos meios disponíveis às agências civis mede a urgência da cooperação e, ao mesmo tempo, aponta o seu limite. A Amazônia Legal abrange mais de cinco milhões de quilômetros quadrados, cerca de 60% do território nacional, e é nesse espaço que os órgãos de fiscalização operam com os efetivos mais reduzidos da administração federal. No Webinar 1, a coordenadora-geral de fiscalização ambiental do Ibama descreveu esse limite: o órgão detecta entre setenta e oitenta mil polígonos de desmatamento por ano e não dispõe de estrutura, de logística nem de recursos humanos para alcançar todos eles, razão pela qual passou a apoiar-se na fiscalização remota e no cruzamento de bases de dados para ampliar o alcance de suas ações. [nota: referência ao Webinar 1, com marcação de tempo] O desequilíbrio se repete nas demais agências: registrou-se, no Workshop Regional, que a Coordenação Regional da Funai em Manaus responde por trinta e cinco municípios com seis servidores. Para efeito de comparação, uma única edição da Operação Ágata mobiliza mais de dois mil e trezentos militares, e o Exército mantém vinte e três pelotões especiais de fronteira em presença permanente na região. É o que explica por que a presença e a logística militares sustentam tanto operações próprias na faixa de fronteira, com apreensões de drogas, ouro e equipamentos em flagrante, quanto operações interagências, cabendo às agências civis as autuações administrativas que só elas podem aplicar. Esse mesmo desequilíbrio revela que a resposta estrutural também passa por fortalecer as agências civis, e não por transferir às Forças uma função que não é a sua."</w:t>
      </w:r>
    </w:p>
    <w:p>
      <w:r>
        <w:t xml:space="preserve">O que muda: sai a ANM (atribuição errada e número de segunda mão); saem os números de frota que Lenira não conseguiu corroborar e que a notícia sobre novos helicópteros contradiz; entra material público, nominalmente atribuível; e o argumento fica </w:t>
      </w:r>
      <w:r>
        <w:rPr>
          <w:b/>
        </w:rPr>
        <w:t xml:space="preserve">mais forte</w:t>
      </w:r>
      <w:r>
        <w:t xml:space="preserve">, porque passa a explicar como o Ibama responde à escassez, e não apenas que ela existe.</w:t>
      </w:r>
    </w:p>
    <w:p>
      <w:r>
        <w:t xml:space="preserve">Fica uma decisão de equipe: manter ou não a menção à Funai. Ela é fala direta, em primeira pessoa, e descreve um fato estrutural do órgão, não uma opinião. Minha leitura é que cabe, desde que o documento explicite sua posição sobre a regra — o que resolvo em 4.1 com uma nota no §183.</w:t>
      </w:r>
    </w:p>
    <w:p>
      <w:r>
        <w:rPr>
          <w:b/>
        </w:rPr>
        <w:t xml:space="preserve">Ainda pendente:</w:t>
      </w:r>
      <w:r>
        <w:t xml:space="preserve"> os "dois mil e trezentos militares" da Ágata também vêm do Workshop Regional e estão sem nota. Sua tabela de conferência os marcou como "conferir". Os dados que Mariana pediu ao Major do CMA (comentário 34) resolvem esse ponto — vale segurar a redação final do §228 até eles chegarem.</w:t>
      </w:r>
    </w:p>
    <w:p>
      <w:pPr>
        <w:pStyle w:val="Heading2"/>
      </w:pPr>
      <w:r>
        <w:t xml:space="preserve">2.3. A Agenda enumera suas próprias dimensões de quatro formas diferentes</w:t>
      </w:r>
    </w:p>
    <w:p>
      <w:r>
        <w:t xml:space="preserve">O conceito central do documento aparece com quatro listas distintas: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3795"/>
        <w:gridCol w:w="5275"/>
      </w:tblGrid>
      <w:tr>
        <w:trPr>
          <w:tblHeader/>
        </w:trPr>
        <w:tc>
          <w:tcPr>
            <w:tcW w:w="3795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Onde</w:t>
            </w:r>
          </w:p>
        </w:tc>
        <w:tc>
          <w:tcPr>
            <w:tcW w:w="5275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Lista</w:t>
            </w:r>
          </w:p>
        </w:tc>
      </w:tr>
      <w:tr>
        <w:tc>
          <w:tcPr>
            <w:tcW w:w="379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Apresentação</w:t>
            </w:r>
          </w:p>
        </w:tc>
        <w:tc>
          <w:tcPr>
            <w:tcW w:w="527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pública, humana, climática, territorial (4)</w:t>
            </w:r>
          </w:p>
        </w:tc>
      </w:tr>
      <w:tr>
        <w:tc>
          <w:tcPr>
            <w:tcW w:w="379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1.4.1, bullets</w:t>
            </w:r>
          </w:p>
        </w:tc>
        <w:tc>
          <w:tcPr>
            <w:tcW w:w="527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pública, humana, climática e ambiental, territorial, jurídica (5)</w:t>
            </w:r>
          </w:p>
        </w:tc>
      </w:tr>
      <w:tr>
        <w:tc>
          <w:tcPr>
            <w:tcW w:w="379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Citação para diagramação (Igarapé/FBSP/S&amp;C)</w:t>
            </w:r>
          </w:p>
        </w:tc>
        <w:tc>
          <w:tcPr>
            <w:tcW w:w="527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pública, ambiental, nacional, alimentar, jurídica (5, outras)</w:t>
            </w:r>
          </w:p>
        </w:tc>
      </w:tr>
      <w:tr>
        <w:tc>
          <w:tcPr>
            <w:tcW w:w="379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Seção 2, §235</w:t>
            </w:r>
          </w:p>
        </w:tc>
        <w:tc>
          <w:tcPr>
            <w:tcW w:w="5275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pública, territorial, climática, humana (4)</w:t>
            </w:r>
          </w:p>
        </w:tc>
      </w:tr>
    </w:tbl>
    <w:p>
      <w:pPr>
        <w:pStyle w:val="Tight"/>
      </w:pPr>
    </w:p>
    <w:p>
      <w:r>
        <w:t xml:space="preserve">Um leitor atento pergunta qual é a lista da Agenda. Sugestão: </w:t>
      </w:r>
      <w:r>
        <w:rPr>
          <w:b/>
        </w:rPr>
        <w:t xml:space="preserve">os cinco bullets de 1.4.1 são a lista canônica</w:t>
      </w:r>
      <w:r>
        <w:t xml:space="preserve">; a Apresentação e o §235 passam a remeter a ela em vez de reabri-la.</w:t>
      </w:r>
    </w:p>
    <w:p>
      <w:pPr>
        <w:pStyle w:val="Bullet"/>
      </w:pPr>
      <w:r>
        <w:t xml:space="preserve">• Na Apresentação, trocar a enumeração por: "...tratar a segurança na região em suas múltiplas dimensões, na acepção que a seção 1.4.1 detalha, recusando examiná-las isoladamente."</w:t>
      </w:r>
    </w:p>
    <w:p>
      <w:pPr>
        <w:pStyle w:val="Bullet"/>
      </w:pPr>
      <w:r>
        <w:t xml:space="preserve">• No §235, ver a versão completa em 4.2.</w:t>
      </w:r>
    </w:p>
    <w:p>
      <w:pPr>
        <w:pStyle w:val="Bullet"/>
      </w:pPr>
      <w:r>
        <w:t xml:space="preserve">• A citação de 2022 tem lista própria porque é citação — está correto que divirja, e o parágrafo de linhagem proposto em 4.1 explicita isso.</w:t>
      </w:r>
    </w:p>
    <w:p>
      <w:pPr>
        <w:pStyle w:val="Heading2"/>
      </w:pPr>
      <w:r>
        <w:t xml:space="preserve">2.4. O parágrafo do encadeamento está antes de 1.4.4</w:t>
      </w:r>
    </w:p>
    <w:p>
      <w:r>
        <w:t xml:space="preserve">O §221 abre com "As três noções apresentadas </w:t>
      </w:r>
      <w:r>
        <w:rPr>
          <w:b/>
        </w:rPr>
        <w:t xml:space="preserve">até aqui</w:t>
      </w:r>
      <w:r>
        <w:t xml:space="preserve"> formam um encadeamento" e fecha com "É por isso que esta Agenda trata de soberania, segurança e sustentabilidade como uma só agenda". É um parágrafo de fechamento — mas vem imediatamente antes de uma quarta subseção.</w:t>
      </w:r>
    </w:p>
    <w:p>
      <w:r>
        <w:t xml:space="preserve">Há também uma questão de categoria: 1.4 chama-se "Bases Conceituais", e 1.4.1 a 1.4.3 são conceitos, enquanto 1.4.4 é um ator institucional. A assimetria já existia, mas o parágrafo novo a torna visível.</w:t>
      </w:r>
    </w:p>
    <w:p>
      <w:r>
        <w:rPr>
          <w:b/>
        </w:rPr>
        <w:t xml:space="preserve">Solução mais barata, em duas linhas:</w:t>
      </w:r>
    </w:p>
    <w:p>
      <w:r>
        <w:t xml:space="preserve">Acrescentar ao fim do §221: "Resta explicitar o papel de um ator que atravessa as três dimensões e cuja presença na Amazônia condiciona todas elas: as Forças Armadas."</w:t>
      </w:r>
    </w:p>
    <w:p>
      <w:r>
        <w:t xml:space="preserve">E ajustar o §200, que apresenta a seção 1.4:</w:t>
      </w:r>
    </w:p>
    <w:p>
      <w:pPr>
        <w:pStyle w:val="Bullet"/>
      </w:pPr>
      <w:r>
        <w:t xml:space="preserve">• </w:t>
      </w:r>
      <w:r>
        <w:rPr>
          <w:b/>
        </w:rPr>
        <w:t xml:space="preserve">Como está:</w:t>
      </w:r>
      <w:r>
        <w:t xml:space="preserve"> "A Agenda Política 'Cooperação Regional na Amazônia: Integrando Defesa, Segurança, Desenvolvimento e Sustentabilidade' foi desenvolvida com base em diferentes conceitos que orientam o trabalho do S&amp;C:"</w:t>
      </w:r>
    </w:p>
    <w:p>
      <w:pPr>
        <w:pStyle w:val="Bullet"/>
      </w:pPr>
      <w:r>
        <w:t xml:space="preserve">• </w:t>
      </w:r>
      <w:r>
        <w:rPr>
          <w:b/>
        </w:rPr>
        <w:t xml:space="preserve">Sugestão:</w:t>
      </w:r>
      <w:r>
        <w:t xml:space="preserve"> "A Agenda Política 'Cooperação Regional na Amazônia: Integrando Defesa, Segurança, Desenvolvimento e Sustentabilidade' foi desenvolvida com base em conceitos que orientam o trabalho do S&amp;C e na posição que o Centro sustenta sobre o papel das Forças Armadas na região:"</w:t>
      </w:r>
    </w:p>
    <w:p>
      <w:r>
        <w:t xml:space="preserve">Isso legitima a quarta subseção sem reestruturar nada.</w:t>
      </w:r>
    </w:p>
    <w:p>
      <w:pPr>
        <w:pStyle w:val="Heading2"/>
      </w:pPr>
      <w:r>
        <w:t xml:space="preserve">2.5. Título de 1.4.4 — o comentário já tem consenso</w:t>
      </w:r>
    </w:p>
    <w:p>
      <w:r>
        <w:t xml:space="preserve">No thread dos comentários 13 a 16: Mariana disse que não gosta do título; você ofereceu "As Forças Armadas como Capacidade Habilitadora" e "O Papel das Forças Armadas na Segurança da Amazônia"; </w:t>
      </w:r>
      <w:r>
        <w:rPr>
          <w:b/>
        </w:rPr>
        <w:t xml:space="preserve">Lenira respondeu que a última é a mais adequada</w:t>
      </w:r>
      <w:r>
        <w:t xml:space="preserve">, e foi também a formulação registrada na ata da reunião. "Atuação das Forças Armadas", que está no arquivo, não é nenhuma das duas — parece ter sido posta como provisória.</w:t>
      </w:r>
    </w:p>
    <w:p>
      <w:r>
        <w:rPr>
          <w:b/>
        </w:rPr>
        <w:t xml:space="preserve">Sugestão:</w:t>
      </w:r>
      <w:r>
        <w:t xml:space="preserve"> "1.4.4. O Papel das Forças Armadas na Segurança da Amazônia"</w:t>
      </w:r>
    </w:p>
    <w:p>
      <w:r>
        <w:t xml:space="preserve">Vale registrar por que a outra opção não vence: "capacidade habilitadora" é a conclusão do §225, e usá-la no título entrega a conclusão antes do argumento.</w:t>
      </w:r>
    </w:p>
    <w:p>
      <w:pPr>
        <w:pStyle w:val="Heading2"/>
      </w:pPr>
      <w:r>
        <w:t xml:space="preserve">2.6. A nota 12 está como rascunho</w:t>
      </w:r>
    </w:p>
    <w:p>
      <w:r>
        <w:t xml:space="preserve">A nota que ancora a nova base teórica está gravada como: </w:t>
      </w:r>
      <w:r>
        <w:rPr>
          <w:rFonts w:ascii="Consolas" w:hAnsi="Consolas"/>
        </w:rPr>
        <w:t xml:space="preserve">ULLMAN, 1983…; PNUD, 1994…</w:t>
      </w:r>
    </w:p>
    <w:p>
      <w:r>
        <w:t xml:space="preserve">A escolha de autores é boa — melhor, aliás, do que a que eu havia sugerido. Ullman é anterior a tudo e é o marco de abertura do debate sobre alargamento do conceito de segurança; o PNUD é ONU, e não OEA, o que é exatamente o contraste desejável no momento político que Larissa descreveu. Falta completar:</w:t>
      </w:r>
    </w:p>
    <w:p>
      <w:r>
        <w:t xml:space="preserve">"ULLMAN, Richard H. Redefining Security. </w:t>
      </w:r>
      <w:r>
        <w:rPr>
          <w:i/>
        </w:rPr>
        <w:t xml:space="preserve">International Security</w:t>
      </w:r>
      <w:r>
        <w:t xml:space="preserve">, v. 8, n. 1, p. 129-153, 1983. PROGRAMA DAS NAÇÕES UNIDAS PARA O DESENVOLVIMENTO (PNUD). </w:t>
      </w:r>
      <w:r>
        <w:rPr>
          <w:i/>
        </w:rPr>
        <w:t xml:space="preserve">Relatório do Desenvolvimento Humano 1994</w:t>
      </w:r>
      <w:r>
        <w:t xml:space="preserve">: novas dimensões da segurança humana. Nova York: PNUD, 1994."</w:t>
      </w:r>
    </w:p>
    <w:p>
      <w:r>
        <w:rPr>
          <w:i/>
        </w:rPr>
        <w:t xml:space="preserve">Conferir paginação e a forma do título do relatório do PNUD em português antes de fechar.</w:t>
      </w:r>
    </w:p>
    <w:p>
      <w:r>
        <w:t xml:space="preserve">Dois ajustes decorrentes no §202: o texto diz "consolidada desde os anos 1990", mas Ullman é de 1983 — passar a "consolidada ao longo das décadas de 1980 e 1990". E a nota 13, que ancorava a OEA, ficou </w:t>
      </w:r>
      <w:r>
        <w:rPr>
          <w:b/>
        </w:rPr>
        <w:t xml:space="preserve">vazia</w:t>
      </w:r>
      <w:r>
        <w:t xml:space="preserve">: ela desaparece junto com o trecho riscado quando a exclusão for aceita, mas, se a exclusão não for aceita, resta uma nota em branco no documento.</w:t>
      </w:r>
    </w:p>
    <w:p>
      <w:pPr>
        <w:pStyle w:val="Heading1"/>
      </w:pPr>
      <w:r>
        <w:t xml:space="preserve">3. Erros factuais e de digitação desta versão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1188"/>
        <w:gridCol w:w="2439"/>
        <w:gridCol w:w="3409"/>
        <w:gridCol w:w="2034"/>
      </w:tblGrid>
      <w:tr>
        <w:trPr>
          <w:tblHeader/>
        </w:trPr>
        <w:tc>
          <w:tcPr>
            <w:tcW w:w="1188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§</w:t>
            </w:r>
          </w:p>
        </w:tc>
        <w:tc>
          <w:tcPr>
            <w:tcW w:w="2439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Como está</w:t>
            </w:r>
          </w:p>
        </w:tc>
        <w:tc>
          <w:tcPr>
            <w:tcW w:w="3409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Correção</w:t>
            </w:r>
          </w:p>
        </w:tc>
        <w:tc>
          <w:tcPr>
            <w:tcW w:w="2034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Gravidade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§245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"reduziu a composição do Conama </w:t>
            </w:r>
            <w:r>
              <w:rPr>
                <w:b/>
                <w:sz w:val="19"/>
                <w:szCs w:val="19"/>
              </w:rPr>
              <w:t xml:space="preserve">de 6 para 23</w:t>
            </w:r>
            <w:r>
              <w:rPr>
                <w:sz w:val="19"/>
                <w:szCs w:val="19"/>
              </w:rPr>
              <w:t xml:space="preserve"> membros"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de </w:t>
            </w:r>
            <w:r>
              <w:rPr>
                <w:b/>
                <w:sz w:val="19"/>
                <w:szCs w:val="19"/>
              </w:rPr>
              <w:t xml:space="preserve">96</w:t>
            </w:r>
            <w:r>
              <w:rPr>
                <w:sz w:val="19"/>
                <w:szCs w:val="19"/>
              </w:rPr>
              <w:t xml:space="preserve"> para 23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alta — o número está invertido e inviabiliza a frase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§245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"O STF declarou o decreto inconstitucional em 2023"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o decreto foi </w:t>
            </w:r>
            <w:r>
              <w:rPr>
                <w:b/>
                <w:sz w:val="19"/>
                <w:szCs w:val="19"/>
              </w:rPr>
              <w:t xml:space="preserve">revogado em fevereiro de 2023</w:t>
            </w:r>
            <w:r>
              <w:rPr>
                <w:sz w:val="19"/>
                <w:szCs w:val="19"/>
              </w:rPr>
              <w:t xml:space="preserve">, com recomposição do colegiado, e declarado inconstitucional pelo STF em </w:t>
            </w:r>
            <w:r>
              <w:rPr>
                <w:b/>
                <w:sz w:val="19"/>
                <w:szCs w:val="19"/>
              </w:rPr>
              <w:t xml:space="preserve">maio</w:t>
            </w:r>
            <w:r>
              <w:rPr>
                <w:sz w:val="19"/>
                <w:szCs w:val="19"/>
              </w:rPr>
              <w:t xml:space="preserve"> do mesmo ano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média — a ordem dos fatos reforça o argumento de descontinuidade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§244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"até </w:t>
            </w:r>
            <w:r>
              <w:rPr>
                <w:b/>
                <w:sz w:val="19"/>
                <w:szCs w:val="19"/>
              </w:rPr>
              <w:t xml:space="preserve">13.308km2 em 201</w:t>
            </w:r>
            <w:r>
              <w:rPr>
                <w:sz w:val="19"/>
                <w:szCs w:val="19"/>
              </w:rPr>
              <w:t xml:space="preserve">"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"até </w:t>
            </w:r>
            <w:r>
              <w:rPr>
                <w:b/>
                <w:sz w:val="19"/>
                <w:szCs w:val="19"/>
              </w:rPr>
              <w:t xml:space="preserve">13.038 km²</w:t>
            </w:r>
            <w:r>
              <w:rPr>
                <w:sz w:val="19"/>
                <w:szCs w:val="19"/>
              </w:rPr>
              <w:t xml:space="preserve"> em </w:t>
            </w:r>
            <w:r>
              <w:rPr>
                <w:b/>
                <w:sz w:val="19"/>
                <w:szCs w:val="19"/>
              </w:rPr>
              <w:t xml:space="preserve">2021</w:t>
            </w:r>
            <w:r>
              <w:rPr>
                <w:sz w:val="19"/>
                <w:szCs w:val="19"/>
              </w:rPr>
              <w:t xml:space="preserve">"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alta — dígitos trocados e ano truncado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§244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"3.925km2"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"3.925 km²"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§244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"A partir de 2013 voltou a subir, a tendência se acentuou"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"A partir de 2013 a taxa voltou a subir, </w:t>
            </w:r>
            <w:r>
              <w:rPr>
                <w:b/>
                <w:sz w:val="19"/>
                <w:szCs w:val="19"/>
              </w:rPr>
              <w:t xml:space="preserve">e</w:t>
            </w:r>
            <w:r>
              <w:rPr>
                <w:sz w:val="19"/>
                <w:szCs w:val="19"/>
              </w:rPr>
              <w:t xml:space="preserve"> a tendência se acentuou"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baixa — vírgula emendando duas orações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§243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"Censipam, </w:t>
            </w:r>
            <w:r>
              <w:rPr>
                <w:b/>
                <w:sz w:val="19"/>
                <w:szCs w:val="19"/>
              </w:rPr>
              <w:t xml:space="preserve">criado então junto à</w:t>
            </w:r>
            <w:r>
              <w:rPr>
                <w:sz w:val="19"/>
                <w:szCs w:val="19"/>
              </w:rPr>
              <w:t xml:space="preserve"> Presidência da República"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contradiz a nota 29, que registra transferência </w:t>
            </w:r>
            <w:r>
              <w:rPr>
                <w:b/>
                <w:sz w:val="19"/>
                <w:szCs w:val="19"/>
              </w:rPr>
              <w:t xml:space="preserve">do Ministério da Defesa para a Casa Civil</w:t>
            </w:r>
            <w:r>
              <w:rPr>
                <w:sz w:val="19"/>
                <w:szCs w:val="19"/>
              </w:rPr>
              <w:t xml:space="preserve">; ver redação em 4.2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§243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"cujo </w:t>
            </w:r>
            <w:r>
              <w:rPr>
                <w:b/>
                <w:sz w:val="19"/>
                <w:szCs w:val="19"/>
              </w:rPr>
              <w:t xml:space="preserve">art.16-A</w:t>
            </w:r>
            <w:r>
              <w:rPr>
                <w:sz w:val="19"/>
                <w:szCs w:val="19"/>
              </w:rPr>
              <w:t xml:space="preserve">"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"art. 16-A"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§223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"que </w:t>
            </w:r>
            <w:r>
              <w:rPr>
                <w:b/>
                <w:sz w:val="19"/>
                <w:szCs w:val="19"/>
              </w:rPr>
              <w:t xml:space="preserve">destinam às Forças à</w:t>
            </w:r>
            <w:r>
              <w:rPr>
                <w:sz w:val="19"/>
                <w:szCs w:val="19"/>
              </w:rPr>
              <w:t xml:space="preserve"> defesa da Pátria"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"destinam </w:t>
            </w:r>
            <w:r>
              <w:rPr>
                <w:b/>
                <w:sz w:val="19"/>
                <w:szCs w:val="19"/>
              </w:rPr>
              <w:t xml:space="preserve">as</w:t>
            </w:r>
            <w:r>
              <w:rPr>
                <w:sz w:val="19"/>
                <w:szCs w:val="19"/>
              </w:rPr>
              <w:t xml:space="preserve"> Forças à defesa da Pátria"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média — crase indevida em frase sobre o mandato constitucional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§225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</w:t>
            </w:r>
            <w:r>
              <w:rPr>
                <w:b/>
                <w:sz w:val="19"/>
                <w:szCs w:val="19"/>
              </w:rPr>
              <w:t xml:space="preserve">concentra,no</w:t>
            </w:r>
            <w:r>
              <w:rPr>
                <w:sz w:val="19"/>
                <w:szCs w:val="19"/>
              </w:rPr>
              <w:t xml:space="preserve"> Centro de Instrução"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"concentra, no Centro de Instrução"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§202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"cinco dimensões</w:t>
            </w:r>
            <w:r>
              <w:rPr>
                <w:b/>
                <w:sz w:val="19"/>
                <w:szCs w:val="19"/>
              </w:rPr>
              <w:t xml:space="preserve">::</w:t>
            </w:r>
            <w:r>
              <w:rPr>
                <w:sz w:val="19"/>
                <w:szCs w:val="19"/>
              </w:rPr>
              <w:t xml:space="preserve">"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um só dois-pontos (o segundo está fora do trecho riscado)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§227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parágrafo contendo apenas "." mais texto riscado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excluir; carrega os comentários 19, 20 e 21, duplicatas de 10, 11 e 12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§156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"dos indígenas do país.</w:t>
            </w:r>
            <w:r>
              <w:rPr>
                <w:b/>
                <w:sz w:val="19"/>
                <w:szCs w:val="19"/>
              </w:rPr>
              <w:t xml:space="preserve">T</w:t>
            </w:r>
            <w:r>
              <w:rPr>
                <w:sz w:val="19"/>
                <w:szCs w:val="19"/>
              </w:rPr>
              <w:t xml:space="preserve">rata-se"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falta espaço após o ponto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§183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"Instituto Brasileiro do Meio Ambiente e dos </w:t>
            </w:r>
            <w:r>
              <w:rPr>
                <w:b/>
                <w:sz w:val="19"/>
                <w:szCs w:val="19"/>
              </w:rPr>
              <w:t xml:space="preserve">Recursos Renováveis (IBAMA)</w:t>
            </w:r>
            <w:r>
              <w:rPr>
                <w:sz w:val="19"/>
                <w:szCs w:val="19"/>
              </w:rPr>
              <w:t xml:space="preserve">"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falta "Naturais"; e a sigla aparece em caixa-alta contra 24 ocorrências de "Ibama" no resto do documento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§183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</w:t>
            </w:r>
            <w:r>
              <w:rPr>
                <w:b/>
                <w:sz w:val="19"/>
                <w:szCs w:val="19"/>
              </w:rPr>
              <w:t xml:space="preserve">o</w:t>
            </w:r>
            <w:r>
              <w:rPr>
                <w:sz w:val="19"/>
                <w:szCs w:val="19"/>
              </w:rPr>
              <w:t xml:space="preserve"> Adelphi Global"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"a adelphi" (comentário 3 de Lenira)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§260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"3. A </w:t>
            </w:r>
            <w:r>
              <w:rPr>
                <w:b/>
                <w:sz w:val="19"/>
                <w:szCs w:val="19"/>
              </w:rPr>
              <w:t xml:space="preserve">c</w:t>
            </w:r>
            <w:r>
              <w:rPr>
                <w:sz w:val="19"/>
                <w:szCs w:val="19"/>
              </w:rPr>
              <w:t xml:space="preserve">onvergência dos Desafios"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"3. A Convergência dos Desafios na Amazônia"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w="1188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Lacuna 2, Eixo 1</w:t>
            </w:r>
          </w:p>
        </w:tc>
        <w:tc>
          <w:tcPr>
            <w:tcW w:w="243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"instância de coordenação </w:t>
            </w:r>
            <w:r>
              <w:rPr>
                <w:b/>
                <w:sz w:val="19"/>
                <w:szCs w:val="19"/>
              </w:rPr>
              <w:t xml:space="preserve">territorial</w:t>
            </w:r>
            <w:r>
              <w:rPr>
                <w:sz w:val="19"/>
                <w:szCs w:val="19"/>
              </w:rPr>
              <w:t xml:space="preserve"> com mandato </w:t>
            </w:r>
            <w:r>
              <w:rPr>
                <w:b/>
                <w:sz w:val="19"/>
                <w:szCs w:val="19"/>
              </w:rPr>
              <w:t xml:space="preserve">territorial</w:t>
            </w:r>
            <w:r>
              <w:rPr>
                <w:sz w:val="19"/>
                <w:szCs w:val="19"/>
              </w:rPr>
              <w:t xml:space="preserve"> e multissetorial"</w:t>
            </w:r>
          </w:p>
        </w:tc>
        <w:tc>
          <w:tcPr>
            <w:tcW w:w="3409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ver 4.4</w:t>
            </w:r>
          </w:p>
        </w:tc>
        <w:tc>
          <w:tcPr>
            <w:tcW w:w="203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média — redundância criada pela substituição</w:t>
            </w:r>
          </w:p>
        </w:tc>
      </w:tr>
    </w:tbl>
    <w:p>
      <w:pPr>
        <w:pStyle w:val="Tight"/>
      </w:pPr>
    </w:p>
    <w:p>
      <w:pPr>
        <w:pStyle w:val="Heading2"/>
      </w:pPr>
      <w:r>
        <w:t xml:space="preserve">3.1. A redundância da Lacuna 2 e da Recomendação 10</w:t>
      </w:r>
    </w:p>
    <w:p>
      <w:r>
        <w:t xml:space="preserve">A substituição de "mandato multidimensional" por "mandato territorial e multissetorial" funcionou em §381 e resolveu a ambiguidade do termo, mas nos dois títulos produziu "territorial" duas vezes na mesma linha:</w:t>
      </w:r>
    </w:p>
    <w:p>
      <w:pPr>
        <w:pStyle w:val="Bullet"/>
      </w:pPr>
      <w:r>
        <w:t xml:space="preserve">• </w:t>
      </w:r>
      <w:r>
        <w:rPr>
          <w:b/>
        </w:rPr>
        <w:t xml:space="preserve">Como está (Lacuna 2):</w:t>
      </w:r>
      <w:r>
        <w:t xml:space="preserve"> "Ausência de instância de coordenação territorial com mandato territorial e multissetorial sobre a Amazônia"</w:t>
      </w:r>
    </w:p>
    <w:p>
      <w:pPr>
        <w:pStyle w:val="Bullet"/>
      </w:pPr>
      <w:r>
        <w:t xml:space="preserve">• </w:t>
      </w:r>
      <w:r>
        <w:rPr>
          <w:b/>
        </w:rPr>
        <w:t xml:space="preserve">Sugestão:</w:t>
      </w:r>
      <w:r>
        <w:t xml:space="preserve"> "Ausência de instância de coordenação territorial com mandato multissetorial sobre a Amazônia"</w:t>
      </w:r>
    </w:p>
    <w:p>
      <w:pPr>
        <w:pStyle w:val="Bullet"/>
      </w:pPr>
      <w:r>
        <w:t xml:space="preserve">• </w:t>
      </w:r>
      <w:r>
        <w:rPr>
          <w:b/>
        </w:rPr>
        <w:t xml:space="preserve">Como está (Recomendação 10):</w:t>
      </w:r>
      <w:r>
        <w:t xml:space="preserve"> "Instituição de instância de coordenação territorial da Amazônia com mandato territorial e multissetorial"</w:t>
      </w:r>
    </w:p>
    <w:p>
      <w:pPr>
        <w:pStyle w:val="Bullet"/>
      </w:pPr>
      <w:r>
        <w:t xml:space="preserve">• </w:t>
      </w:r>
      <w:r>
        <w:rPr>
          <w:b/>
        </w:rPr>
        <w:t xml:space="preserve">Sugestão:</w:t>
      </w:r>
      <w:r>
        <w:t xml:space="preserve"> "Instituição de instância de coordenação territorial da Amazônia com mandato multissetorial"</w:t>
      </w:r>
    </w:p>
    <w:p>
      <w:r>
        <w:t xml:space="preserve">O recorte territorial já está dito em "coordenação territorial". Em §571, onde a expressão completa aparece sem redundância ("mandato territorial e multissetorial"), ela pode ficar como está.</w:t>
      </w:r>
    </w:p>
    <w:p>
      <w:pPr>
        <w:pStyle w:val="Heading1"/>
      </w:pPr>
      <w:r>
        <w:t xml:space="preserve">4. Texto revisado, parágrafo a parágrafo</w:t>
      </w:r>
    </w:p>
    <w:p>
      <w:pPr>
        <w:pStyle w:val="Heading2"/>
      </w:pPr>
      <w:r>
        <w:t xml:space="preserve">4.1. Seção 1</w:t>
      </w:r>
    </w:p>
    <w:p>
      <w:r>
        <w:rPr>
          <w:b/>
        </w:rPr>
        <w:t xml:space="preserve">§173 — a triangulação esquece o simpósio.</w:t>
      </w:r>
      <w:r>
        <w:t xml:space="preserve"> O parágrafo descreve três insumos e nomeia apenas "webinars e workshops", embora o §196 liste "(webinars, workshops e simpósio)" e a seção 1.1 apresente o simpósio como um dos quatro espaços.</w:t>
      </w:r>
    </w:p>
    <w:p>
      <w:pPr>
        <w:pStyle w:val="Bullet"/>
      </w:pPr>
      <w:r>
        <w:t xml:space="preserve">• </w:t>
      </w:r>
      <w:r>
        <w:rPr>
          <w:b/>
        </w:rPr>
        <w:t xml:space="preserve">Como está:</w:t>
      </w:r>
      <w:r>
        <w:t xml:space="preserve"> "...coleta de insumos em espaços qualificados de diálogo entre diferentes atores nacionais e regionais, realizados por meio de </w:t>
      </w:r>
      <w:r>
        <w:rPr>
          <w:b/>
        </w:rPr>
        <w:t xml:space="preserve">webinars e workshops</w:t>
      </w:r>
      <w:r>
        <w:t xml:space="preserve">; avaliação documental de legislação e normas;..."</w:t>
      </w:r>
    </w:p>
    <w:p>
      <w:pPr>
        <w:pStyle w:val="Bullet"/>
      </w:pPr>
      <w:r>
        <w:t xml:space="preserve">• </w:t>
      </w:r>
      <w:r>
        <w:rPr>
          <w:b/>
        </w:rPr>
        <w:t xml:space="preserve">Sugestão:</w:t>
      </w:r>
      <w:r>
        <w:t xml:space="preserve"> "...coleta de insumos em espaços qualificados de diálogo entre diferentes atores nacionais e regionais, realizados por meio de </w:t>
      </w:r>
      <w:r>
        <w:rPr>
          <w:b/>
        </w:rPr>
        <w:t xml:space="preserve">webinars, de um simpósio internacional e de workshops</w:t>
      </w:r>
      <w:r>
        <w:t xml:space="preserve">; avaliação documental de legislação e normas;..."</w:t>
      </w:r>
    </w:p>
    <w:p>
      <w:r>
        <w:rPr>
          <w:b/>
        </w:rPr>
        <w:t xml:space="preserve">§181 — o simpósio é o único evento sem data.</w:t>
      </w:r>
      <w:r>
        <w:t xml:space="preserve"> Os três webinars têm dia, mês e ano com nota; os dois workshops têm mês e ano; o simpósio tem apenas "realizado presencialmente em Manaus". Pelos arquivos de transcrição, foi em 16 e 17 de setembro de 2026 — confirmar e inserir, com nota, no mesmo padrão dos demais.</w:t>
      </w:r>
    </w:p>
    <w:p>
      <w:r>
        <w:rPr>
          <w:b/>
        </w:rPr>
        <w:t xml:space="preserve">§183 — os órgãos nomeados e a regra de Chatham House.</w:t>
      </w:r>
      <w:r>
        <w:t xml:space="preserve"> Esta versão passou a nomear as instituições participantes de um workshop fechado. É exatamente o que Mariana levanta no comentário 0. A recomendação é manter a lista e explicitar a posição do documento, o que resolve o comentário em vez de adiá-lo.</w:t>
      </w:r>
    </w:p>
    <w:p>
      <w:pPr>
        <w:pStyle w:val="Bullet"/>
      </w:pPr>
      <w:r>
        <w:t xml:space="preserve">• </w:t>
      </w:r>
      <w:r>
        <w:rPr>
          <w:b/>
        </w:rPr>
        <w:t xml:space="preserve">Como está:</w:t>
      </w:r>
      <w:r>
        <w:t xml:space="preserve"> "...com a participação de representantes do Instituto Brasileiro do Meio Ambiente e dos Recursos Renováveis (IBAMA), da Polícia Federal, das Forças Armadas, do Gabinete de Segurança Institucional (GSI) e da Agência Brasileira de Inteligência (ABIN), além de representantes da sociedade civil, como o Adelphi Global, World Wide Fund for Nature (WWF-Brasil), Instituto de Pesquisa Ambiental da Amazônia (IPAM)."</w:t>
      </w:r>
    </w:p>
    <w:p>
      <w:pPr>
        <w:pStyle w:val="Bullet"/>
      </w:pPr>
      <w:r>
        <w:t xml:space="preserve">• </w:t>
      </w:r>
      <w:r>
        <w:rPr>
          <w:b/>
        </w:rPr>
        <w:t xml:space="preserve">Sugestão:</w:t>
      </w:r>
      <w:r>
        <w:t xml:space="preserve"> "...com a participação de representantes do Ibama, da Polícia Federal, das Forças Armadas, do Gabinete de Segurança Institucional (GSI) e da Agência Brasileira de Inteligência (Abin), além de organizações da sociedade civil, entre elas a adelphi, o Instituto de Pesquisa Ambiental da Amazônia (IPAM) e o WWF-Brasil.[nova nota]"</w:t>
      </w:r>
    </w:p>
    <w:p>
      <w:r>
        <w:rPr>
          <w:b/>
        </w:rPr>
        <w:t xml:space="preserve">Nova nota sugerida:</w:t>
      </w:r>
      <w:r>
        <w:t xml:space="preserve"> "A relação de instituições participantes é divulgada com a concordância dos convidados. Em conformidade com a regra de Chatham House, que regeu os dois workshops, nenhuma das contribuições registradas nesta Agenda é atribuída a participante ou a instituição específica."</w:t>
      </w:r>
    </w:p>
    <w:p>
      <w:r>
        <w:t xml:space="preserve">Essa nota também dá cobertura ao §228 e a todas as demais remissões aos workshops. Vale mantê-la neste ponto porque é a primeira vez que um workshop é descrito.</w:t>
      </w:r>
    </w:p>
    <w:p>
      <w:r>
        <w:t xml:space="preserve">Sobre o Ibama: a sigla fica sem expansão aqui e continua expandida no §242, onde a criação do órgão é narrada — é o lugar natural, e evita definir duas vezes.</w:t>
      </w:r>
    </w:p>
    <w:p>
      <w:r>
        <w:rPr>
          <w:b/>
        </w:rPr>
        <w:t xml:space="preserve">§200 — chamada da seção 1.4.</w:t>
      </w:r>
      <w:r>
        <w:t xml:space="preserve"> Ver 2.4.</w:t>
      </w:r>
    </w:p>
    <w:p>
      <w:r>
        <w:rPr>
          <w:b/>
        </w:rPr>
        <w:t xml:space="preserve">§202 — abertura de 1.4.1.</w:t>
      </w:r>
      <w:r>
        <w:t xml:space="preserve"> Três ajustes: o dois-pontos duplicado, "anos 1990" → "décadas de 1980 e 1990", e a nota 12 completa (2.6).</w:t>
      </w:r>
    </w:p>
    <w:p>
      <w:r>
        <w:rPr>
          <w:b/>
        </w:rPr>
        <w:t xml:space="preserve">§209 a §211 — a citação para diagramação.</w:t>
      </w:r>
      <w:r>
        <w:t xml:space="preserve"> A decisão sobre declarar a linhagem, discutida ontem, ainda não foi implementada. Relembrando por que ela importa: "múltiplas dimensões de segurança", a fórmula que a equipe adotou, é literalmente a expressão do documento de 2022 do qual o S&amp;C é coautor, e é essa a citação em destaque da seção. Declarar a continuidade é mais defensável do que deixar a coincidência sem explicação.</w:t>
      </w:r>
    </w:p>
    <w:p>
      <w:r>
        <w:rPr>
          <w:b/>
        </w:rPr>
        <w:t xml:space="preserve">Sugestão — frase de abertura antes da citação:</w:t>
      </w:r>
    </w:p>
    <w:p>
      <w:r>
        <w:t xml:space="preserve">"A formulação não é nova para o Centro. Em 2022, em trabalho conjunto com o Instituto Igarapé e o Fórum Brasileiro de Segurança Pública, o S&amp;C já sustentava que:"</w:t>
      </w:r>
    </w:p>
    <w:p>
      <w:r>
        <w:rPr>
          <w:b/>
        </w:rPr>
        <w:t xml:space="preserve">Sugestão — frase após a atribuição da citação:</w:t>
      </w:r>
    </w:p>
    <w:p>
      <w:r>
        <w:t xml:space="preserve">"O que esta Agenda acrescenta àquele diagnóstico é a escala regional: as mesmas dimensões, examinadas não apenas no território brasileiro, mas na bacia compartilhada por oito países, e traduzidas em lacunas e recomendações de cooperação."</w:t>
      </w:r>
    </w:p>
    <w:p>
      <w:r>
        <w:rPr>
          <w:b/>
        </w:rPr>
        <w:t xml:space="preserve">§221 — fechamento do encadeamento.</w:t>
      </w:r>
      <w:r>
        <w:t xml:space="preserve"> Acrescentar a frase-ponte de 2.4.</w:t>
      </w:r>
    </w:p>
    <w:p>
      <w:r>
        <w:rPr>
          <w:b/>
        </w:rPr>
        <w:t xml:space="preserve">§222 — título.</w:t>
      </w:r>
      <w:r>
        <w:t xml:space="preserve"> Ver 2.5.</w:t>
      </w:r>
    </w:p>
    <w:p>
      <w:r>
        <w:rPr>
          <w:b/>
        </w:rPr>
        <w:t xml:space="preserve">§223 — crase.</w:t>
      </w:r>
      <w:r>
        <w:t xml:space="preserve"> Ver tabela em 3.</w:t>
      </w:r>
    </w:p>
    <w:p>
      <w:r>
        <w:rPr>
          <w:b/>
        </w:rPr>
        <w:t xml:space="preserve">§225 — pontuação e fecho.</w:t>
      </w:r>
    </w:p>
    <w:p>
      <w:pPr>
        <w:pStyle w:val="Bullet"/>
      </w:pPr>
      <w:r>
        <w:t xml:space="preserve">• </w:t>
      </w:r>
      <w:r>
        <w:rPr>
          <w:b/>
        </w:rPr>
        <w:t xml:space="preserve">Como está (fecho):</w:t>
      </w:r>
      <w:r>
        <w:t xml:space="preserve"> "Todas essas capacidades habilitadoras das Forças Armadas viabilizam a ação de outros órgãos mais do que a substituem."</w:t>
      </w:r>
    </w:p>
    <w:p>
      <w:pPr>
        <w:pStyle w:val="Bullet"/>
      </w:pPr>
      <w:r>
        <w:t xml:space="preserve">• </w:t>
      </w:r>
      <w:r>
        <w:rPr>
          <w:b/>
        </w:rPr>
        <w:t xml:space="preserve">Sugestão:</w:t>
      </w:r>
      <w:r>
        <w:t xml:space="preserve"> "Trata-se, em todos os casos, de capacidades habilitadoras: viabilizam a ação de outros órgãos mais do que a substituem."</w:t>
      </w:r>
    </w:p>
    <w:p>
      <w:r>
        <w:rPr>
          <w:b/>
        </w:rPr>
        <w:t xml:space="preserve">§227 — excluir o parágrafo residual.</w:t>
      </w:r>
    </w:p>
    <w:p>
      <w:r>
        <w:rPr>
          <w:b/>
        </w:rPr>
        <w:t xml:space="preserve">§228 — ver 2.2.</w:t>
      </w:r>
    </w:p>
    <w:p>
      <w:r>
        <w:rPr>
          <w:b/>
        </w:rPr>
        <w:t xml:space="preserve">§229 — a repetição da Ágata (comentários 31 a 33 de Mariana).</w:t>
      </w:r>
      <w:r>
        <w:t xml:space="preserve"> Mariana tem razão: a Ágata aparece no §228 como medida de escala e reaparece no §229 como exemplo de operação interagências, sem que os parágrafos se conectem. Some-se a isso que a nota 20, ancorada na primeira frase do §229 — sobre o combate permanente a ilícitos transfronteiriços —, cita a </w:t>
      </w:r>
      <w:r>
        <w:rPr>
          <w:b/>
        </w:rPr>
        <w:t xml:space="preserve">Operação Escudo</w:t>
      </w:r>
      <w:r>
        <w:t xml:space="preserve">, que a própria Mariana observou não ser interagências. A nota está ancorada no lugar errado e ilustra a coisa errada.</w:t>
      </w:r>
    </w:p>
    <w:p>
      <w:pPr>
        <w:pStyle w:val="Bullet"/>
      </w:pPr>
      <w:r>
        <w:t xml:space="preserve">• </w:t>
      </w:r>
      <w:r>
        <w:rPr>
          <w:b/>
        </w:rPr>
        <w:t xml:space="preserve">Como está (§229, trecho):</w:t>
      </w:r>
      <w:r>
        <w:t xml:space="preserve"> "Essa capilaridade viabiliza operações interagências de grande impacto logístico — como as Operações Ágata, que geram bilhões de reais em apreensões e multas —, assegurando a presença efetiva do Estado onde a infraestrutura civil é deficitária."</w:t>
      </w:r>
    </w:p>
    <w:p>
      <w:pPr>
        <w:pStyle w:val="Bullet"/>
      </w:pPr>
      <w:r>
        <w:t xml:space="preserve">• </w:t>
      </w:r>
      <w:r>
        <w:rPr>
          <w:b/>
        </w:rPr>
        <w:t xml:space="preserve">Sugestão:</w:t>
      </w:r>
      <w:r>
        <w:t xml:space="preserve"> "Essa capilaridade sustenta tanto operações próprias das Forças na faixa de fronteira quanto as operações interagências já descritas, assegurando a presença efetiva do Estado onde a infraestrutura civil é deficitária."</w:t>
      </w:r>
    </w:p>
    <w:p>
      <w:r>
        <w:t xml:space="preserve">E mover a nota 20 (Operação Escudo) para a primeira frase do parágrafo, que é sobre operações próprias das Forças — onde o exemplo cabe. Assim a Ágata é apresentada uma vez só, no §228, e a Escudo passa a ilustrar o que de fato ilustra.</w:t>
      </w:r>
    </w:p>
    <w:p>
      <w:pPr>
        <w:pStyle w:val="Heading2"/>
      </w:pPr>
      <w:r>
        <w:t xml:space="preserve">4.2. Seção 2</w:t>
      </w:r>
    </w:p>
    <w:p>
      <w:r>
        <w:rPr>
          <w:b/>
        </w:rPr>
        <w:t xml:space="preserve">§235 — "vertentes" e a lista de dimensões.</w:t>
      </w:r>
      <w:r>
        <w:t xml:space="preserve"> A palavra "vertentes" sobreviveu em cinco lugares, todos na seção 2 (§235 três vezes, §249 e o título da Figura 1), enquanto o restante do documento passou a dizer "dimensões". Como a própria decisão da reunião foi padronizar, vale unificar.</w:t>
      </w:r>
    </w:p>
    <w:p>
      <w:pPr>
        <w:pStyle w:val="Bullet"/>
      </w:pPr>
      <w:r>
        <w:t xml:space="preserve">• </w:t>
      </w:r>
      <w:r>
        <w:rPr>
          <w:b/>
        </w:rPr>
        <w:t xml:space="preserve">Como está (abertura):</w:t>
      </w:r>
      <w:r>
        <w:t xml:space="preserve"> "A Agenda parte do entendimento de que a segurança na Amazônia se manifesta em múltiplas </w:t>
      </w:r>
      <w:r>
        <w:rPr>
          <w:b/>
        </w:rPr>
        <w:t xml:space="preserve">vertentes</w:t>
      </w:r>
      <w:r>
        <w:t xml:space="preserve">, entre as quais a pública, a territorial, a climática e a humana, compreendida esta última como as condições econômicas, alimentares e sanitárias das populações da região. Essas </w:t>
      </w:r>
      <w:r>
        <w:rPr>
          <w:b/>
        </w:rPr>
        <w:t xml:space="preserve">vertentes</w:t>
      </w:r>
      <w:r>
        <w:t xml:space="preserve"> se influenciam mutuamente, de modo que a deterioração de uma delas tende a agravar as demais. É com base nesse entendimento que a Agenda propõe ao Estado brasileiro orientar suas políticas para a região por meio da articulação entre essas </w:t>
      </w:r>
      <w:r>
        <w:rPr>
          <w:b/>
        </w:rPr>
        <w:t xml:space="preserve">vertentes</w:t>
      </w:r>
      <w:r>
        <w:t xml:space="preserve">, cuja separação em mandatos setoriais distintos..."</w:t>
      </w:r>
    </w:p>
    <w:p>
      <w:pPr>
        <w:pStyle w:val="Bullet"/>
      </w:pPr>
      <w:r>
        <w:t xml:space="preserve">• </w:t>
      </w:r>
      <w:r>
        <w:rPr>
          <w:b/>
        </w:rPr>
        <w:t xml:space="preserve">Sugestão:</w:t>
      </w:r>
      <w:r>
        <w:t xml:space="preserve"> "Retomando as dimensões apresentadas na seção 1.4.1, a Agenda propõe ao Estado brasileiro orientar suas políticas para a região por meio da articulação entre elas, cuja separação em mandatos setoriais distintos é identificada ao longo do documento como uma das origens da fragmentação da ação estatal. A necessidade dessa articulação decorre de um cenário em que problemas políticos, ambientais, sociais, econômicos e de segurança se entrelaçam em um território compartilhado por oito países sul-americanos, Bolívia, Brasil, Colômbia, Equador, Guiana, Peru, Suriname e Venezuela, ao qual se soma a Guiana Francesa, e no qual o Brasil detém cerca de 60% da extensão amazônica. Entre os principais desafios da região estão a grilagem de terras públicas, que alimenta o desmatamento ilegal, a expansão do garimpo ilegal, acompanhada da contaminação de solos e rios por mercúrio, e o avanço de facções criminosas transnacionais sobre rotas e territórios."</w:t>
      </w:r>
    </w:p>
    <w:p>
      <w:r>
        <w:t xml:space="preserve">Ganhos: o parágrafo sai de 204 para cerca de 130 palavras, entra na faixa do padrão editorial, deixa de repetir a definição que 1.4.1 acabou de dar e resolve a terceira das quatro listas divergentes. Ajustar também "vertentes" para "dimensões" no §249 e no título da Figura 1.</w:t>
      </w:r>
    </w:p>
    <w:p>
      <w:r>
        <w:rPr>
          <w:b/>
        </w:rPr>
        <w:t xml:space="preserve">§240 a §245 — o histórico de políticas.</w:t>
      </w:r>
      <w:r>
        <w:t xml:space="preserve"> Esta é a parte mais reescrita da versão e a que concentra os erros factuais. Versão sugerida dos dois trechos críticos:</w:t>
      </w:r>
    </w:p>
    <w:p>
      <w:r>
        <w:rPr>
          <w:b/>
        </w:rPr>
        <w:t xml:space="preserve">§243, trecho do Censipam:</w:t>
      </w:r>
    </w:p>
    <w:p>
      <w:pPr>
        <w:pStyle w:val="Bullet"/>
      </w:pPr>
      <w:r>
        <w:t xml:space="preserve">• </w:t>
      </w:r>
      <w:r>
        <w:rPr>
          <w:b/>
        </w:rPr>
        <w:t xml:space="preserve">Como está:</w:t>
      </w:r>
      <w:r>
        <w:t xml:space="preserve"> "Sua operação passou, em 2002, ao Centro Gestor e Operacional do Sistema de Proteção da Amazônia (Censipam), </w:t>
      </w:r>
      <w:r>
        <w:rPr>
          <w:b/>
        </w:rPr>
        <w:t xml:space="preserve">criado então junto à Presidência da República e transferido, desde 2011</w:t>
      </w:r>
      <w:r>
        <w:t xml:space="preserve">, ao Ministério da Defesa."</w:t>
      </w:r>
    </w:p>
    <w:p>
      <w:pPr>
        <w:pStyle w:val="Bullet"/>
      </w:pPr>
      <w:r>
        <w:t xml:space="preserve">• </w:t>
      </w:r>
      <w:r>
        <w:rPr>
          <w:b/>
        </w:rPr>
        <w:t xml:space="preserve">Sugestão:</w:t>
      </w:r>
      <w:r>
        <w:t xml:space="preserve"> "Sua operação passou, em 2002, ao Centro Gestor e Operacional do Sistema de Proteção da Amazônia (Censipam), </w:t>
      </w:r>
      <w:r>
        <w:rPr>
          <w:b/>
        </w:rPr>
        <w:t xml:space="preserve">então vinculado à Casa Civil da Presidência da República e transferido, em 2011</w:t>
      </w:r>
      <w:r>
        <w:t xml:space="preserve">, ao Ministério da Defesa."</w:t>
      </w:r>
    </w:p>
    <w:p>
      <w:r>
        <w:t xml:space="preserve">Isso alinha o corpo com a nota 29, que registra os dois decretos: o 4.200/2002, que levou a estrutura do Ministério da Defesa para a Casa Civil, e o 7.424/2011, que a devolveu à Defesa. Como está, o corpo diz que foi criado na Presidência, e a nota diz que veio da Defesa.</w:t>
      </w:r>
    </w:p>
    <w:p>
      <w:r>
        <w:rPr>
          <w:b/>
        </w:rPr>
        <w:t xml:space="preserve">§244, versão completa sugerida:</w:t>
      </w:r>
    </w:p>
    <w:p>
      <w:r>
        <w:t xml:space="preserve">"Nenhuma das duas trajetórias foi linear. A taxa de desmatamento por corte raso medida pelo Projeto de Monitoramento do Desmatamento na Amazônia Legal por Satélite (PRODES), do Instituto Nacional de Pesquisas Espaciais (INPE), atingiu 29.059 km² em 1995, o maior valor da série iniciada em 1988. Voltou a 27.772 km² em 2004, ano em que o PPCDAm foi lançado em resposta à alta, e recuou até 4.571 km² em 2012, o menor valor da série. A partir de 2013 a taxa voltou a subir, e a tendência se acentuou até alcançar 13.038 km² em 2021, mais que o triplo dos cerca de 3.925 km² anuais correspondentes à meta fixada para 2020."</w:t>
      </w:r>
    </w:p>
    <w:p>
      <w:r>
        <w:rPr>
          <w:b/>
        </w:rPr>
        <w:t xml:space="preserve">§245, versão completa sugerida:</w:t>
      </w:r>
    </w:p>
    <w:p>
      <w:r>
        <w:t xml:space="preserve">"No mesmo intervalo, o Decreto nº 9.806/2019 reduziu a composição do Conselho Nacional do Meio Ambiente (Conama) de 96 para 23 membros, e os assentos reservados à sociedade civil passaram de 22 para 4. O decreto foi revogado em fevereiro de 2023, com a recomposição do colegiado, e declarado inconstitucional pelo Supremo Tribunal Federal em maio do mesmo ano. O Fundo Amazônia permaneceu paralisado entre 2019 e 2023. Em janeiro de 2023, o PPCDAm foi restabelecido por decreto, e sua quinta fase, lançada em junho daquele ano, incorporou a meta de desmatamento zero até 2030, apresentada pelo Brasil na COP27, em novembro de 2022. A trajetória de defesa oscilou de outro modo. A Operação Ágata manteve-se como instrumento recorrente desde 2011, mas sem calendário fixo e com duração de poucas semanas a cada edição, período reduzido diante de redes criminosas que atuam de forma contínua sobre rotas e territórios da região; sua execução orçamentária, por sua vez, variou consideravelmente ao longo da última década."</w:t>
      </w:r>
    </w:p>
    <w:p>
      <w:r>
        <w:t xml:space="preserve">A revogação por decreto </w:t>
      </w:r>
      <w:r>
        <w:rPr>
          <w:b/>
        </w:rPr>
        <w:t xml:space="preserve">antes</w:t>
      </w:r>
      <w:r>
        <w:t xml:space="preserve"> da decisão do STF não é detalhe: mostra que a reversão veio do próprio Executivo e reforça, em vez de enfraquecer, a tese da descontinuidade por ciclo político que o parágrafo quer sustentar.</w:t>
      </w:r>
    </w:p>
    <w:p>
      <w:r>
        <w:rPr>
          <w:b/>
        </w:rPr>
        <w:t xml:space="preserve">Nota nova sugerida para o Conama:</w:t>
      </w:r>
      <w:r>
        <w:t xml:space="preserve"> "BRASIL. Decreto nº 9.806, de 28 de maio de 2019; BRASIL. Decreto nº 11.417, de 13 de fevereiro de 2023, que o revogou e recompôs o colegiado; SUPREMO TRIBUNAL FEDERAL. ADPF 623, julgada em 19 de maio de 2023." </w:t>
      </w:r>
      <w:r>
        <w:rPr>
          <w:i/>
        </w:rPr>
        <w:t xml:space="preserve">Conferir o número da ADPF antes de fechar.</w:t>
      </w:r>
    </w:p>
    <w:p>
      <w:r>
        <w:rPr>
          <w:b/>
        </w:rPr>
        <w:t xml:space="preserve">§256 — comentários 35 e 36, já resolvidos.</w:t>
      </w:r>
      <w:r>
        <w:t xml:space="preserve"> "harmonização" virou "coordenação", com a concordância de Lenira. Nada a fazer além de fechar o thread.</w:t>
      </w:r>
    </w:p>
    <w:p>
      <w:pPr>
        <w:pStyle w:val="Heading2"/>
      </w:pPr>
      <w:r>
        <w:t xml:space="preserve">4.3. Seção 3</w:t>
      </w:r>
    </w:p>
    <w:p>
      <w:r>
        <w:t xml:space="preserve">A seção está em boa forma. Três ajustes:</w:t>
      </w:r>
    </w:p>
    <w:p>
      <w:r>
        <w:rPr>
          <w:b/>
        </w:rPr>
        <w:t xml:space="preserve">§260 — título:</w:t>
      </w:r>
      <w:r>
        <w:t xml:space="preserve"> "3. A Convergência dos Desafios na Amazônia" (caixa-alta).</w:t>
      </w:r>
    </w:p>
    <w:p>
      <w:r>
        <w:rPr>
          <w:b/>
        </w:rPr>
        <w:t xml:space="preserve">§261 — padronizar a regência:</w:t>
      </w:r>
      <w:r>
        <w:t xml:space="preserve"> "orientada pela articulação entre as múltiplas dimensões </w:t>
      </w:r>
      <w:r>
        <w:rPr>
          <w:b/>
        </w:rPr>
        <w:t xml:space="preserve">da</w:t>
      </w:r>
      <w:r>
        <w:t xml:space="preserve"> segurança" (o documento oscila entre "dimensões de segurança" e "dimensões da segurança"; a segunda forma é a que aparece nos trechos já revisados).</w:t>
      </w:r>
    </w:p>
    <w:p>
      <w:r>
        <w:rPr>
          <w:b/>
        </w:rPr>
        <w:t xml:space="preserve">§277 — falta um espaço e o parágrafo tem 177 palavras.</w:t>
      </w:r>
      <w:r>
        <w:t xml:space="preserve"> Há "...a capacidade de resposta pública.</w:t>
      </w:r>
      <w:r>
        <w:rPr>
          <w:b/>
        </w:rPr>
        <w:t xml:space="preserve">D</w:t>
      </w:r>
      <w:r>
        <w:t xml:space="preserve">iante desse cenário..." sem espaço. Aproveitando a correção, vale quebrar em dois: o período que termina em "capacidade de resposta pública" fecha a descrição do sistema de retroalimentação; o que começa em "Diante desse cenário" é a passagem para os eixos e funciona melhor como parágrafo próprio, imediatamente antes da Figura 2.</w:t>
      </w:r>
    </w:p>
    <w:p>
      <w:pPr>
        <w:pStyle w:val="Heading2"/>
      </w:pPr>
      <w:r>
        <w:t xml:space="preserve">4.4. Fora das três seções, mas decorrente delas</w:t>
      </w:r>
    </w:p>
    <w:p>
      <w:r>
        <w:t xml:space="preserve">A Lacuna 2 e a Recomendação 10 do Eixo 1 (item 3.1) e a nota 20 (item 4.2 do §229) não estão nas seções 1 a 3, mas derivam de decisões tomadas nelas. Vale resolver junto, enquanto o contexto está fresco.</w:t>
      </w:r>
    </w:p>
    <w:p>
      <w:pPr>
        <w:pStyle w:val="Heading1"/>
      </w:pPr>
      <w:r>
        <w:t xml:space="preserve">5. Comentários abertos nessas seções</w:t>
      </w:r>
    </w:p>
    <w:tbl>
      <w:tblPr>
        <w:tblW w:w="90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1114"/>
        <w:gridCol w:w="1183"/>
        <w:gridCol w:w="953"/>
        <w:gridCol w:w="5820"/>
      </w:tblGrid>
      <w:tr>
        <w:trPr>
          <w:tblHeader/>
        </w:trPr>
        <w:tc>
          <w:tcPr>
            <w:tcW w:w="1114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id</w:t>
            </w:r>
          </w:p>
        </w:tc>
        <w:tc>
          <w:tcPr>
            <w:tcW w:w="1183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Autor</w:t>
            </w:r>
          </w:p>
        </w:tc>
        <w:tc>
          <w:tcPr>
            <w:tcW w:w="953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Onde</w:t>
            </w:r>
          </w:p>
        </w:tc>
        <w:tc>
          <w:tcPr>
            <w:tcW w:w="5820" w:type="dxa"/>
            <w:shd w:val="clear" w:color="auto" w:fill="F2F6F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Situação e sugestão de resposta</w:t>
            </w:r>
          </w:p>
        </w:tc>
      </w:tr>
      <w:tr>
        <w:tc>
          <w:tcPr>
            <w:tcW w:w="111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0, 1, 2, 3</w:t>
            </w:r>
          </w:p>
        </w:tc>
        <w:tc>
          <w:tcPr>
            <w:tcW w:w="118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Mariana, Larissa, Lenira</w:t>
            </w:r>
          </w:p>
        </w:tc>
        <w:tc>
          <w:tcPr>
            <w:tcW w:w="9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§183</w:t>
            </w:r>
          </w:p>
        </w:tc>
        <w:tc>
          <w:tcPr>
            <w:tcW w:w="5820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Resolver agora.</w:t>
            </w:r>
            <w:r>
              <w:rPr>
                <w:sz w:val="19"/>
                <w:szCs w:val="19"/>
              </w:rPr>
              <w:t xml:space="preserve"> Aplicar a redação de 4.1 com a nota sobre Chatham House. Responder: "Mantidas as instituições, com nota explicitando que nenhuma contribuição é atribuída nominalmente. 'a adelphi' corrigido, obrigado Lenira."</w:t>
            </w:r>
          </w:p>
        </w:tc>
      </w:tr>
      <w:tr>
        <w:tc>
          <w:tcPr>
            <w:tcW w:w="111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118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Lenira</w:t>
            </w:r>
          </w:p>
        </w:tc>
        <w:tc>
          <w:tcPr>
            <w:tcW w:w="9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§203</w:t>
            </w:r>
          </w:p>
        </w:tc>
        <w:tc>
          <w:tcPr>
            <w:tcW w:w="582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Elemento visual conectando as dimensões. É a Figura 1, que já existe na seção 2. Sugestão: mover a Figura 1 para 1.4.1, onde as dimensões são definidas, e renumerar. Responde ao comentário e aproxima a figura do texto que ela ilustra.</w:t>
            </w:r>
          </w:p>
        </w:tc>
      </w:tr>
      <w:tr>
        <w:tc>
          <w:tcPr>
            <w:tcW w:w="111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4, 5, 6, 7, 8</w:t>
            </w:r>
          </w:p>
        </w:tc>
        <w:tc>
          <w:tcPr>
            <w:tcW w:w="118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Mariana, Larissa, Lenira</w:t>
            </w:r>
          </w:p>
        </w:tc>
        <w:tc>
          <w:tcPr>
            <w:tcW w:w="9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§190</w:t>
            </w:r>
          </w:p>
        </w:tc>
        <w:tc>
          <w:tcPr>
            <w:tcW w:w="582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Figura da interseção entre eixos. Três pessoas descartaram a imagem gerada; Larissa pediu a sua. Tema da sessão de visualização — responder que entra naquela frente, sem travar o fechamento da seção.</w:t>
            </w:r>
          </w:p>
        </w:tc>
      </w:tr>
      <w:tr>
        <w:tc>
          <w:tcPr>
            <w:tcW w:w="111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13, 14, 15, 16</w:t>
            </w:r>
          </w:p>
        </w:tc>
        <w:tc>
          <w:tcPr>
            <w:tcW w:w="118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Mariana, você, Lenira</w:t>
            </w:r>
          </w:p>
        </w:tc>
        <w:tc>
          <w:tcPr>
            <w:tcW w:w="9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§222</w:t>
            </w:r>
          </w:p>
        </w:tc>
        <w:tc>
          <w:tcPr>
            <w:tcW w:w="5820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Resolver agora.</w:t>
            </w:r>
            <w:r>
              <w:rPr>
                <w:sz w:val="19"/>
                <w:szCs w:val="19"/>
              </w:rPr>
              <w:t xml:space="preserve"> Consenso formado em "O Papel das Forças Armadas na Segurança da Amazônia".</w:t>
            </w:r>
          </w:p>
        </w:tc>
      </w:tr>
      <w:tr>
        <w:tc>
          <w:tcPr>
            <w:tcW w:w="111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10, 11, 12</w:t>
            </w:r>
          </w:p>
        </w:tc>
        <w:tc>
          <w:tcPr>
            <w:tcW w:w="118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Mariana</w:t>
            </w:r>
          </w:p>
        </w:tc>
        <w:tc>
          <w:tcPr>
            <w:tcW w:w="9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§222</w:t>
            </w:r>
          </w:p>
        </w:tc>
        <w:tc>
          <w:tcPr>
            <w:tcW w:w="582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Militarização e os limites das Forças. O §230 já trata da tensão, inclusive da resistência interna às Forças assumirem a linha de frente — que é exatamente o argumento do general citado por Mariana. Sugestão de resposta: apontar o §230 e propor incorporar a fala do comandante do centro de inteligência como nota, já que é declaração pública e recente de fonte militar, o que reforça a posição da Agenda em vez de contrariá-la.</w:t>
            </w:r>
          </w:p>
        </w:tc>
      </w:tr>
      <w:tr>
        <w:tc>
          <w:tcPr>
            <w:tcW w:w="111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19, 20, 21</w:t>
            </w:r>
          </w:p>
        </w:tc>
        <w:tc>
          <w:tcPr>
            <w:tcW w:w="118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Mariana</w:t>
            </w:r>
          </w:p>
        </w:tc>
        <w:tc>
          <w:tcPr>
            <w:tcW w:w="9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§227</w:t>
            </w:r>
          </w:p>
        </w:tc>
        <w:tc>
          <w:tcPr>
            <w:tcW w:w="582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Duplicatas de 10, 11 e 12, ancoradas no parágrafo residual. Fecham junto com a exclusão do parágrafo.</w:t>
            </w:r>
          </w:p>
        </w:tc>
      </w:tr>
      <w:tr>
        <w:tc>
          <w:tcPr>
            <w:tcW w:w="111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17, 18</w:t>
            </w:r>
          </w:p>
        </w:tc>
        <w:tc>
          <w:tcPr>
            <w:tcW w:w="118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você</w:t>
            </w:r>
          </w:p>
        </w:tc>
        <w:tc>
          <w:tcPr>
            <w:tcW w:w="9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§225</w:t>
            </w:r>
          </w:p>
        </w:tc>
        <w:tc>
          <w:tcPr>
            <w:tcW w:w="582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Seus próprios. O 18 depende da decisão sobre o §227 — resolve-se junto.</w:t>
            </w:r>
          </w:p>
        </w:tc>
      </w:tr>
      <w:tr>
        <w:tc>
          <w:tcPr>
            <w:tcW w:w="111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22, 23, 24, 25</w:t>
            </w:r>
          </w:p>
        </w:tc>
        <w:tc>
          <w:tcPr>
            <w:tcW w:w="118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Mariana, você</w:t>
            </w:r>
          </w:p>
        </w:tc>
        <w:tc>
          <w:tcPr>
            <w:tcW w:w="9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§228</w:t>
            </w:r>
          </w:p>
        </w:tc>
        <w:tc>
          <w:tcPr>
            <w:tcW w:w="5820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Resolver agora</w:t>
            </w:r>
            <w:r>
              <w:rPr>
                <w:sz w:val="19"/>
                <w:szCs w:val="19"/>
              </w:rPr>
              <w:t xml:space="preserve">, com o material de 2.2. A resposta a dar a Mariana é substantiva: a regra não impede citar o evento, impede identificar quem falou; e, no caso do Ibama, há material público equivalente, o que torna a questão ociosa.</w:t>
            </w:r>
          </w:p>
        </w:tc>
      </w:tr>
      <w:tr>
        <w:tc>
          <w:tcPr>
            <w:tcW w:w="111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26, 27, 28, 29, 30</w:t>
            </w:r>
          </w:p>
        </w:tc>
        <w:tc>
          <w:tcPr>
            <w:tcW w:w="118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Lenira</w:t>
            </w:r>
          </w:p>
        </w:tc>
        <w:tc>
          <w:tcPr>
            <w:tcW w:w="9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§228</w:t>
            </w:r>
          </w:p>
        </w:tc>
        <w:tc>
          <w:tcPr>
            <w:tcW w:w="582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Lenira está certa sobre frota e viaturas: sem fonte pública e com notícia em sentido contrário. Aceitar a supressão. Responder também que o dado da ANM veio do Workshop </w:t>
            </w:r>
            <w:r>
              <w:rPr>
                <w:b/>
                <w:sz w:val="19"/>
                <w:szCs w:val="19"/>
              </w:rPr>
              <w:t xml:space="preserve">Nacional</w:t>
            </w:r>
            <w:r>
              <w:rPr>
                <w:sz w:val="19"/>
                <w:szCs w:val="19"/>
              </w:rPr>
              <w:t xml:space="preserve">, não do Regional, e é relato de terceiro na transcrição — por isso sai.</w:t>
            </w:r>
          </w:p>
        </w:tc>
      </w:tr>
      <w:tr>
        <w:tc>
          <w:tcPr>
            <w:tcW w:w="111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31, 32, 33, 34</w:t>
            </w:r>
          </w:p>
        </w:tc>
        <w:tc>
          <w:tcPr>
            <w:tcW w:w="118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Mariana</w:t>
            </w:r>
          </w:p>
        </w:tc>
        <w:tc>
          <w:tcPr>
            <w:tcW w:w="9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§229</w:t>
            </w:r>
          </w:p>
        </w:tc>
        <w:tc>
          <w:tcPr>
            <w:tcW w:w="5820" w:type="dxa"/>
            <w:vAlign w:val="top"/>
          </w:tcPr>
          <w:p>
            <w:pPr>
              <w:pStyle w:val="Cell"/>
            </w:pPr>
            <w:r>
              <w:rPr>
                <w:b/>
                <w:sz w:val="19"/>
                <w:szCs w:val="19"/>
              </w:rPr>
              <w:t xml:space="preserve">Resolver agora</w:t>
            </w:r>
            <w:r>
              <w:rPr>
                <w:sz w:val="19"/>
                <w:szCs w:val="19"/>
              </w:rPr>
              <w:t xml:space="preserve"> com a redação de 4.2, que elimina a repetição e reancora a nota da Escudo. O comentário 34 (dados do CMA) segue aberto até os dados chegarem.</w:t>
            </w:r>
          </w:p>
        </w:tc>
      </w:tr>
      <w:tr>
        <w:tc>
          <w:tcPr>
            <w:tcW w:w="111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35, 36</w:t>
            </w:r>
          </w:p>
        </w:tc>
        <w:tc>
          <w:tcPr>
            <w:tcW w:w="118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Mariana, Lenira</w:t>
            </w:r>
          </w:p>
        </w:tc>
        <w:tc>
          <w:tcPr>
            <w:tcW w:w="9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§256</w:t>
            </w:r>
          </w:p>
        </w:tc>
        <w:tc>
          <w:tcPr>
            <w:tcW w:w="582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Resolvido. Fechar.</w:t>
            </w:r>
          </w:p>
        </w:tc>
      </w:tr>
      <w:tr>
        <w:tc>
          <w:tcPr>
            <w:tcW w:w="1114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51, 52, 53, 54</w:t>
            </w:r>
          </w:p>
        </w:tc>
        <w:tc>
          <w:tcPr>
            <w:tcW w:w="118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Lenira, você</w:t>
            </w:r>
          </w:p>
        </w:tc>
        <w:tc>
          <w:tcPr>
            <w:tcW w:w="953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§490</w:t>
            </w:r>
          </w:p>
        </w:tc>
        <w:tc>
          <w:tcPr>
            <w:tcW w:w="5820" w:type="dxa"/>
            <w:vAlign w:val="top"/>
          </w:tcPr>
          <w:p>
            <w:pPr>
              <w:pStyle w:val="Cell"/>
            </w:pPr>
            <w:r>
              <w:rPr>
                <w:sz w:val="19"/>
                <w:szCs w:val="19"/>
              </w:rPr>
              <w:t xml:space="preserve">A citação que você escolheu (Carolina Bastos, [27:10]) é do </w:t>
            </w:r>
            <w:r>
              <w:rPr>
                <w:b/>
                <w:sz w:val="19"/>
                <w:szCs w:val="19"/>
              </w:rPr>
              <w:t xml:space="preserve">Webinar 1</w:t>
            </w:r>
            <w:r>
              <w:rPr>
                <w:sz w:val="19"/>
                <w:szCs w:val="19"/>
              </w:rPr>
              <w:t xml:space="preserve">, não do Webinar 3 — vale corrigir a referência ao fechar. E ela passa a ter função dupla: serve como citação em destaque e como âncora pública do §228.</w:t>
            </w:r>
          </w:p>
        </w:tc>
      </w:tr>
    </w:tbl>
    <w:p>
      <w:pPr>
        <w:pStyle w:val="Tight"/>
      </w:pPr>
    </w:p>
    <w:p>
      <w:pPr>
        <w:pStyle w:val="Heading1"/>
      </w:pPr>
      <w:r>
        <w:t xml:space="preserve">6. O que fica para a próxima rodada</w:t>
      </w:r>
    </w:p>
    <w:p>
      <w:r>
        <w:t xml:space="preserve">Não são itens destas três seções, mas dependem do que se decidir aqui:</w:t>
      </w:r>
    </w:p>
    <w:p>
      <w:pPr>
        <w:pStyle w:val="Bullet"/>
      </w:pPr>
      <w:r>
        <w:t xml:space="preserve">• </w:t>
      </w:r>
      <w:r>
        <w:rPr>
          <w:b/>
        </w:rPr>
        <w:t xml:space="preserve">Conclusão</w:t>
      </w:r>
      <w:r>
        <w:t xml:space="preserve">, prioridade 1 da equipe. Os comentários 64, 66, 67 e 68 já estão abertos lá, e o 66 de Mariana ("O que é um Estado multidimensional?") é a última ocorrência do termo em posição de destaque. Os comentários 67 e 68 mostram Mariana e Lenira já de acordo em retirar da conclusão a evidência do FBSP atribuída ao Centro.</w:t>
      </w:r>
    </w:p>
    <w:p>
      <w:pPr>
        <w:pStyle w:val="Bullet"/>
      </w:pPr>
      <w:r>
        <w:t xml:space="preserve">• </w:t>
      </w:r>
      <w:r>
        <w:rPr>
          <w:b/>
        </w:rPr>
        <w:t xml:space="preserve">Notas duplicadas 14, 40 e 46</w:t>
      </w:r>
      <w:r>
        <w:t xml:space="preserve">, que citam a mesma parceria Igarapé/FBSP/S&amp;C em três formas divergentes, uma delas malformada ("</w:t>
      </w:r>
      <w:r>
        <w:rPr>
          <w:rFonts w:ascii="Consolas" w:hAnsi="Consolas"/>
        </w:rPr>
        <w:t xml:space="preserve">&amp; FÓRUM DE SEGURANÇA PÚBLICA. , 2022. Governança e Capacidades...</w:t>
      </w:r>
      <w:r>
        <w:t xml:space="preserve">"). Com o tema da atribuição em pauta, é o conserto de maior retorno por esforço.</w:t>
      </w:r>
    </w:p>
    <w:p>
      <w:pPr>
        <w:pStyle w:val="Bullet"/>
      </w:pPr>
      <w:r>
        <w:t xml:space="preserve">• </w:t>
      </w:r>
      <w:r>
        <w:rPr>
          <w:b/>
        </w:rPr>
        <w:t xml:space="preserve">Crédito ao Igarapé nas passagens sobre mercúrio</w:t>
      </w:r>
      <w:r>
        <w:t xml:space="preserve"> (Lacunas 2 e 6 do Eixo 2), ainda sem nenhuma referência.</w:t>
      </w:r>
    </w:p>
    <w:p>
      <w:pPr>
        <w:pStyle w:val="Bullet"/>
      </w:pPr>
      <w:r>
        <w:t xml:space="preserve">• </w:t>
      </w:r>
      <w:r>
        <w:rPr>
          <w:b/>
        </w:rPr>
        <w:t xml:space="preserve">Conferência dos 97 links</w:t>
      </w:r>
      <w:r>
        <w:t xml:space="preserve">, nunca feita.</w:t>
      </w:r>
    </w:p>
    <w:p>
      <w:pPr>
        <w:pStyle w:val="Bullet"/>
      </w:pPr>
      <w:r>
        <w:t xml:space="preserve">• </w:t>
      </w:r>
      <w:r>
        <w:rPr>
          <w:b/>
        </w:rPr>
        <w:t xml:space="preserve">Dados do CMA para a Ágata</w:t>
      </w:r>
      <w:r>
        <w:t xml:space="preserve">, com Mariana.</w:t>
      </w:r>
    </w:p>
    <w:p>
      <w:pPr>
        <w:pStyle w:val="Bullet"/>
      </w:pPr>
      <w:r>
        <w:t xml:space="preserve">• </w:t>
      </w:r>
      <w:r>
        <w:rPr>
          <w:b/>
        </w:rPr>
        <w:t xml:space="preserve">Figuras 1 e 2</w:t>
      </w:r>
      <w:r>
        <w:t xml:space="preserve">, na frente de visualização.</w:t>
      </w:r>
    </w:p>
    <w:sectPr>
      <w:pgSz w:w="11906" w:h="16838"/>
      <w:pgMar w:top="1418" w:right="1418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pt-BR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  <w:qFormat/>
  </w:style>
  <w:style w:type="paragraph" w:styleId="TitleX">
    <w:name w:val="TitleX"/>
    <w:basedOn w:val="Normal"/>
    <w:pPr>
      <w:spacing w:after="60"/>
      <w:jc w:val="left"/>
    </w:pPr>
    <w:rPr>
      <w:b/>
      <w:sz w:val="38"/>
      <w:szCs w:val="38"/>
      <w:color w:val="1F3864"/>
    </w:rPr>
  </w:style>
  <w:style w:type="paragraph" w:styleId="SubtitleX">
    <w:name w:val="SubtitleX"/>
    <w:basedOn w:val="Normal"/>
    <w:pPr>
      <w:spacing w:after="280"/>
      <w:jc w:val="left"/>
    </w:pPr>
    <w:rPr>
      <w:color w:val="595959"/>
      <w:sz w:val="22"/>
      <w:szCs w:val="22"/>
    </w:rPr>
  </w:style>
  <w:style w:type="paragraph" w:styleId="Cell">
    <w:name w:val="Cell"/>
    <w:basedOn w:val="Normal"/>
    <w:pPr>
      <w:spacing w:after="40" w:line="240" w:lineRule="auto"/>
      <w:jc w:val="left"/>
    </w:pPr>
    <w:rPr>
      <w:sz w:val="19"/>
      <w:szCs w:val="19"/>
    </w:rPr>
  </w:style>
  <w:style w:type="paragraph" w:styleId="Tight">
    <w:name w:val="Tight"/>
    <w:basedOn w:val="Normal"/>
    <w:pPr>
      <w:spacing w:after="0" w:line="120" w:lineRule="auto"/>
    </w:pPr>
  </w:style>
  <w:style w:type="paragraph" w:styleId="Bullet">
    <w:name w:val="Bullet"/>
    <w:basedOn w:val="Normal"/>
    <w:pPr>
      <w:spacing w:after="60"/>
      <w:ind w:left="340" w:hanging="170"/>
      <w:jc w:val="left"/>
    </w:pPr>
  </w:style>
  <w:style w:type="paragraph" w:styleId="Heading1">
    <w:name w:val="heading 1"/>
    <w:basedOn w:val="Normal"/>
    <w:next w:val="Normal"/>
    <w:qFormat/>
    <w:pPr>
      <w:spacing w:before="340" w:after="160"/>
      <w:jc w:val="left"/>
      <w:outlineLvl w:val="0"/>
    </w:pPr>
    <w:rPr>
      <w:b/>
      <w:sz w:val="30"/>
      <w:szCs w:val="30"/>
      <w:color w:val="1F3864"/>
    </w:rPr>
  </w:style>
  <w:style w:type="paragraph" w:styleId="Heading2">
    <w:name w:val="heading 2"/>
    <w:basedOn w:val="Normal"/>
    <w:next w:val="Normal"/>
    <w:qFormat/>
    <w:pPr>
      <w:spacing w:before="280" w:after="140"/>
      <w:jc w:val="left"/>
      <w:outlineLvl w:val="1"/>
    </w:pPr>
    <w:rPr>
      <w:b/>
      <w:sz w:val="26"/>
      <w:szCs w:val="26"/>
      <w:color w:val="1F3864"/>
    </w:rPr>
  </w:style>
  <w:style w:type="paragraph" w:styleId="Heading3">
    <w:name w:val="heading 3"/>
    <w:basedOn w:val="Normal"/>
    <w:next w:val="Normal"/>
    <w:qFormat/>
    <w:pPr>
      <w:spacing w:before="240" w:after="120"/>
      <w:jc w:val="left"/>
      <w:outlineLvl w:val="2"/>
    </w:pPr>
    <w:rPr>
      <w:b/>
      <w:sz w:val="23"/>
      <w:szCs w:val="23"/>
      <w:color w:val="2E5496"/>
    </w:rPr>
  </w:style>
  <w:style w:type="paragraph" w:styleId="Heading4">
    <w:name w:val="heading 4"/>
    <w:basedOn w:val="Normal"/>
    <w:next w:val="Normal"/>
    <w:qFormat/>
    <w:pPr>
      <w:spacing w:before="200" w:after="100"/>
      <w:jc w:val="left"/>
      <w:outlineLvl w:val="3"/>
    </w:pPr>
    <w:rPr>
      <w:b/>
      <w:i/>
      <w:sz w:val="22"/>
      <w:szCs w:val="22"/>
      <w:color w:val="2E549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