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X"/>
      </w:pPr>
      <w:r>
        <w:t xml:space="preserve">Agenda v3 × varredura das transcrições</w:t>
      </w:r>
    </w:p>
    <w:p>
      <w:pPr>
        <w:pStyle w:val="SubtitleX"/>
      </w:pPr>
      <w:r>
        <w:t xml:space="preserve">Análise comparativa: o que falta na Agenda, o que acrescentar agora e o que não tem lastro nos eventos · 25/09/2026</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1788"/>
        <w:gridCol w:w="7282"/>
      </w:tblGrid>
      <w:tr>
        <w:trPr>
          <w:tblHeader/>
        </w:trPr>
        <w:tc>
          <w:tcPr>
            <w:tcW w:w="1788" w:type="dxa"/>
            <w:shd w:val="clear" w:color="auto" w:fill="F2F6FA"/>
            <w:vAlign w:val="top"/>
          </w:tcPr>
          <w:p>
            <w:pPr>
              <w:pStyle w:val="Cell"/>
            </w:pPr>
            <w:r>
              <w:rPr>
                <w:b/>
                <w:sz w:val="19"/>
                <w:szCs w:val="19"/>
              </w:rPr>
              <w:t xml:space="preserve">Item</w:t>
            </w:r>
          </w:p>
        </w:tc>
        <w:tc>
          <w:tcPr>
            <w:tcW w:w="7282" w:type="dxa"/>
            <w:shd w:val="clear" w:color="auto" w:fill="F2F6FA"/>
            <w:vAlign w:val="top"/>
          </w:tcPr>
          <w:p>
            <w:pPr>
              <w:pStyle w:val="Cell"/>
            </w:pPr>
            <w:r>
              <w:rPr>
                <w:b/>
                <w:sz w:val="19"/>
                <w:szCs w:val="19"/>
              </w:rPr>
              <w:t xml:space="preserve">Descrição</w:t>
            </w:r>
          </w:p>
        </w:tc>
      </w:tr>
      <w:tr>
        <w:tc>
          <w:tcPr>
            <w:tcW w:w="1788" w:type="dxa"/>
            <w:vAlign w:val="top"/>
          </w:tcPr>
          <w:p>
            <w:pPr>
              <w:pStyle w:val="Cell"/>
            </w:pPr>
            <w:r>
              <w:rPr>
                <w:sz w:val="19"/>
                <w:szCs w:val="19"/>
              </w:rPr>
              <w:t xml:space="preserve">Versões comparadas</w:t>
            </w:r>
          </w:p>
        </w:tc>
        <w:tc>
          <w:tcPr>
            <w:tcW w:w="7282" w:type="dxa"/>
            <w:vAlign w:val="top"/>
          </w:tcPr>
          <w:p>
            <w:pPr>
              <w:pStyle w:val="Cell"/>
            </w:pPr>
            <w:r>
              <w:rPr>
                <w:sz w:val="19"/>
                <w:szCs w:val="19"/>
              </w:rPr>
              <w:t xml:space="preserve">Agenda Política v3 (24/09/2026, texto integral) × documento "Varredura das transcrições" (25/09/2026)</w:t>
            </w:r>
          </w:p>
        </w:tc>
      </w:tr>
      <w:tr>
        <w:tc>
          <w:tcPr>
            <w:tcW w:w="1788" w:type="dxa"/>
            <w:vAlign w:val="top"/>
          </w:tcPr>
          <w:p>
            <w:pPr>
              <w:pStyle w:val="Cell"/>
            </w:pPr>
            <w:r>
              <w:rPr>
                <w:sz w:val="19"/>
                <w:szCs w:val="19"/>
              </w:rPr>
              <w:t xml:space="preserve">Referências auxiliares</w:t>
            </w:r>
          </w:p>
        </w:tc>
        <w:tc>
          <w:tcPr>
            <w:tcW w:w="7282" w:type="dxa"/>
            <w:vAlign w:val="top"/>
          </w:tcPr>
          <w:p>
            <w:pPr>
              <w:pStyle w:val="Cell"/>
            </w:pPr>
            <w:r>
              <w:rPr>
                <w:sz w:val="19"/>
                <w:szCs w:val="19"/>
              </w:rPr>
              <w:t xml:space="preserve">Sugestões já feitas nesta rodada e ainda não incorporadas à Agenda (pares 1.4, 1.5, 1.6 e 3.7) e a proposta de reestruturação dos eixos, adiada</w:t>
            </w:r>
          </w:p>
        </w:tc>
      </w:tr>
      <w:tr>
        <w:tc>
          <w:tcPr>
            <w:tcW w:w="1788" w:type="dxa"/>
            <w:vAlign w:val="top"/>
          </w:tcPr>
          <w:p>
            <w:pPr>
              <w:pStyle w:val="Cell"/>
            </w:pPr>
            <w:r>
              <w:rPr>
                <w:sz w:val="19"/>
                <w:szCs w:val="19"/>
              </w:rPr>
              <w:t xml:space="preserve">Regra aplicada</w:t>
            </w:r>
          </w:p>
        </w:tc>
        <w:tc>
          <w:tcPr>
            <w:tcW w:w="7282" w:type="dxa"/>
            <w:vAlign w:val="top"/>
          </w:tcPr>
          <w:p>
            <w:pPr>
              <w:pStyle w:val="Cell"/>
            </w:pPr>
            <w:r>
              <w:rPr>
                <w:sz w:val="19"/>
                <w:szCs w:val="19"/>
              </w:rPr>
              <w:t xml:space="preserve">Toda sugestão de alteração traz o texto original e a versão sugerida; recomendações avaliadas pelas implicações políticas, jurídicas, institucionais e técnicas</w:t>
            </w:r>
          </w:p>
        </w:tc>
      </w:tr>
      <w:tr>
        <w:tc>
          <w:tcPr>
            <w:tcW w:w="1788" w:type="dxa"/>
            <w:vAlign w:val="top"/>
          </w:tcPr>
          <w:p>
            <w:pPr>
              <w:pStyle w:val="Cell"/>
            </w:pPr>
            <w:r>
              <w:rPr>
                <w:sz w:val="19"/>
                <w:szCs w:val="19"/>
              </w:rPr>
              <w:t xml:space="preserve">Status</w:t>
            </w:r>
          </w:p>
        </w:tc>
        <w:tc>
          <w:tcPr>
            <w:tcW w:w="7282" w:type="dxa"/>
            <w:vAlign w:val="top"/>
          </w:tcPr>
          <w:p>
            <w:pPr>
              <w:pStyle w:val="Cell"/>
            </w:pPr>
            <w:r>
              <w:rPr>
                <w:sz w:val="19"/>
                <w:szCs w:val="19"/>
              </w:rPr>
              <w:t xml:space="preserve">Análise. Nada foi inserido na Agenda</w:t>
            </w:r>
          </w:p>
        </w:tc>
      </w:tr>
    </w:tbl>
    <w:p>
      <w:pPr>
        <w:pStyle w:val="Tight"/>
      </w:pPr>
    </w:p>
    <w:p>
      <w:pPr>
        <w:pStyle w:val="Heading1"/>
      </w:pPr>
      <w:r>
        <w:t xml:space="preserve">Resumo</w:t>
      </w:r>
    </w:p>
    <w:p>
      <w:pPr>
        <w:pStyle w:val="Bullet"/>
      </w:pPr>
      <w:r>
        <w:t xml:space="preserve">• </w:t>
      </w:r>
      <w:r>
        <w:rPr>
          <w:b/>
        </w:rPr>
        <w:t xml:space="preserve">A Agenda cobre a maior parte do diagnóstico que as transcrições sustentam.</w:t>
      </w:r>
      <w:r>
        <w:t xml:space="preserve"> Das 24 lacunas da varredura, 10 estão cobertas, 10 estão parcialmente cobertas e 4 estão ausentes.</w:t>
      </w:r>
    </w:p>
    <w:p>
      <w:pPr>
        <w:pStyle w:val="Bullet"/>
      </w:pPr>
      <w:r>
        <w:t xml:space="preserve">• </w:t>
      </w:r>
      <w:r>
        <w:rPr>
          <w:b/>
        </w:rPr>
        <w:t xml:space="preserve">A diferença principal está no tipo de recomendação, não no diagnóstico.</w:t>
      </w:r>
      <w:r>
        <w:t xml:space="preserve"> A Agenda tende a propor instrumentos novos ou dependentes do Congresso (colegiado por decreto, estatuto federal, fundo nacional, acordo multilateral, alteração do Código Florestal, reforma penal). As recomendações mais fortes das transcrições são de primeiro degrau e têm precedente. O maior ganho da varredura é oferecer essa camada incremental a recomendações que já existem.</w:t>
      </w:r>
    </w:p>
    <w:p>
      <w:pPr>
        <w:pStyle w:val="Bullet"/>
      </w:pPr>
      <w:r>
        <w:t xml:space="preserve">• </w:t>
      </w:r>
      <w:r>
        <w:rPr>
          <w:b/>
        </w:rPr>
        <w:t xml:space="preserve">Quatro temas da varredura estão ausentes e merecem entrar agora:</w:t>
      </w:r>
      <w:r>
        <w:t xml:space="preserve"> controle regulatório dos insumos do garimpo; divisão de trabalho da fiscalização entre os entes; capacidade das agências civis; recrutamento e exploração de pessoas. Dois deles podem ocupar vagas que já seriam abertas pelas fusões e pela supressão recomendadas (2.3 e 3.7), sem alterar a numeração.</w:t>
      </w:r>
    </w:p>
    <w:p>
      <w:pPr>
        <w:pStyle w:val="Bullet"/>
      </w:pPr>
      <w:r>
        <w:t xml:space="preserve">• </w:t>
      </w:r>
      <w:r>
        <w:rPr>
          <w:b/>
        </w:rPr>
        <w:t xml:space="preserve">Sete problemas de atribuição ou de fato devem ser corrigidos já</w:t>
      </w:r>
      <w:r>
        <w:t xml:space="preserve">, independentemente de qualquer decisão de estrutura. O mais sério é um dado do CAR lido ao contrário na Lacuna 3.2.</w:t>
      </w:r>
    </w:p>
    <w:p>
      <w:pPr>
        <w:pStyle w:val="Bullet"/>
      </w:pPr>
      <w:r>
        <w:t xml:space="preserve">• </w:t>
      </w:r>
      <w:r>
        <w:rPr>
          <w:b/>
        </w:rPr>
        <w:t xml:space="preserve">Oito pares têm conexão frágil com os eventos:</w:t>
      </w:r>
      <w:r>
        <w:t xml:space="preserve"> 2.7 e 2.11 não têm nenhuma; 1.9, 2.8 e 3.4 têm conexão fraca (em 1.9, a demanda partiu da própria organização do evento); 2.3, 2.9 e 3.8 divergem do que as transcrições indicam, na premissa ou na solução. Base documental é legítima, porque a Agenda declara triangulação com análise normativa. O problema aparece quando o texto atribui aos eventos o que veio de documentos, ou quando a recomendação é um D3 sem nenhum lastro nas falas. Esses pares são os primeiros candidatos a corte ou a rebaixamento de ambição.</w:t>
      </w:r>
    </w:p>
    <w:p>
      <w:pPr>
        <w:pStyle w:val="Bullet"/>
      </w:pPr>
      <w:r>
        <w:t xml:space="preserve">• </w:t>
      </w:r>
      <w:r>
        <w:rPr>
          <w:b/>
        </w:rPr>
        <w:t xml:space="preserve">Não faz sentido acrescentar agora</w:t>
      </w:r>
      <w:r>
        <w:t xml:space="preserve"> os temas com evidência contestada ou concentrada num só evento, ou politicamente sensíveis sem ganho proporcional: captura da ponta local, risco territorial de grandes obras, canal humanitário com a Venezuela. Ficam registrados para a versão reestruturada.</w:t>
      </w:r>
    </w:p>
    <w:p>
      <w:pPr>
        <w:pStyle w:val="Heading1"/>
      </w:pPr>
      <w:r>
        <w:t xml:space="preserve">Parte I — Como a comparação foi feita</w:t>
      </w:r>
    </w:p>
    <w:p>
      <w:r>
        <w:rPr>
          <w:b/>
        </w:rPr>
        <w:t xml:space="preserve">Mapeamento.</w:t>
      </w:r>
      <w:r>
        <w:t xml:space="preserve"> Cada uma das 24 lacunas da varredura foi confrontada com o texto integral da v3 (seções 1 a 5, 37 lacunas e 37 recomendações), e cada par da v3 foi confrontado com as fontes da varredura.</w:t>
      </w:r>
    </w:p>
    <w:p>
      <w:r>
        <w:rPr>
          <w:b/>
        </w:rPr>
        <w:t xml:space="preserve">Situação de cada lacuna da varredura na Agenda</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1434"/>
        <w:gridCol w:w="7636"/>
      </w:tblGrid>
      <w:tr>
        <w:trPr>
          <w:tblHeader/>
        </w:trPr>
        <w:tc>
          <w:tcPr>
            <w:tcW w:w="1434" w:type="dxa"/>
            <w:shd w:val="clear" w:color="auto" w:fill="F2F6FA"/>
            <w:vAlign w:val="top"/>
          </w:tcPr>
          <w:p>
            <w:pPr>
              <w:pStyle w:val="Cell"/>
            </w:pPr>
            <w:r>
              <w:rPr>
                <w:b/>
                <w:sz w:val="19"/>
                <w:szCs w:val="19"/>
              </w:rPr>
              <w:t xml:space="preserve">Situação</w:t>
            </w:r>
          </w:p>
        </w:tc>
        <w:tc>
          <w:tcPr>
            <w:tcW w:w="7636" w:type="dxa"/>
            <w:shd w:val="clear" w:color="auto" w:fill="F2F6FA"/>
            <w:vAlign w:val="top"/>
          </w:tcPr>
          <w:p>
            <w:pPr>
              <w:pStyle w:val="Cell"/>
            </w:pPr>
            <w:r>
              <w:rPr>
                <w:b/>
                <w:sz w:val="19"/>
                <w:szCs w:val="19"/>
              </w:rPr>
              <w:t xml:space="preserve">Critério</w:t>
            </w:r>
          </w:p>
        </w:tc>
      </w:tr>
      <w:tr>
        <w:tc>
          <w:tcPr>
            <w:tcW w:w="1434" w:type="dxa"/>
            <w:vAlign w:val="top"/>
          </w:tcPr>
          <w:p>
            <w:pPr>
              <w:pStyle w:val="Cell"/>
            </w:pPr>
            <w:r>
              <w:rPr>
                <w:sz w:val="19"/>
                <w:szCs w:val="19"/>
              </w:rPr>
              <w:t xml:space="preserve">Coberta</w:t>
            </w:r>
          </w:p>
        </w:tc>
        <w:tc>
          <w:tcPr>
            <w:tcW w:w="7636" w:type="dxa"/>
            <w:vAlign w:val="top"/>
          </w:tcPr>
          <w:p>
            <w:pPr>
              <w:pStyle w:val="Cell"/>
            </w:pPr>
            <w:r>
              <w:rPr>
                <w:sz w:val="19"/>
                <w:szCs w:val="19"/>
              </w:rPr>
              <w:t xml:space="preserve">Há lacuna e recomendação na mesma direção; o que falta é ajuste fino</w:t>
            </w:r>
          </w:p>
        </w:tc>
      </w:tr>
      <w:tr>
        <w:tc>
          <w:tcPr>
            <w:tcW w:w="1434" w:type="dxa"/>
            <w:vAlign w:val="top"/>
          </w:tcPr>
          <w:p>
            <w:pPr>
              <w:pStyle w:val="Cell"/>
            </w:pPr>
            <w:r>
              <w:rPr>
                <w:sz w:val="19"/>
                <w:szCs w:val="19"/>
              </w:rPr>
              <w:t xml:space="preserve">Parcial</w:t>
            </w:r>
          </w:p>
        </w:tc>
        <w:tc>
          <w:tcPr>
            <w:tcW w:w="7636" w:type="dxa"/>
            <w:vAlign w:val="top"/>
          </w:tcPr>
          <w:p>
            <w:pPr>
              <w:pStyle w:val="Cell"/>
            </w:pPr>
            <w:r>
              <w:rPr>
                <w:sz w:val="19"/>
                <w:szCs w:val="19"/>
              </w:rPr>
              <w:t xml:space="preserve">O diagnóstico aparece só como contexto, ou a lacuna existe mas a recomendação incremental está ausente</w:t>
            </w:r>
          </w:p>
        </w:tc>
      </w:tr>
      <w:tr>
        <w:tc>
          <w:tcPr>
            <w:tcW w:w="1434" w:type="dxa"/>
            <w:vAlign w:val="top"/>
          </w:tcPr>
          <w:p>
            <w:pPr>
              <w:pStyle w:val="Cell"/>
            </w:pPr>
            <w:r>
              <w:rPr>
                <w:sz w:val="19"/>
                <w:szCs w:val="19"/>
              </w:rPr>
              <w:t xml:space="preserve">Ausente</w:t>
            </w:r>
          </w:p>
        </w:tc>
        <w:tc>
          <w:tcPr>
            <w:tcW w:w="7636" w:type="dxa"/>
            <w:vAlign w:val="top"/>
          </w:tcPr>
          <w:p>
            <w:pPr>
              <w:pStyle w:val="Cell"/>
            </w:pPr>
            <w:r>
              <w:rPr>
                <w:sz w:val="19"/>
                <w:szCs w:val="19"/>
              </w:rPr>
              <w:t xml:space="preserve">Nem diagnóstico nem recomendação</w:t>
            </w:r>
          </w:p>
        </w:tc>
      </w:tr>
    </w:tbl>
    <w:p>
      <w:pPr>
        <w:pStyle w:val="Tight"/>
      </w:pPr>
    </w:p>
    <w:p>
      <w:r>
        <w:rPr>
          <w:b/>
        </w:rPr>
        <w:t xml:space="preserve">Conexão de cada par da Agenda com os eventos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1814"/>
        <w:gridCol w:w="7256"/>
      </w:tblGrid>
      <w:tr>
        <w:trPr>
          <w:tblHeader/>
        </w:trPr>
        <w:tc>
          <w:tcPr>
            <w:tcW w:w="1814" w:type="dxa"/>
            <w:shd w:val="clear" w:color="auto" w:fill="F2F6FA"/>
            <w:vAlign w:val="top"/>
          </w:tcPr>
          <w:p>
            <w:pPr>
              <w:pStyle w:val="Cell"/>
            </w:pPr>
            <w:r>
              <w:rPr>
                <w:b/>
                <w:sz w:val="19"/>
                <w:szCs w:val="19"/>
              </w:rPr>
              <w:t xml:space="preserve">Conexão</w:t>
            </w:r>
          </w:p>
        </w:tc>
        <w:tc>
          <w:tcPr>
            <w:tcW w:w="7256" w:type="dxa"/>
            <w:shd w:val="clear" w:color="auto" w:fill="F2F6FA"/>
            <w:vAlign w:val="top"/>
          </w:tcPr>
          <w:p>
            <w:pPr>
              <w:pStyle w:val="Cell"/>
            </w:pPr>
            <w:r>
              <w:rPr>
                <w:b/>
                <w:sz w:val="19"/>
                <w:szCs w:val="19"/>
              </w:rPr>
              <w:t xml:space="preserve">Critério</w:t>
            </w:r>
          </w:p>
        </w:tc>
      </w:tr>
      <w:tr>
        <w:tc>
          <w:tcPr>
            <w:tcW w:w="1814" w:type="dxa"/>
            <w:vAlign w:val="top"/>
          </w:tcPr>
          <w:p>
            <w:pPr>
              <w:pStyle w:val="Cell"/>
            </w:pPr>
            <w:r>
              <w:rPr>
                <w:sz w:val="19"/>
                <w:szCs w:val="19"/>
              </w:rPr>
              <w:t xml:space="preserve">Forte</w:t>
            </w:r>
          </w:p>
        </w:tc>
        <w:tc>
          <w:tcPr>
            <w:tcW w:w="7256" w:type="dxa"/>
            <w:vAlign w:val="top"/>
          </w:tcPr>
          <w:p>
            <w:pPr>
              <w:pStyle w:val="Cell"/>
            </w:pPr>
            <w:r>
              <w:rPr>
                <w:sz w:val="19"/>
                <w:szCs w:val="19"/>
              </w:rPr>
              <w:t xml:space="preserve">Três ou mais fontes, ou fato institucional específico relatado por quem opera</w:t>
            </w:r>
          </w:p>
        </w:tc>
      </w:tr>
      <w:tr>
        <w:tc>
          <w:tcPr>
            <w:tcW w:w="1814" w:type="dxa"/>
            <w:vAlign w:val="top"/>
          </w:tcPr>
          <w:p>
            <w:pPr>
              <w:pStyle w:val="Cell"/>
            </w:pPr>
            <w:r>
              <w:rPr>
                <w:sz w:val="19"/>
                <w:szCs w:val="19"/>
              </w:rPr>
              <w:t xml:space="preserve">Moderada</w:t>
            </w:r>
          </w:p>
        </w:tc>
        <w:tc>
          <w:tcPr>
            <w:tcW w:w="7256" w:type="dxa"/>
            <w:vAlign w:val="top"/>
          </w:tcPr>
          <w:p>
            <w:pPr>
              <w:pStyle w:val="Cell"/>
            </w:pPr>
            <w:r>
              <w:rPr>
                <w:sz w:val="19"/>
                <w:szCs w:val="19"/>
              </w:rPr>
              <w:t xml:space="preserve">Uma ou duas fontes</w:t>
            </w:r>
          </w:p>
        </w:tc>
      </w:tr>
      <w:tr>
        <w:tc>
          <w:tcPr>
            <w:tcW w:w="1814" w:type="dxa"/>
            <w:vAlign w:val="top"/>
          </w:tcPr>
          <w:p>
            <w:pPr>
              <w:pStyle w:val="Cell"/>
            </w:pPr>
            <w:r>
              <w:rPr>
                <w:sz w:val="19"/>
                <w:szCs w:val="19"/>
              </w:rPr>
              <w:t xml:space="preserve">Fraca</w:t>
            </w:r>
          </w:p>
        </w:tc>
        <w:tc>
          <w:tcPr>
            <w:tcW w:w="7256" w:type="dxa"/>
            <w:vAlign w:val="top"/>
          </w:tcPr>
          <w:p>
            <w:pPr>
              <w:pStyle w:val="Cell"/>
            </w:pPr>
            <w:r>
              <w:rPr>
                <w:sz w:val="19"/>
                <w:szCs w:val="19"/>
              </w:rPr>
              <w:t xml:space="preserve">Menção tangencial, ou demanda levantada pela própria organização do evento</w:t>
            </w:r>
          </w:p>
        </w:tc>
      </w:tr>
      <w:tr>
        <w:tc>
          <w:tcPr>
            <w:tcW w:w="1814" w:type="dxa"/>
            <w:vAlign w:val="top"/>
          </w:tcPr>
          <w:p>
            <w:pPr>
              <w:pStyle w:val="Cell"/>
            </w:pPr>
            <w:r>
              <w:rPr>
                <w:sz w:val="19"/>
                <w:szCs w:val="19"/>
              </w:rPr>
              <w:t xml:space="preserve">Divergente</w:t>
            </w:r>
          </w:p>
        </w:tc>
        <w:tc>
          <w:tcPr>
            <w:tcW w:w="7256" w:type="dxa"/>
            <w:vAlign w:val="top"/>
          </w:tcPr>
          <w:p>
            <w:pPr>
              <w:pStyle w:val="Cell"/>
            </w:pPr>
            <w:r>
              <w:rPr>
                <w:sz w:val="19"/>
                <w:szCs w:val="19"/>
              </w:rPr>
              <w:t xml:space="preserve">As transcrições apontam em outra direção, na premissa ou na solução</w:t>
            </w:r>
          </w:p>
        </w:tc>
      </w:tr>
      <w:tr>
        <w:tc>
          <w:tcPr>
            <w:tcW w:w="1814" w:type="dxa"/>
            <w:vAlign w:val="top"/>
          </w:tcPr>
          <w:p>
            <w:pPr>
              <w:pStyle w:val="Cell"/>
            </w:pPr>
            <w:r>
              <w:rPr>
                <w:sz w:val="19"/>
                <w:szCs w:val="19"/>
              </w:rPr>
              <w:t xml:space="preserve">Sem conexão</w:t>
            </w:r>
          </w:p>
        </w:tc>
        <w:tc>
          <w:tcPr>
            <w:tcW w:w="7256" w:type="dxa"/>
            <w:vAlign w:val="top"/>
          </w:tcPr>
          <w:p>
            <w:pPr>
              <w:pStyle w:val="Cell"/>
            </w:pPr>
            <w:r>
              <w:rPr>
                <w:sz w:val="19"/>
                <w:szCs w:val="19"/>
              </w:rPr>
              <w:t xml:space="preserve">Base exclusivamente documental</w:t>
            </w:r>
          </w:p>
        </w:tc>
      </w:tr>
    </w:tbl>
    <w:p>
      <w:pPr>
        <w:pStyle w:val="Tight"/>
      </w:pPr>
    </w:p>
    <w:p>
      <w:r>
        <w:rPr>
          <w:b/>
        </w:rPr>
        <w:t xml:space="preserve">Critérios para acrescentar à Agenda neste momento.</w:t>
      </w:r>
      <w:r>
        <w:t xml:space="preserve"> Um item entra agora se cumprir os quatro:</w:t>
      </w:r>
    </w:p>
    <w:p>
      <w:pPr>
        <w:pStyle w:val="Bullet"/>
      </w:pPr>
      <w:r>
        <w:t xml:space="preserve">1. evidência em três ou mais fontes, ou fato institucional específico;</w:t>
      </w:r>
    </w:p>
    <w:p>
      <w:pPr>
        <w:pStyle w:val="Bullet"/>
      </w:pPr>
      <w:r>
        <w:t xml:space="preserve">2. cabe num par existente, ou numa vaga já aberta por fusão ou supressão, sem renumerar;</w:t>
      </w:r>
    </w:p>
    <w:p>
      <w:pPr>
        <w:pStyle w:val="Bullet"/>
      </w:pPr>
      <w:r>
        <w:t xml:space="preserve">3. a recomendação é D1 ou D2 e tem precedente;</w:t>
      </w:r>
    </w:p>
    <w:p>
      <w:pPr>
        <w:pStyle w:val="Bullet"/>
      </w:pPr>
      <w:r>
        <w:t xml:space="preserve">4. não depende da reestruturação adiada.</w:t>
      </w:r>
    </w:p>
    <w:p>
      <w:r>
        <w:t xml:space="preserve">A entrada se dá de três formas:</w:t>
      </w:r>
    </w:p>
    <w:p>
      <w:pPr>
        <w:pStyle w:val="Bullet"/>
      </w:pPr>
      <w:r>
        <w:t xml:space="preserve">• </w:t>
      </w:r>
      <w:r>
        <w:rPr>
          <w:b/>
        </w:rPr>
        <w:t xml:space="preserve">correção obrigatória</w:t>
      </w:r>
      <w:r>
        <w:t xml:space="preserve">, aplicada já;</w:t>
      </w:r>
    </w:p>
    <w:p>
      <w:pPr>
        <w:pStyle w:val="Bullet"/>
      </w:pPr>
      <w:r>
        <w:t xml:space="preserve">• </w:t>
      </w:r>
      <w:r>
        <w:rPr>
          <w:b/>
        </w:rPr>
        <w:t xml:space="preserve">reforço dentro de um par</w:t>
      </w:r>
      <w:r>
        <w:t xml:space="preserve">, na rodada de reavaliação desse par;</w:t>
      </w:r>
    </w:p>
    <w:p>
      <w:pPr>
        <w:pStyle w:val="Bullet"/>
      </w:pPr>
      <w:r>
        <w:t xml:space="preserve">• </w:t>
      </w:r>
      <w:r>
        <w:rPr>
          <w:b/>
        </w:rPr>
        <w:t xml:space="preserve">par novo</w:t>
      </w:r>
      <w:r>
        <w:t xml:space="preserve">, só quando cumpre os quatro critérios.</w:t>
      </w:r>
    </w:p>
    <w:p>
      <w:r>
        <w:rPr>
          <w:b/>
        </w:rPr>
        <w:t xml:space="preserve">Por que a numeração pesa.</w:t>
      </w:r>
      <w:r>
        <w:t xml:space="preserve"> As rodadas de validação ancoram registros em números de lacuna, e a renumeração depois delas exige tabelas de conversão. Por isso a preferência é ocupar vagas que as fusões já abririam, ou acrescentar ao final de um eixo.</w:t>
      </w:r>
    </w:p>
    <w:p>
      <w:pPr>
        <w:pStyle w:val="Heading1"/>
      </w:pPr>
      <w:r>
        <w:t xml:space="preserve">Parte II — Mapa de correspondência</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1747"/>
        <w:gridCol w:w="1919"/>
        <w:gridCol w:w="1346"/>
        <w:gridCol w:w="4058"/>
      </w:tblGrid>
      <w:tr>
        <w:trPr>
          <w:tblHeader/>
        </w:trPr>
        <w:tc>
          <w:tcPr>
            <w:tcW w:w="1747" w:type="dxa"/>
            <w:shd w:val="clear" w:color="auto" w:fill="F2F6FA"/>
            <w:vAlign w:val="top"/>
          </w:tcPr>
          <w:p>
            <w:pPr>
              <w:pStyle w:val="Cell"/>
            </w:pPr>
            <w:r>
              <w:rPr>
                <w:b/>
                <w:sz w:val="19"/>
                <w:szCs w:val="19"/>
              </w:rPr>
              <w:t xml:space="preserve">Varredura</w:t>
            </w:r>
          </w:p>
        </w:tc>
        <w:tc>
          <w:tcPr>
            <w:tcW w:w="1919" w:type="dxa"/>
            <w:shd w:val="clear" w:color="auto" w:fill="F2F6FA"/>
            <w:vAlign w:val="top"/>
          </w:tcPr>
          <w:p>
            <w:pPr>
              <w:pStyle w:val="Cell"/>
            </w:pPr>
            <w:r>
              <w:rPr>
                <w:b/>
                <w:sz w:val="19"/>
                <w:szCs w:val="19"/>
              </w:rPr>
              <w:t xml:space="preserve">Pares da v3</w:t>
            </w:r>
          </w:p>
        </w:tc>
        <w:tc>
          <w:tcPr>
            <w:tcW w:w="1346" w:type="dxa"/>
            <w:shd w:val="clear" w:color="auto" w:fill="F2F6FA"/>
            <w:vAlign w:val="top"/>
          </w:tcPr>
          <w:p>
            <w:pPr>
              <w:pStyle w:val="Cell"/>
            </w:pPr>
            <w:r>
              <w:rPr>
                <w:b/>
                <w:sz w:val="19"/>
                <w:szCs w:val="19"/>
              </w:rPr>
              <w:t xml:space="preserve">Situação</w:t>
            </w:r>
          </w:p>
        </w:tc>
        <w:tc>
          <w:tcPr>
            <w:tcW w:w="4058" w:type="dxa"/>
            <w:shd w:val="clear" w:color="auto" w:fill="F2F6FA"/>
            <w:vAlign w:val="top"/>
          </w:tcPr>
          <w:p>
            <w:pPr>
              <w:pStyle w:val="Cell"/>
            </w:pPr>
            <w:r>
              <w:rPr>
                <w:b/>
                <w:sz w:val="19"/>
                <w:szCs w:val="19"/>
              </w:rPr>
              <w:t xml:space="preserve">O que falta na Agenda</w:t>
            </w:r>
          </w:p>
        </w:tc>
      </w:tr>
      <w:tr>
        <w:tc>
          <w:tcPr>
            <w:tcW w:w="1747" w:type="dxa"/>
            <w:vAlign w:val="top"/>
          </w:tcPr>
          <w:p>
            <w:pPr>
              <w:pStyle w:val="Cell"/>
            </w:pPr>
            <w:r>
              <w:rPr>
                <w:sz w:val="19"/>
                <w:szCs w:val="19"/>
              </w:rPr>
              <w:t xml:space="preserve">A1 Operações curtas não mudam o território</w:t>
            </w:r>
          </w:p>
        </w:tc>
        <w:tc>
          <w:tcPr>
            <w:tcW w:w="1919" w:type="dxa"/>
            <w:vAlign w:val="top"/>
          </w:tcPr>
          <w:p>
            <w:pPr>
              <w:pStyle w:val="Cell"/>
            </w:pPr>
            <w:r>
              <w:rPr>
                <w:sz w:val="19"/>
                <w:szCs w:val="19"/>
              </w:rPr>
              <w:t xml:space="preserve">1.6; abertura do Eixo 1 (Casa de Governo)</w:t>
            </w:r>
          </w:p>
        </w:tc>
        <w:tc>
          <w:tcPr>
            <w:tcW w:w="1346" w:type="dxa"/>
            <w:vAlign w:val="top"/>
          </w:tcPr>
          <w:p>
            <w:pPr>
              <w:pStyle w:val="Cell"/>
            </w:pPr>
            <w:r>
              <w:rPr>
                <w:sz w:val="19"/>
                <w:szCs w:val="19"/>
              </w:rPr>
              <w:t xml:space="preserve">Parcial</w:t>
            </w:r>
          </w:p>
        </w:tc>
        <w:tc>
          <w:tcPr>
            <w:tcW w:w="4058" w:type="dxa"/>
            <w:vAlign w:val="top"/>
          </w:tcPr>
          <w:p>
            <w:pPr>
              <w:pStyle w:val="Cell"/>
            </w:pPr>
            <w:r>
              <w:rPr>
                <w:sz w:val="19"/>
                <w:szCs w:val="19"/>
              </w:rPr>
              <w:t xml:space="preserve">Ciclo contínuo de planejamento e inteligência; fase civil pós-operação (já na sugestão de 24/09 para a 1.6); prioridade territorial (em parte na sugestão para a 1.5)</w:t>
            </w:r>
          </w:p>
        </w:tc>
      </w:tr>
      <w:tr>
        <w:tc>
          <w:tcPr>
            <w:tcW w:w="1747" w:type="dxa"/>
            <w:vAlign w:val="top"/>
          </w:tcPr>
          <w:p>
            <w:pPr>
              <w:pStyle w:val="Cell"/>
            </w:pPr>
            <w:r>
              <w:rPr>
                <w:sz w:val="19"/>
                <w:szCs w:val="19"/>
              </w:rPr>
              <w:t xml:space="preserve">A2 Capacidade civil desproporcional</w:t>
            </w:r>
          </w:p>
        </w:tc>
        <w:tc>
          <w:tcPr>
            <w:tcW w:w="1919" w:type="dxa"/>
            <w:vAlign w:val="top"/>
          </w:tcPr>
          <w:p>
            <w:pPr>
              <w:pStyle w:val="Cell"/>
            </w:pPr>
            <w:r>
              <w:rPr>
                <w:sz w:val="19"/>
                <w:szCs w:val="19"/>
              </w:rPr>
              <w:t xml:space="preserve">§212 (seção 1.4.4), como contexto</w:t>
            </w:r>
          </w:p>
        </w:tc>
        <w:tc>
          <w:tcPr>
            <w:tcW w:w="1346" w:type="dxa"/>
            <w:vAlign w:val="top"/>
          </w:tcPr>
          <w:p>
            <w:pPr>
              <w:pStyle w:val="Cell"/>
            </w:pPr>
            <w:r>
              <w:rPr>
                <w:sz w:val="19"/>
                <w:szCs w:val="19"/>
              </w:rPr>
              <w:t xml:space="preserve">Parcial</w:t>
            </w:r>
          </w:p>
        </w:tc>
        <w:tc>
          <w:tcPr>
            <w:tcW w:w="4058" w:type="dxa"/>
            <w:vAlign w:val="top"/>
          </w:tcPr>
          <w:p>
            <w:pPr>
              <w:pStyle w:val="Cell"/>
            </w:pPr>
            <w:r>
              <w:rPr>
                <w:sz w:val="19"/>
                <w:szCs w:val="19"/>
              </w:rPr>
              <w:t xml:space="preserve">O §212 afirma que "a resposta estrutural também passa por fortalecer as agências civis", mas nenhuma recomendação faz isso</w:t>
            </w:r>
          </w:p>
        </w:tc>
      </w:tr>
      <w:tr>
        <w:tc>
          <w:tcPr>
            <w:tcW w:w="1747" w:type="dxa"/>
            <w:vAlign w:val="top"/>
          </w:tcPr>
          <w:p>
            <w:pPr>
              <w:pStyle w:val="Cell"/>
            </w:pPr>
            <w:r>
              <w:rPr>
                <w:sz w:val="19"/>
                <w:szCs w:val="19"/>
              </w:rPr>
              <w:t xml:space="preserve">A3 Servidor exposto</w:t>
            </w:r>
          </w:p>
        </w:tc>
        <w:tc>
          <w:tcPr>
            <w:tcW w:w="1919" w:type="dxa"/>
            <w:vAlign w:val="top"/>
          </w:tcPr>
          <w:p>
            <w:pPr>
              <w:pStyle w:val="Cell"/>
            </w:pPr>
            <w:r>
              <w:rPr>
                <w:sz w:val="19"/>
                <w:szCs w:val="19"/>
              </w:rPr>
              <w:t xml:space="preserve">1.11</w:t>
            </w:r>
          </w:p>
        </w:tc>
        <w:tc>
          <w:tcPr>
            <w:tcW w:w="1346" w:type="dxa"/>
            <w:vAlign w:val="top"/>
          </w:tcPr>
          <w:p>
            <w:pPr>
              <w:pStyle w:val="Cell"/>
            </w:pPr>
            <w:r>
              <w:rPr>
                <w:sz w:val="19"/>
                <w:szCs w:val="19"/>
              </w:rPr>
              <w:t xml:space="preserve">Coberta</w:t>
            </w:r>
          </w:p>
        </w:tc>
        <w:tc>
          <w:tcPr>
            <w:tcW w:w="4058" w:type="dxa"/>
            <w:vAlign w:val="top"/>
          </w:tcPr>
          <w:p>
            <w:pPr>
              <w:pStyle w:val="Cell"/>
            </w:pPr>
            <w:r>
              <w:rPr>
                <w:sz w:val="19"/>
                <w:szCs w:val="19"/>
              </w:rPr>
              <w:t xml:space="preserve">Protocolo de risco e escolta com base no ACT existente; moradia protegida; atribuição ao W1 não se sustenta</w:t>
            </w:r>
          </w:p>
        </w:tc>
      </w:tr>
      <w:tr>
        <w:tc>
          <w:tcPr>
            <w:tcW w:w="1747" w:type="dxa"/>
            <w:vAlign w:val="top"/>
          </w:tcPr>
          <w:p>
            <w:pPr>
              <w:pStyle w:val="Cell"/>
            </w:pPr>
            <w:r>
              <w:rPr>
                <w:sz w:val="19"/>
                <w:szCs w:val="19"/>
              </w:rPr>
              <w:t xml:space="preserve">A4 Captura da ponta local</w:t>
            </w:r>
          </w:p>
        </w:tc>
        <w:tc>
          <w:tcPr>
            <w:tcW w:w="1919" w:type="dxa"/>
            <w:vAlign w:val="top"/>
          </w:tcPr>
          <w:p>
            <w:pPr>
              <w:pStyle w:val="Cell"/>
            </w:pPr>
            <w:r>
              <w:rPr>
                <w:sz w:val="19"/>
                <w:szCs w:val="19"/>
              </w:rPr>
              <w:t xml:space="preserve">§245, §247, §406, §413, como contexto</w:t>
            </w:r>
          </w:p>
        </w:tc>
        <w:tc>
          <w:tcPr>
            <w:tcW w:w="1346" w:type="dxa"/>
            <w:vAlign w:val="top"/>
          </w:tcPr>
          <w:p>
            <w:pPr>
              <w:pStyle w:val="Cell"/>
            </w:pPr>
            <w:r>
              <w:rPr>
                <w:sz w:val="19"/>
                <w:szCs w:val="19"/>
              </w:rPr>
              <w:t xml:space="preserve">Parcial</w:t>
            </w:r>
          </w:p>
        </w:tc>
        <w:tc>
          <w:tcPr>
            <w:tcW w:w="4058" w:type="dxa"/>
            <w:vAlign w:val="top"/>
          </w:tcPr>
          <w:p>
            <w:pPr>
              <w:pStyle w:val="Cell"/>
            </w:pPr>
            <w:r>
              <w:rPr>
                <w:sz w:val="19"/>
                <w:szCs w:val="19"/>
              </w:rPr>
              <w:t xml:space="preserve">Levantamento das dependências locais dos órgãos federais</w:t>
            </w:r>
          </w:p>
        </w:tc>
      </w:tr>
      <w:tr>
        <w:tc>
          <w:tcPr>
            <w:tcW w:w="1747" w:type="dxa"/>
            <w:vAlign w:val="top"/>
          </w:tcPr>
          <w:p>
            <w:pPr>
              <w:pStyle w:val="Cell"/>
            </w:pPr>
            <w:r>
              <w:rPr>
                <w:sz w:val="19"/>
                <w:szCs w:val="19"/>
              </w:rPr>
              <w:t xml:space="preserve">B1 Coordenação depende de pessoas</w:t>
            </w:r>
          </w:p>
        </w:tc>
        <w:tc>
          <w:tcPr>
            <w:tcW w:w="1919" w:type="dxa"/>
            <w:vAlign w:val="top"/>
          </w:tcPr>
          <w:p>
            <w:pPr>
              <w:pStyle w:val="Cell"/>
            </w:pPr>
            <w:r>
              <w:rPr>
                <w:sz w:val="19"/>
                <w:szCs w:val="19"/>
              </w:rPr>
              <w:t xml:space="preserve">1.1; 1.2; 3.7; abertura do Eixo 1</w:t>
            </w:r>
          </w:p>
        </w:tc>
        <w:tc>
          <w:tcPr>
            <w:tcW w:w="1346" w:type="dxa"/>
            <w:vAlign w:val="top"/>
          </w:tcPr>
          <w:p>
            <w:pPr>
              <w:pStyle w:val="Cell"/>
            </w:pPr>
            <w:r>
              <w:rPr>
                <w:sz w:val="19"/>
                <w:szCs w:val="19"/>
              </w:rPr>
              <w:t xml:space="preserve">Coberta</w:t>
            </w:r>
          </w:p>
        </w:tc>
        <w:tc>
          <w:tcPr>
            <w:tcW w:w="4058" w:type="dxa"/>
            <w:vAlign w:val="top"/>
          </w:tcPr>
          <w:p>
            <w:pPr>
              <w:pStyle w:val="Cell"/>
            </w:pPr>
            <w:r>
              <w:rPr>
                <w:sz w:val="19"/>
                <w:szCs w:val="19"/>
              </w:rPr>
              <w:t xml:space="preserve">Camada imediata: sistematizar a Casa de Governo; critérios de ativação</w:t>
            </w:r>
          </w:p>
        </w:tc>
      </w:tr>
      <w:tr>
        <w:tc>
          <w:tcPr>
            <w:tcW w:w="1747" w:type="dxa"/>
            <w:vAlign w:val="top"/>
          </w:tcPr>
          <w:p>
            <w:pPr>
              <w:pStyle w:val="Cell"/>
            </w:pPr>
            <w:r>
              <w:rPr>
                <w:sz w:val="19"/>
                <w:szCs w:val="19"/>
              </w:rPr>
              <w:t xml:space="preserve">B2 Inteligência sem amparo de sigilo</w:t>
            </w:r>
          </w:p>
        </w:tc>
        <w:tc>
          <w:tcPr>
            <w:tcW w:w="1919" w:type="dxa"/>
            <w:vAlign w:val="top"/>
          </w:tcPr>
          <w:p>
            <w:pPr>
              <w:pStyle w:val="Cell"/>
            </w:pPr>
            <w:r>
              <w:rPr>
                <w:sz w:val="19"/>
                <w:szCs w:val="19"/>
              </w:rPr>
              <w:t xml:space="preserve">1.3; 1.12; 3.7; 3.11</w:t>
            </w:r>
          </w:p>
        </w:tc>
        <w:tc>
          <w:tcPr>
            <w:tcW w:w="1346" w:type="dxa"/>
            <w:vAlign w:val="top"/>
          </w:tcPr>
          <w:p>
            <w:pPr>
              <w:pStyle w:val="Cell"/>
            </w:pPr>
            <w:r>
              <w:rPr>
                <w:sz w:val="19"/>
                <w:szCs w:val="19"/>
              </w:rPr>
              <w:t xml:space="preserve">Parcial</w:t>
            </w:r>
          </w:p>
        </w:tc>
        <w:tc>
          <w:tcPr>
            <w:tcW w:w="4058" w:type="dxa"/>
            <w:vAlign w:val="top"/>
          </w:tcPr>
          <w:p>
            <w:pPr>
              <w:pStyle w:val="Cell"/>
            </w:pPr>
            <w:r>
              <w:rPr>
                <w:sz w:val="19"/>
                <w:szCs w:val="19"/>
              </w:rPr>
              <w:t xml:space="preserve">Separação entre dados não sigilosos e inteligência classificada; credenciamento do receptor, objeção central do GSI</w:t>
            </w:r>
          </w:p>
        </w:tc>
      </w:tr>
      <w:tr>
        <w:tc>
          <w:tcPr>
            <w:tcW w:w="1747" w:type="dxa"/>
            <w:vAlign w:val="top"/>
          </w:tcPr>
          <w:p>
            <w:pPr>
              <w:pStyle w:val="Cell"/>
            </w:pPr>
            <w:r>
              <w:rPr>
                <w:sz w:val="19"/>
                <w:szCs w:val="19"/>
              </w:rPr>
              <w:t xml:space="preserve">B3 Orçamento fragmentado</w:t>
            </w:r>
          </w:p>
        </w:tc>
        <w:tc>
          <w:tcPr>
            <w:tcW w:w="1919" w:type="dxa"/>
            <w:vAlign w:val="top"/>
          </w:tcPr>
          <w:p>
            <w:pPr>
              <w:pStyle w:val="Cell"/>
            </w:pPr>
            <w:r>
              <w:rPr>
                <w:sz w:val="19"/>
                <w:szCs w:val="19"/>
              </w:rPr>
              <w:t xml:space="preserve">1.2 (atributo orçamentário); 1.6</w:t>
            </w:r>
          </w:p>
        </w:tc>
        <w:tc>
          <w:tcPr>
            <w:tcW w:w="1346" w:type="dxa"/>
            <w:vAlign w:val="top"/>
          </w:tcPr>
          <w:p>
            <w:pPr>
              <w:pStyle w:val="Cell"/>
            </w:pPr>
            <w:r>
              <w:rPr>
                <w:sz w:val="19"/>
                <w:szCs w:val="19"/>
              </w:rPr>
              <w:t xml:space="preserve">Parcial</w:t>
            </w:r>
          </w:p>
        </w:tc>
        <w:tc>
          <w:tcPr>
            <w:tcW w:w="4058" w:type="dxa"/>
            <w:vAlign w:val="top"/>
          </w:tcPr>
          <w:p>
            <w:pPr>
              <w:pStyle w:val="Cell"/>
            </w:pPr>
            <w:r>
              <w:rPr>
                <w:sz w:val="19"/>
                <w:szCs w:val="19"/>
              </w:rPr>
              <w:t xml:space="preserve">Custeio das operações integradas; crédito compartilhado</w:t>
            </w:r>
          </w:p>
        </w:tc>
      </w:tr>
      <w:tr>
        <w:tc>
          <w:tcPr>
            <w:tcW w:w="1747" w:type="dxa"/>
            <w:vAlign w:val="top"/>
          </w:tcPr>
          <w:p>
            <w:pPr>
              <w:pStyle w:val="Cell"/>
            </w:pPr>
            <w:r>
              <w:rPr>
                <w:sz w:val="19"/>
                <w:szCs w:val="19"/>
              </w:rPr>
              <w:t xml:space="preserve">B4 Competência comum sem divisão de trabalho</w:t>
            </w:r>
          </w:p>
        </w:tc>
        <w:tc>
          <w:tcPr>
            <w:tcW w:w="1919" w:type="dxa"/>
            <w:vAlign w:val="top"/>
          </w:tcPr>
          <w:p>
            <w:pPr>
              <w:pStyle w:val="Cell"/>
            </w:pPr>
            <w:r>
              <w:rPr>
                <w:sz w:val="19"/>
                <w:szCs w:val="19"/>
              </w:rPr>
              <w:t xml:space="preserve">nenhum (a 2.8 trata de bioeconomia)</w:t>
            </w:r>
          </w:p>
        </w:tc>
        <w:tc>
          <w:tcPr>
            <w:tcW w:w="1346" w:type="dxa"/>
            <w:vAlign w:val="top"/>
          </w:tcPr>
          <w:p>
            <w:pPr>
              <w:pStyle w:val="Cell"/>
            </w:pPr>
            <w:r>
              <w:rPr>
                <w:sz w:val="19"/>
                <w:szCs w:val="19"/>
              </w:rPr>
              <w:t xml:space="preserve">Ausente</w:t>
            </w:r>
          </w:p>
        </w:tc>
        <w:tc>
          <w:tcPr>
            <w:tcW w:w="4058" w:type="dxa"/>
            <w:vAlign w:val="top"/>
          </w:tcPr>
          <w:p>
            <w:pPr>
              <w:pStyle w:val="Cell"/>
            </w:pPr>
            <w:r>
              <w:rPr>
                <w:sz w:val="19"/>
                <w:szCs w:val="19"/>
              </w:rPr>
              <w:t xml:space="preserve">Pactuação da fiscalização nas comissões tripartites (LC 140/2011)</w:t>
            </w:r>
          </w:p>
        </w:tc>
      </w:tr>
      <w:tr>
        <w:tc>
          <w:tcPr>
            <w:tcW w:w="1747" w:type="dxa"/>
            <w:vAlign w:val="top"/>
          </w:tcPr>
          <w:p>
            <w:pPr>
              <w:pStyle w:val="Cell"/>
            </w:pPr>
            <w:r>
              <w:rPr>
                <w:sz w:val="19"/>
                <w:szCs w:val="19"/>
              </w:rPr>
              <w:t xml:space="preserve">C1 Financiador fora do alcance</w:t>
            </w:r>
          </w:p>
        </w:tc>
        <w:tc>
          <w:tcPr>
            <w:tcW w:w="1919" w:type="dxa"/>
            <w:vAlign w:val="top"/>
          </w:tcPr>
          <w:p>
            <w:pPr>
              <w:pStyle w:val="Cell"/>
            </w:pPr>
            <w:r>
              <w:rPr>
                <w:sz w:val="19"/>
                <w:szCs w:val="19"/>
              </w:rPr>
              <w:t xml:space="preserve">3.8</w:t>
            </w:r>
          </w:p>
        </w:tc>
        <w:tc>
          <w:tcPr>
            <w:tcW w:w="1346" w:type="dxa"/>
            <w:vAlign w:val="top"/>
          </w:tcPr>
          <w:p>
            <w:pPr>
              <w:pStyle w:val="Cell"/>
            </w:pPr>
            <w:r>
              <w:rPr>
                <w:sz w:val="19"/>
                <w:szCs w:val="19"/>
              </w:rPr>
              <w:t xml:space="preserve">Parcial</w:t>
            </w:r>
          </w:p>
        </w:tc>
        <w:tc>
          <w:tcPr>
            <w:tcW w:w="4058" w:type="dxa"/>
            <w:vAlign w:val="top"/>
          </w:tcPr>
          <w:p>
            <w:pPr>
              <w:pStyle w:val="Cell"/>
            </w:pPr>
            <w:r>
              <w:rPr>
                <w:sz w:val="19"/>
                <w:szCs w:val="19"/>
              </w:rPr>
              <w:t xml:space="preserve">Investigação financeira como padrão; Caixa Forte como rotina; ação da ENCCLA</w:t>
            </w:r>
          </w:p>
        </w:tc>
      </w:tr>
      <w:tr>
        <w:tc>
          <w:tcPr>
            <w:tcW w:w="1747" w:type="dxa"/>
            <w:vAlign w:val="top"/>
          </w:tcPr>
          <w:p>
            <w:pPr>
              <w:pStyle w:val="Cell"/>
            </w:pPr>
            <w:r>
              <w:rPr>
                <w:sz w:val="19"/>
                <w:szCs w:val="19"/>
              </w:rPr>
              <w:t xml:space="preserve">C2 Ouro no mercado formal</w:t>
            </w:r>
          </w:p>
        </w:tc>
        <w:tc>
          <w:tcPr>
            <w:tcW w:w="1919" w:type="dxa"/>
            <w:vAlign w:val="top"/>
          </w:tcPr>
          <w:p>
            <w:pPr>
              <w:pStyle w:val="Cell"/>
            </w:pPr>
            <w:r>
              <w:rPr>
                <w:sz w:val="19"/>
                <w:szCs w:val="19"/>
              </w:rPr>
              <w:t xml:space="preserve">2.1; 3.8; 1.8</w:t>
            </w:r>
          </w:p>
        </w:tc>
        <w:tc>
          <w:tcPr>
            <w:tcW w:w="1346" w:type="dxa"/>
            <w:vAlign w:val="top"/>
          </w:tcPr>
          <w:p>
            <w:pPr>
              <w:pStyle w:val="Cell"/>
            </w:pPr>
            <w:r>
              <w:rPr>
                <w:sz w:val="19"/>
                <w:szCs w:val="19"/>
              </w:rPr>
              <w:t xml:space="preserve">Coberta</w:t>
            </w:r>
          </w:p>
        </w:tc>
        <w:tc>
          <w:tcPr>
            <w:tcW w:w="4058" w:type="dxa"/>
            <w:vAlign w:val="top"/>
          </w:tcPr>
          <w:p>
            <w:pPr>
              <w:pStyle w:val="Cell"/>
            </w:pPr>
            <w:r>
              <w:rPr>
                <w:sz w:val="19"/>
                <w:szCs w:val="19"/>
              </w:rPr>
              <w:t xml:space="preserve">Amostragem de todo ouro apreendido</w:t>
            </w:r>
          </w:p>
        </w:tc>
      </w:tr>
      <w:tr>
        <w:tc>
          <w:tcPr>
            <w:tcW w:w="1747" w:type="dxa"/>
            <w:vAlign w:val="top"/>
          </w:tcPr>
          <w:p>
            <w:pPr>
              <w:pStyle w:val="Cell"/>
            </w:pPr>
            <w:r>
              <w:rPr>
                <w:sz w:val="19"/>
                <w:szCs w:val="19"/>
              </w:rPr>
              <w:t xml:space="preserve">C3 Insumos logísticos</w:t>
            </w:r>
          </w:p>
        </w:tc>
        <w:tc>
          <w:tcPr>
            <w:tcW w:w="1919" w:type="dxa"/>
            <w:vAlign w:val="top"/>
          </w:tcPr>
          <w:p>
            <w:pPr>
              <w:pStyle w:val="Cell"/>
            </w:pPr>
            <w:r>
              <w:rPr>
                <w:sz w:val="19"/>
                <w:szCs w:val="19"/>
              </w:rPr>
              <w:t xml:space="preserve">2.2 e 2.3, só para o mercúrio</w:t>
            </w:r>
          </w:p>
        </w:tc>
        <w:tc>
          <w:tcPr>
            <w:tcW w:w="1346" w:type="dxa"/>
            <w:vAlign w:val="top"/>
          </w:tcPr>
          <w:p>
            <w:pPr>
              <w:pStyle w:val="Cell"/>
            </w:pPr>
            <w:r>
              <w:rPr>
                <w:sz w:val="19"/>
                <w:szCs w:val="19"/>
              </w:rPr>
              <w:t xml:space="preserve">Ausente</w:t>
            </w:r>
          </w:p>
        </w:tc>
        <w:tc>
          <w:tcPr>
            <w:tcW w:w="4058" w:type="dxa"/>
            <w:vAlign w:val="top"/>
          </w:tcPr>
          <w:p>
            <w:pPr>
              <w:pStyle w:val="Cell"/>
            </w:pPr>
            <w:r>
              <w:rPr>
                <w:sz w:val="19"/>
                <w:szCs w:val="19"/>
              </w:rPr>
              <w:t xml:space="preserve">Combustível, aeronaves e pistas, conectividade: papel das agências reguladoras</w:t>
            </w:r>
          </w:p>
        </w:tc>
      </w:tr>
      <w:tr>
        <w:tc>
          <w:tcPr>
            <w:tcW w:w="1747" w:type="dxa"/>
            <w:vAlign w:val="top"/>
          </w:tcPr>
          <w:p>
            <w:pPr>
              <w:pStyle w:val="Cell"/>
            </w:pPr>
            <w:r>
              <w:rPr>
                <w:sz w:val="19"/>
                <w:szCs w:val="19"/>
              </w:rPr>
              <w:t xml:space="preserve">C4 Terra pública e CAR</w:t>
            </w:r>
          </w:p>
        </w:tc>
        <w:tc>
          <w:tcPr>
            <w:tcW w:w="1919" w:type="dxa"/>
            <w:vAlign w:val="top"/>
          </w:tcPr>
          <w:p>
            <w:pPr>
              <w:pStyle w:val="Cell"/>
            </w:pPr>
            <w:r>
              <w:rPr>
                <w:sz w:val="19"/>
                <w:szCs w:val="19"/>
              </w:rPr>
              <w:t xml:space="preserve">2.4; 3.1; 3.2; 3.3</w:t>
            </w:r>
          </w:p>
        </w:tc>
        <w:tc>
          <w:tcPr>
            <w:tcW w:w="1346" w:type="dxa"/>
            <w:vAlign w:val="top"/>
          </w:tcPr>
          <w:p>
            <w:pPr>
              <w:pStyle w:val="Cell"/>
            </w:pPr>
            <w:r>
              <w:rPr>
                <w:sz w:val="19"/>
                <w:szCs w:val="19"/>
              </w:rPr>
              <w:t xml:space="preserve">Coberta</w:t>
            </w:r>
          </w:p>
        </w:tc>
        <w:tc>
          <w:tcPr>
            <w:tcW w:w="4058" w:type="dxa"/>
            <w:vAlign w:val="top"/>
          </w:tcPr>
          <w:p>
            <w:pPr>
              <w:pStyle w:val="Cell"/>
            </w:pPr>
            <w:r>
              <w:rPr>
                <w:sz w:val="19"/>
                <w:szCs w:val="19"/>
              </w:rPr>
              <w:t xml:space="preserve">Suspensão dos efeitos do CAR como alternativa à alteração do Código Florestal; erro no dado dos 44%</w:t>
            </w:r>
          </w:p>
        </w:tc>
      </w:tr>
      <w:tr>
        <w:tc>
          <w:tcPr>
            <w:tcW w:w="1747" w:type="dxa"/>
            <w:vAlign w:val="top"/>
          </w:tcPr>
          <w:p>
            <w:pPr>
              <w:pStyle w:val="Cell"/>
            </w:pPr>
            <w:r>
              <w:rPr>
                <w:sz w:val="19"/>
                <w:szCs w:val="19"/>
              </w:rPr>
              <w:t xml:space="preserve">C5 Ilícito dentro do lícito</w:t>
            </w:r>
          </w:p>
        </w:tc>
        <w:tc>
          <w:tcPr>
            <w:tcW w:w="1919" w:type="dxa"/>
            <w:vAlign w:val="top"/>
          </w:tcPr>
          <w:p>
            <w:pPr>
              <w:pStyle w:val="Cell"/>
            </w:pPr>
            <w:r>
              <w:rPr>
                <w:sz w:val="19"/>
                <w:szCs w:val="19"/>
              </w:rPr>
              <w:t xml:space="preserve">3.8</w:t>
            </w:r>
          </w:p>
        </w:tc>
        <w:tc>
          <w:tcPr>
            <w:tcW w:w="1346" w:type="dxa"/>
            <w:vAlign w:val="top"/>
          </w:tcPr>
          <w:p>
            <w:pPr>
              <w:pStyle w:val="Cell"/>
            </w:pPr>
            <w:r>
              <w:rPr>
                <w:sz w:val="19"/>
                <w:szCs w:val="19"/>
              </w:rPr>
              <w:t xml:space="preserve">Parcial</w:t>
            </w:r>
          </w:p>
        </w:tc>
        <w:tc>
          <w:tcPr>
            <w:tcW w:w="4058" w:type="dxa"/>
            <w:vAlign w:val="top"/>
          </w:tcPr>
          <w:p>
            <w:pPr>
              <w:pStyle w:val="Cell"/>
            </w:pPr>
            <w:r>
              <w:rPr>
                <w:sz w:val="19"/>
                <w:szCs w:val="19"/>
              </w:rPr>
              <w:t xml:space="preserve">Responsabilização de compradores com a regra existente; identificação rápida de espécies</w:t>
            </w:r>
          </w:p>
        </w:tc>
      </w:tr>
      <w:tr>
        <w:tc>
          <w:tcPr>
            <w:tcW w:w="1747" w:type="dxa"/>
            <w:vAlign w:val="top"/>
          </w:tcPr>
          <w:p>
            <w:pPr>
              <w:pStyle w:val="Cell"/>
            </w:pPr>
            <w:r>
              <w:rPr>
                <w:sz w:val="19"/>
                <w:szCs w:val="19"/>
              </w:rPr>
              <w:t xml:space="preserve">C6 Biopirataria fora do radar</w:t>
            </w:r>
          </w:p>
        </w:tc>
        <w:tc>
          <w:tcPr>
            <w:tcW w:w="1919" w:type="dxa"/>
            <w:vAlign w:val="top"/>
          </w:tcPr>
          <w:p>
            <w:pPr>
              <w:pStyle w:val="Cell"/>
            </w:pPr>
            <w:r>
              <w:rPr>
                <w:sz w:val="19"/>
                <w:szCs w:val="19"/>
              </w:rPr>
              <w:t xml:space="preserve">3.5; 2.10</w:t>
            </w:r>
          </w:p>
        </w:tc>
        <w:tc>
          <w:tcPr>
            <w:tcW w:w="1346" w:type="dxa"/>
            <w:vAlign w:val="top"/>
          </w:tcPr>
          <w:p>
            <w:pPr>
              <w:pStyle w:val="Cell"/>
            </w:pPr>
            <w:r>
              <w:rPr>
                <w:sz w:val="19"/>
                <w:szCs w:val="19"/>
              </w:rPr>
              <w:t xml:space="preserve">Coberta</w:t>
            </w:r>
          </w:p>
        </w:tc>
        <w:tc>
          <w:tcPr>
            <w:tcW w:w="4058" w:type="dxa"/>
            <w:vAlign w:val="top"/>
          </w:tcPr>
          <w:p>
            <w:pPr>
              <w:pStyle w:val="Cell"/>
            </w:pPr>
            <w:r>
              <w:rPr>
                <w:sz w:val="19"/>
                <w:szCs w:val="19"/>
              </w:rPr>
              <w:t xml:space="preserve">Inspeção de material biológico na fronteira; conformidade de pesquisadores</w:t>
            </w:r>
          </w:p>
        </w:tc>
      </w:tr>
      <w:tr>
        <w:tc>
          <w:tcPr>
            <w:tcW w:w="1747" w:type="dxa"/>
            <w:vAlign w:val="top"/>
          </w:tcPr>
          <w:p>
            <w:pPr>
              <w:pStyle w:val="Cell"/>
            </w:pPr>
            <w:r>
              <w:rPr>
                <w:sz w:val="19"/>
                <w:szCs w:val="19"/>
              </w:rPr>
              <w:t xml:space="preserve">D1 Punição não dissuade</w:t>
            </w:r>
          </w:p>
        </w:tc>
        <w:tc>
          <w:tcPr>
            <w:tcW w:w="1919" w:type="dxa"/>
            <w:vAlign w:val="top"/>
          </w:tcPr>
          <w:p>
            <w:pPr>
              <w:pStyle w:val="Cell"/>
            </w:pPr>
            <w:r>
              <w:rPr>
                <w:sz w:val="19"/>
                <w:szCs w:val="19"/>
              </w:rPr>
              <w:t xml:space="preserve">3.5; 3.1; 3.8 (dano climático)</w:t>
            </w:r>
          </w:p>
        </w:tc>
        <w:tc>
          <w:tcPr>
            <w:tcW w:w="1346" w:type="dxa"/>
            <w:vAlign w:val="top"/>
          </w:tcPr>
          <w:p>
            <w:pPr>
              <w:pStyle w:val="Cell"/>
            </w:pPr>
            <w:r>
              <w:rPr>
                <w:sz w:val="19"/>
                <w:szCs w:val="19"/>
              </w:rPr>
              <w:t xml:space="preserve">Parcial</w:t>
            </w:r>
          </w:p>
        </w:tc>
        <w:tc>
          <w:tcPr>
            <w:tcW w:w="4058" w:type="dxa"/>
            <w:vAlign w:val="top"/>
          </w:tcPr>
          <w:p>
            <w:pPr>
              <w:pStyle w:val="Cell"/>
            </w:pPr>
            <w:r>
              <w:rPr>
                <w:sz w:val="19"/>
                <w:szCs w:val="19"/>
              </w:rPr>
              <w:t xml:space="preserve">Enquadramento conjunto em organização criminosa e lavagem como primeira camada</w:t>
            </w:r>
          </w:p>
        </w:tc>
      </w:tr>
      <w:tr>
        <w:tc>
          <w:tcPr>
            <w:tcW w:w="1747" w:type="dxa"/>
            <w:vAlign w:val="top"/>
          </w:tcPr>
          <w:p>
            <w:pPr>
              <w:pStyle w:val="Cell"/>
            </w:pPr>
            <w:r>
              <w:rPr>
                <w:sz w:val="19"/>
                <w:szCs w:val="19"/>
              </w:rPr>
              <w:t xml:space="preserve">E1 Economia lícita competitiva</w:t>
            </w:r>
          </w:p>
        </w:tc>
        <w:tc>
          <w:tcPr>
            <w:tcW w:w="1919" w:type="dxa"/>
            <w:vAlign w:val="top"/>
          </w:tcPr>
          <w:p>
            <w:pPr>
              <w:pStyle w:val="Cell"/>
            </w:pPr>
            <w:r>
              <w:rPr>
                <w:sz w:val="19"/>
                <w:szCs w:val="19"/>
              </w:rPr>
              <w:t xml:space="preserve">abertura do Eixo 2; 2.5; 2.7; 2.12; §246</w:t>
            </w:r>
          </w:p>
        </w:tc>
        <w:tc>
          <w:tcPr>
            <w:tcW w:w="1346" w:type="dxa"/>
            <w:vAlign w:val="top"/>
          </w:tcPr>
          <w:p>
            <w:pPr>
              <w:pStyle w:val="Cell"/>
            </w:pPr>
            <w:r>
              <w:rPr>
                <w:sz w:val="19"/>
                <w:szCs w:val="19"/>
              </w:rPr>
              <w:t xml:space="preserve">Coberta</w:t>
            </w:r>
          </w:p>
        </w:tc>
        <w:tc>
          <w:tcPr>
            <w:tcW w:w="4058" w:type="dxa"/>
            <w:vAlign w:val="top"/>
          </w:tcPr>
          <w:p>
            <w:pPr>
              <w:pStyle w:val="Cell"/>
            </w:pPr>
            <w:r>
              <w:rPr>
                <w:sz w:val="19"/>
                <w:szCs w:val="19"/>
              </w:rPr>
              <w:t xml:space="preserve">Prioridade às áreas recém-operadas nos editais; proteção social em emergência climática</w:t>
            </w:r>
          </w:p>
        </w:tc>
      </w:tr>
      <w:tr>
        <w:tc>
          <w:tcPr>
            <w:tcW w:w="1747" w:type="dxa"/>
            <w:vAlign w:val="top"/>
          </w:tcPr>
          <w:p>
            <w:pPr>
              <w:pStyle w:val="Cell"/>
            </w:pPr>
            <w:r>
              <w:rPr>
                <w:sz w:val="19"/>
                <w:szCs w:val="19"/>
              </w:rPr>
              <w:t xml:space="preserve">E2 Recrutamento e exploração de pessoas</w:t>
            </w:r>
          </w:p>
        </w:tc>
        <w:tc>
          <w:tcPr>
            <w:tcW w:w="1919" w:type="dxa"/>
            <w:vAlign w:val="top"/>
          </w:tcPr>
          <w:p>
            <w:pPr>
              <w:pStyle w:val="Cell"/>
            </w:pPr>
            <w:r>
              <w:rPr>
                <w:sz w:val="19"/>
                <w:szCs w:val="19"/>
              </w:rPr>
              <w:t xml:space="preserve">§241 e §341, só menção</w:t>
            </w:r>
          </w:p>
        </w:tc>
        <w:tc>
          <w:tcPr>
            <w:tcW w:w="1346" w:type="dxa"/>
            <w:vAlign w:val="top"/>
          </w:tcPr>
          <w:p>
            <w:pPr>
              <w:pStyle w:val="Cell"/>
            </w:pPr>
            <w:r>
              <w:rPr>
                <w:sz w:val="19"/>
                <w:szCs w:val="19"/>
              </w:rPr>
              <w:t xml:space="preserve">Ausente</w:t>
            </w:r>
          </w:p>
        </w:tc>
        <w:tc>
          <w:tcPr>
            <w:tcW w:w="4058" w:type="dxa"/>
            <w:vAlign w:val="top"/>
          </w:tcPr>
          <w:p>
            <w:pPr>
              <w:pStyle w:val="Cell"/>
            </w:pPr>
            <w:r>
              <w:rPr>
                <w:sz w:val="19"/>
                <w:szCs w:val="19"/>
              </w:rPr>
              <w:t xml:space="preserve">Trabalho escravo, tráfico de pessoas e recrutamento digital nas operações</w:t>
            </w:r>
          </w:p>
        </w:tc>
      </w:tr>
      <w:tr>
        <w:tc>
          <w:tcPr>
            <w:tcW w:w="1747" w:type="dxa"/>
            <w:vAlign w:val="top"/>
          </w:tcPr>
          <w:p>
            <w:pPr>
              <w:pStyle w:val="Cell"/>
            </w:pPr>
            <w:r>
              <w:rPr>
                <w:sz w:val="19"/>
                <w:szCs w:val="19"/>
              </w:rPr>
              <w:t xml:space="preserve">E3 Captura das novas cadeias</w:t>
            </w:r>
          </w:p>
        </w:tc>
        <w:tc>
          <w:tcPr>
            <w:tcW w:w="1919" w:type="dxa"/>
            <w:vAlign w:val="top"/>
          </w:tcPr>
          <w:p>
            <w:pPr>
              <w:pStyle w:val="Cell"/>
            </w:pPr>
            <w:r>
              <w:rPr>
                <w:sz w:val="19"/>
                <w:szCs w:val="19"/>
              </w:rPr>
              <w:t xml:space="preserve">2.5; 3.8; 2.12</w:t>
            </w:r>
          </w:p>
        </w:tc>
        <w:tc>
          <w:tcPr>
            <w:tcW w:w="1346" w:type="dxa"/>
            <w:vAlign w:val="top"/>
          </w:tcPr>
          <w:p>
            <w:pPr>
              <w:pStyle w:val="Cell"/>
            </w:pPr>
            <w:r>
              <w:rPr>
                <w:sz w:val="19"/>
                <w:szCs w:val="19"/>
              </w:rPr>
              <w:t xml:space="preserve">Coberta</w:t>
            </w:r>
          </w:p>
        </w:tc>
        <w:tc>
          <w:tcPr>
            <w:tcW w:w="4058" w:type="dxa"/>
            <w:vAlign w:val="top"/>
          </w:tcPr>
          <w:p>
            <w:pPr>
              <w:pStyle w:val="Cell"/>
            </w:pPr>
            <w:r>
              <w:rPr>
                <w:sz w:val="19"/>
                <w:szCs w:val="19"/>
              </w:rPr>
              <w:t xml:space="preserve">Condição de rastreabilidade e pagamento digital; cautela com carbono (o §486 trata o carbono só como oportunidade)</w:t>
            </w:r>
          </w:p>
        </w:tc>
      </w:tr>
      <w:tr>
        <w:tc>
          <w:tcPr>
            <w:tcW w:w="1747" w:type="dxa"/>
            <w:vAlign w:val="top"/>
          </w:tcPr>
          <w:p>
            <w:pPr>
              <w:pStyle w:val="Cell"/>
            </w:pPr>
            <w:r>
              <w:rPr>
                <w:sz w:val="19"/>
                <w:szCs w:val="19"/>
              </w:rPr>
              <w:t xml:space="preserve">E4 Comunidades como objeto</w:t>
            </w:r>
          </w:p>
        </w:tc>
        <w:tc>
          <w:tcPr>
            <w:tcW w:w="1919" w:type="dxa"/>
            <w:vAlign w:val="top"/>
          </w:tcPr>
          <w:p>
            <w:pPr>
              <w:pStyle w:val="Cell"/>
            </w:pPr>
            <w:r>
              <w:rPr>
                <w:sz w:val="19"/>
                <w:szCs w:val="19"/>
              </w:rPr>
              <w:t xml:space="preserve">1.11; 3.4; 3.9</w:t>
            </w:r>
          </w:p>
        </w:tc>
        <w:tc>
          <w:tcPr>
            <w:tcW w:w="1346" w:type="dxa"/>
            <w:vAlign w:val="top"/>
          </w:tcPr>
          <w:p>
            <w:pPr>
              <w:pStyle w:val="Cell"/>
            </w:pPr>
            <w:r>
              <w:rPr>
                <w:sz w:val="19"/>
                <w:szCs w:val="19"/>
              </w:rPr>
              <w:t xml:space="preserve">Parcial</w:t>
            </w:r>
          </w:p>
        </w:tc>
        <w:tc>
          <w:tcPr>
            <w:tcW w:w="4058" w:type="dxa"/>
            <w:vAlign w:val="top"/>
          </w:tcPr>
          <w:p>
            <w:pPr>
              <w:pStyle w:val="Cell"/>
            </w:pPr>
            <w:r>
              <w:rPr>
                <w:sz w:val="19"/>
                <w:szCs w:val="19"/>
              </w:rPr>
              <w:t xml:space="preserve">Canal protegido de informação comunitária; escuta na fase de consolidação</w:t>
            </w:r>
          </w:p>
        </w:tc>
      </w:tr>
      <w:tr>
        <w:tc>
          <w:tcPr>
            <w:tcW w:w="1747" w:type="dxa"/>
            <w:vAlign w:val="top"/>
          </w:tcPr>
          <w:p>
            <w:pPr>
              <w:pStyle w:val="Cell"/>
            </w:pPr>
            <w:r>
              <w:rPr>
                <w:sz w:val="19"/>
                <w:szCs w:val="19"/>
              </w:rPr>
              <w:t xml:space="preserve">E5 Risco territorial de obras</w:t>
            </w:r>
          </w:p>
        </w:tc>
        <w:tc>
          <w:tcPr>
            <w:tcW w:w="1919" w:type="dxa"/>
            <w:vAlign w:val="top"/>
          </w:tcPr>
          <w:p>
            <w:pPr>
              <w:pStyle w:val="Cell"/>
            </w:pPr>
            <w:r>
              <w:rPr>
                <w:sz w:val="19"/>
                <w:szCs w:val="19"/>
              </w:rPr>
              <w:t xml:space="preserve">1.13, que cita a BR-319 só como exemplo de cooperação</w:t>
            </w:r>
          </w:p>
        </w:tc>
        <w:tc>
          <w:tcPr>
            <w:tcW w:w="1346" w:type="dxa"/>
            <w:vAlign w:val="top"/>
          </w:tcPr>
          <w:p>
            <w:pPr>
              <w:pStyle w:val="Cell"/>
            </w:pPr>
            <w:r>
              <w:rPr>
                <w:sz w:val="19"/>
                <w:szCs w:val="19"/>
              </w:rPr>
              <w:t xml:space="preserve">Ausente</w:t>
            </w:r>
          </w:p>
        </w:tc>
        <w:tc>
          <w:tcPr>
            <w:tcW w:w="4058" w:type="dxa"/>
            <w:vAlign w:val="top"/>
          </w:tcPr>
          <w:p>
            <w:pPr>
              <w:pStyle w:val="Cell"/>
            </w:pPr>
            <w:r>
              <w:rPr>
                <w:sz w:val="19"/>
                <w:szCs w:val="19"/>
              </w:rPr>
              <w:t xml:space="preserve">Avaliação de risco no licenciamento</w:t>
            </w:r>
          </w:p>
        </w:tc>
      </w:tr>
      <w:tr>
        <w:tc>
          <w:tcPr>
            <w:tcW w:w="1747" w:type="dxa"/>
            <w:vAlign w:val="top"/>
          </w:tcPr>
          <w:p>
            <w:pPr>
              <w:pStyle w:val="Cell"/>
            </w:pPr>
            <w:r>
              <w:rPr>
                <w:sz w:val="19"/>
                <w:szCs w:val="19"/>
              </w:rPr>
              <w:t xml:space="preserve">F1 Cooperação entre iguais</w:t>
            </w:r>
          </w:p>
        </w:tc>
        <w:tc>
          <w:tcPr>
            <w:tcW w:w="1919" w:type="dxa"/>
            <w:vAlign w:val="top"/>
          </w:tcPr>
          <w:p>
            <w:pPr>
              <w:pStyle w:val="Cell"/>
            </w:pPr>
            <w:r>
              <w:rPr>
                <w:sz w:val="19"/>
                <w:szCs w:val="19"/>
              </w:rPr>
              <w:t xml:space="preserve">1.8; 3.10</w:t>
            </w:r>
          </w:p>
        </w:tc>
        <w:tc>
          <w:tcPr>
            <w:tcW w:w="1346" w:type="dxa"/>
            <w:vAlign w:val="top"/>
          </w:tcPr>
          <w:p>
            <w:pPr>
              <w:pStyle w:val="Cell"/>
            </w:pPr>
            <w:r>
              <w:rPr>
                <w:sz w:val="19"/>
                <w:szCs w:val="19"/>
              </w:rPr>
              <w:t xml:space="preserve">Coberta, em duplicidade</w:t>
            </w:r>
          </w:p>
        </w:tc>
        <w:tc>
          <w:tcPr>
            <w:tcW w:w="4058" w:type="dxa"/>
            <w:vAlign w:val="top"/>
          </w:tcPr>
          <w:p>
            <w:pPr>
              <w:pStyle w:val="Cell"/>
            </w:pPr>
            <w:r>
              <w:rPr>
                <w:sz w:val="19"/>
                <w:szCs w:val="19"/>
              </w:rPr>
              <w:t xml:space="preserve">—</w:t>
            </w:r>
          </w:p>
        </w:tc>
      </w:tr>
      <w:tr>
        <w:tc>
          <w:tcPr>
            <w:tcW w:w="1747" w:type="dxa"/>
            <w:vAlign w:val="top"/>
          </w:tcPr>
          <w:p>
            <w:pPr>
              <w:pStyle w:val="Cell"/>
            </w:pPr>
            <w:r>
              <w:rPr>
                <w:sz w:val="19"/>
                <w:szCs w:val="19"/>
              </w:rPr>
              <w:t xml:space="preserve">F2 Base jurídica transfronteiriça</w:t>
            </w:r>
          </w:p>
        </w:tc>
        <w:tc>
          <w:tcPr>
            <w:tcW w:w="1919" w:type="dxa"/>
            <w:vAlign w:val="top"/>
          </w:tcPr>
          <w:p>
            <w:pPr>
              <w:pStyle w:val="Cell"/>
            </w:pPr>
            <w:r>
              <w:rPr>
                <w:sz w:val="19"/>
                <w:szCs w:val="19"/>
              </w:rPr>
              <w:t xml:space="preserve">1.7; 1.10</w:t>
            </w:r>
          </w:p>
        </w:tc>
        <w:tc>
          <w:tcPr>
            <w:tcW w:w="1346" w:type="dxa"/>
            <w:vAlign w:val="top"/>
          </w:tcPr>
          <w:p>
            <w:pPr>
              <w:pStyle w:val="Cell"/>
            </w:pPr>
            <w:r>
              <w:rPr>
                <w:sz w:val="19"/>
                <w:szCs w:val="19"/>
              </w:rPr>
              <w:t xml:space="preserve">Coberta</w:t>
            </w:r>
          </w:p>
        </w:tc>
        <w:tc>
          <w:tcPr>
            <w:tcW w:w="4058" w:type="dxa"/>
            <w:vAlign w:val="top"/>
          </w:tcPr>
          <w:p>
            <w:pPr>
              <w:pStyle w:val="Cell"/>
            </w:pPr>
            <w:r>
              <w:rPr>
                <w:sz w:val="19"/>
                <w:szCs w:val="19"/>
              </w:rPr>
              <w:t xml:space="preserve">Protocolo técnico de operação espelhada como primeira camada da 1.10</w:t>
            </w:r>
          </w:p>
        </w:tc>
      </w:tr>
      <w:tr>
        <w:tc>
          <w:tcPr>
            <w:tcW w:w="1747" w:type="dxa"/>
            <w:vAlign w:val="top"/>
          </w:tcPr>
          <w:p>
            <w:pPr>
              <w:pStyle w:val="Cell"/>
            </w:pPr>
            <w:r>
              <w:rPr>
                <w:sz w:val="19"/>
                <w:szCs w:val="19"/>
              </w:rPr>
              <w:t xml:space="preserve">F3 Mecanismos regionais frágeis</w:t>
            </w:r>
          </w:p>
        </w:tc>
        <w:tc>
          <w:tcPr>
            <w:tcW w:w="1919" w:type="dxa"/>
            <w:vAlign w:val="top"/>
          </w:tcPr>
          <w:p>
            <w:pPr>
              <w:pStyle w:val="Cell"/>
            </w:pPr>
            <w:r>
              <w:rPr>
                <w:sz w:val="19"/>
                <w:szCs w:val="19"/>
              </w:rPr>
              <w:t xml:space="preserve">1.7; 1.9; 3.6; 3.12</w:t>
            </w:r>
          </w:p>
        </w:tc>
        <w:tc>
          <w:tcPr>
            <w:tcW w:w="1346" w:type="dxa"/>
            <w:vAlign w:val="top"/>
          </w:tcPr>
          <w:p>
            <w:pPr>
              <w:pStyle w:val="Cell"/>
            </w:pPr>
            <w:r>
              <w:rPr>
                <w:sz w:val="19"/>
                <w:szCs w:val="19"/>
              </w:rPr>
              <w:t xml:space="preserve">Coberta</w:t>
            </w:r>
          </w:p>
        </w:tc>
        <w:tc>
          <w:tcPr>
            <w:tcW w:w="4058" w:type="dxa"/>
            <w:vAlign w:val="top"/>
          </w:tcPr>
          <w:p>
            <w:pPr>
              <w:pStyle w:val="Cell"/>
            </w:pPr>
            <w:r>
              <w:rPr>
                <w:sz w:val="19"/>
                <w:szCs w:val="19"/>
              </w:rPr>
              <w:t xml:space="preserve">Ressalva das Forças sobre a missão precípua (1.9); entregas brasileiras na comissão da OTCA (3.6)</w:t>
            </w:r>
          </w:p>
        </w:tc>
      </w:tr>
      <w:tr>
        <w:tc>
          <w:tcPr>
            <w:tcW w:w="1747" w:type="dxa"/>
            <w:vAlign w:val="top"/>
          </w:tcPr>
          <w:p>
            <w:pPr>
              <w:pStyle w:val="Cell"/>
            </w:pPr>
            <w:r>
              <w:rPr>
                <w:sz w:val="19"/>
                <w:szCs w:val="19"/>
              </w:rPr>
              <w:t xml:space="preserve">G1 Não se mede o que funciona</w:t>
            </w:r>
          </w:p>
        </w:tc>
        <w:tc>
          <w:tcPr>
            <w:tcW w:w="1919" w:type="dxa"/>
            <w:vAlign w:val="top"/>
          </w:tcPr>
          <w:p>
            <w:pPr>
              <w:pStyle w:val="Cell"/>
            </w:pPr>
            <w:r>
              <w:rPr>
                <w:sz w:val="19"/>
                <w:szCs w:val="19"/>
              </w:rPr>
              <w:t xml:space="preserve">3.9; 2.6</w:t>
            </w:r>
          </w:p>
        </w:tc>
        <w:tc>
          <w:tcPr>
            <w:tcW w:w="1346" w:type="dxa"/>
            <w:vAlign w:val="top"/>
          </w:tcPr>
          <w:p>
            <w:pPr>
              <w:pStyle w:val="Cell"/>
            </w:pPr>
            <w:r>
              <w:rPr>
                <w:sz w:val="19"/>
                <w:szCs w:val="19"/>
              </w:rPr>
              <w:t xml:space="preserve">Parcial</w:t>
            </w:r>
          </w:p>
        </w:tc>
        <w:tc>
          <w:tcPr>
            <w:tcW w:w="4058" w:type="dxa"/>
            <w:vAlign w:val="top"/>
          </w:tcPr>
          <w:p>
            <w:pPr>
              <w:pStyle w:val="Cell"/>
            </w:pPr>
            <w:r>
              <w:rPr>
                <w:sz w:val="19"/>
                <w:szCs w:val="19"/>
              </w:rPr>
              <w:t xml:space="preserve">Indicadores de resultado das operações; dados publicados depois de encerradas; CadÚnico; laboratórios regionais</w:t>
            </w:r>
          </w:p>
        </w:tc>
      </w:tr>
    </w:tbl>
    <w:p>
      <w:pPr>
        <w:pStyle w:val="Tight"/>
      </w:pPr>
    </w:p>
    <w:p>
      <w:pPr>
        <w:pStyle w:val="Heading1"/>
      </w:pPr>
      <w:r>
        <w:t xml:space="preserve">Parte III — O que está na varredura e não está na Agenda</w:t>
      </w:r>
    </w:p>
    <w:p>
      <w:pPr>
        <w:pStyle w:val="Heading2"/>
      </w:pPr>
      <w:r>
        <w:t xml:space="preserve">III.1 Correções obrigatórias</w:t>
      </w:r>
    </w:p>
    <w:p>
      <w:r>
        <w:t xml:space="preserve">Independem da estrutura e das rodadas de reavaliação.</w:t>
      </w:r>
    </w:p>
    <w:p>
      <w:pPr>
        <w:pStyle w:val="Heading3"/>
      </w:pPr>
      <w:r>
        <w:t xml:space="preserve">1. Lacuna 3.2 — o dado dos 44% está lido ao contrário</w:t>
      </w:r>
    </w:p>
    <w:p>
      <w:r>
        <w:t xml:space="preserve">No W3 [28:20], Rebeca Lima disse: "44% dos cadastros sobrepostos em floresta pública não destinada na Amazônia eram de grandes áreas, maiores que 1.500 hectares". O percentual mede o tamanho dos cadastros sobrepostos, e não a parcela do CAR que se sobrepõe.</w:t>
      </w:r>
    </w:p>
    <w:p>
      <w:r>
        <w:rPr>
          <w:b/>
        </w:rPr>
        <w:t xml:space="preserve">Original:</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Durante o Webinar supracitado e o Workshop Nacional, foi apresentado que cerca de 44% dos CARs se sobrepõem a florestas não destinadas.</w:t>
            </w:r>
          </w:p>
        </w:tc>
      </w:tr>
    </w:tbl>
    <w:p>
      <w:pPr>
        <w:pStyle w:val="Tight"/>
      </w:pPr>
    </w:p>
    <w:p>
      <w:r>
        <w:rPr>
          <w:b/>
        </w:rPr>
        <w:t xml:space="preserve">Sugestão:</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No Webinar 3, foi apresentado que 44% dos cadastros sobrepostos a florestas públicas não destinadas na Amazônia correspondem a áreas maiores que 1.500 hectares, e que cerca de 70% deles registraram também desmatamento e fogo.</w:t>
            </w:r>
          </w:p>
        </w:tc>
      </w:tr>
    </w:tbl>
    <w:p>
      <w:pPr>
        <w:pStyle w:val="Tight"/>
      </w:pPr>
    </w:p>
    <w:p>
      <w:r>
        <w:t xml:space="preserve">A correção reforça a frase seguinte da lacuna ("os responsáveis são grandes grupos organizados, e não pequenos produtores"), que hoje fica sem apoio numérico. Conferir os dois percentuais no estudo do IPAM antes de publicar.</w:t>
      </w:r>
    </w:p>
    <w:p>
      <w:pPr>
        <w:pStyle w:val="Heading3"/>
      </w:pPr>
      <w:r>
        <w:t xml:space="preserve">2. Lacuna 2.6 — os "treze mil litros" são do Workshop Regional, e há número concorrente</w:t>
      </w:r>
    </w:p>
    <w:p>
      <w:r>
        <w:t xml:space="preserve">A menção à OMS e aos 13 mil litros foi feita por um participante do Painel 2 do Workshop Regional, e não no Workshop Nacional. No Painel 3 do mesmo evento, outro participante falou em 30 mil litros. Nenhum dos dois números tem fonte primária.</w:t>
      </w:r>
    </w:p>
    <w:p>
      <w:r>
        <w:rPr>
          <w:b/>
        </w:rPr>
        <w:t xml:space="preserve">Original:</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Durante o Workshop Nacional, foi destacado que o mercúrio é reconhecido pela Organização Mundial da Saúde (OMS) como uma das substâncias mais perigosas para a saúde pública e que uma única gota pode contaminar até treze mil litros de água.</w:t>
            </w:r>
          </w:p>
        </w:tc>
      </w:tr>
    </w:tbl>
    <w:p>
      <w:pPr>
        <w:pStyle w:val="Tight"/>
      </w:pPr>
    </w:p>
    <w:p>
      <w:r>
        <w:rPr>
          <w:b/>
        </w:rPr>
        <w:t xml:space="preserve">Sugestão:</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No Workshop Regional, participantes lembraram que o mercúrio figura entre as substâncias que a Organização Mundial da Saúde (OMS) considera de maior preocupação para a saúde pública.</w:t>
            </w:r>
          </w:p>
        </w:tc>
      </w:tr>
    </w:tbl>
    <w:p>
      <w:pPr>
        <w:pStyle w:val="Tight"/>
      </w:pPr>
    </w:p>
    <w:p>
      <w:r>
        <w:t xml:space="preserve">Se quiserem manter uma grandeza de contaminação, ela precisa vir de publicação da OMS ou de estudo técnico, com nota.</w:t>
      </w:r>
    </w:p>
    <w:p>
      <w:pPr>
        <w:pStyle w:val="Heading3"/>
      </w:pPr>
      <w:r>
        <w:t xml:space="preserve">3. Recomendação 3.8 — o diálogo com a Febraban foi registrado no Workshop Nacional</w:t>
      </w:r>
    </w:p>
    <w:p>
      <w:r>
        <w:t xml:space="preserve">A fala sobre as conversas com a Febraban e os bancos está no GT2 do Workshop Nacional. Não há menção à Febraban no Workshop Regional.</w:t>
      </w:r>
    </w:p>
    <w:p>
      <w:r>
        <w:rPr>
          <w:b/>
        </w:rPr>
        <w:t xml:space="preserve">Original:</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 pauta que o Workshop Regional registrou como um diálogo já em curso entre organizações da sociedade civil e a Febraban sobre a lavagem de ouro via bancos.</w:t>
            </w:r>
          </w:p>
        </w:tc>
      </w:tr>
    </w:tbl>
    <w:p>
      <w:pPr>
        <w:pStyle w:val="Tight"/>
      </w:pPr>
    </w:p>
    <w:p>
      <w:r>
        <w:rPr>
          <w:b/>
        </w:rPr>
        <w:t xml:space="preserve">Sugestão:</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 pauta que o Workshop Nacional registrou como um diálogo já em curso entre organizações da sociedade civil e a Febraban sobre a lavagem de ouro por meio de instituições financeiras.</w:t>
            </w:r>
          </w:p>
        </w:tc>
      </w:tr>
    </w:tbl>
    <w:p>
      <w:pPr>
        <w:pStyle w:val="Tight"/>
      </w:pPr>
    </w:p>
    <w:p>
      <w:pPr>
        <w:pStyle w:val="Heading3"/>
      </w:pPr>
      <w:r>
        <w:t xml:space="preserve">4. Seção 1.4.4 (§212) — o dado da ANM vem do Workshop Nacional, como relato de segunda mão</w:t>
      </w:r>
    </w:p>
    <w:p>
      <w:r>
        <w:t xml:space="preserve">Os números do Ibama e da Funai são do Workshop Regional. O dos cinco servidores da ANM é do Workshop Nacional, e quem o disse relatava o que ouviu de servidores da agência.</w:t>
      </w:r>
    </w:p>
    <w:p>
      <w:r>
        <w:rPr>
          <w:b/>
        </w:rPr>
        <w:t xml:space="preserve">Original:</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De acordo com informações apresentadas no Workshop Regional de maio de 2026, o Ibama dispunha de cerca de oitocentos agentes, sete aeronaves e algumas centenas de viaturas para atender todo o território nacional; a Agência Nacional de Mineração contava com cinco servidores para toda a Amazônia; e a Coordenação Regional da Funai em Manaus reunia seis servidores para trinta e cinco municípios.</w:t>
            </w:r>
          </w:p>
        </w:tc>
      </w:tr>
    </w:tbl>
    <w:p>
      <w:pPr>
        <w:pStyle w:val="Tight"/>
      </w:pPr>
    </w:p>
    <w:p>
      <w:r>
        <w:rPr>
          <w:b/>
        </w:rPr>
        <w:t xml:space="preserve">Sugestão:</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De acordo com informações apresentadas no Workshop Regional de maio de 2026, o Ibama dispunha de cerca de oitocentos agentes, sete aeronaves e algumas centenas de viaturas para atender todo o território nacional, e a Coordenação Regional da Funai em Manaus reunia seis servidores para trinta e cinco municípios. No Workshop Nacional, relatou-se ainda que a fiscalização da Agência Nacional de Mineração em toda a Amazônia estaria a cargo de apenas cinco servidores.</w:t>
            </w:r>
          </w:p>
        </w:tc>
      </w:tr>
    </w:tbl>
    <w:p>
      <w:pPr>
        <w:pStyle w:val="Tight"/>
      </w:pPr>
    </w:p>
    <w:p>
      <w:r>
        <w:t xml:space="preserve">Recomendo confirmar o dado da ANM com a própria agência. Se não houver confirmação, a frase deve sair.</w:t>
      </w:r>
    </w:p>
    <w:p>
      <w:pPr>
        <w:pStyle w:val="Heading3"/>
      </w:pPr>
      <w:r>
        <w:t xml:space="preserve">5. Lacuna 1.11 — o Webinar 1 não trata da exposição dos servidores ao risco</w:t>
      </w:r>
    </w:p>
    <w:p>
      <w:r>
        <w:t xml:space="preserve">No W1, a única menção a servidores é à dificuldade de mantê-los lotados na região [Carolina Bastos 27:40]. A evidência mais forte de risco está no W3: dois processos por homicídio doloso contra agentes e áreas onde Ibama e ICMBio não tinham segurança para entrar [André Porreca 14:00–14:26].</w:t>
      </w:r>
    </w:p>
    <w:p>
      <w:r>
        <w:rPr>
          <w:b/>
        </w:rPr>
        <w:t xml:space="preserve">Original:</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No Webinar 1 e no Workshop Nacional, foi destacada especificamente a exposição de servidores do Ibama a esses perigos.</w:t>
            </w:r>
          </w:p>
        </w:tc>
      </w:tr>
    </w:tbl>
    <w:p>
      <w:pPr>
        <w:pStyle w:val="Tight"/>
      </w:pPr>
    </w:p>
    <w:p>
      <w:r>
        <w:rPr>
          <w:b/>
        </w:rPr>
        <w:t xml:space="preserve">Sugestão:</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No Webinar 3, o Ministério Público Federal relatou processos por homicídio doloso contra agentes em operações e áreas em que o Ibama e o ICMBio não tinham condições de segurança para entrar; no Workshop Nacional, destacou-se que os servidores do Ibama residem e trabalham, sem proteção específica, nos mesmos municípios em que fiscalizam.</w:t>
            </w:r>
          </w:p>
        </w:tc>
      </w:tr>
    </w:tbl>
    <w:p>
      <w:pPr>
        <w:pStyle w:val="Tight"/>
      </w:pPr>
    </w:p>
    <w:p>
      <w:pPr>
        <w:pStyle w:val="Heading3"/>
      </w:pPr>
      <w:r>
        <w:t xml:space="preserve">6. Abertura do Eixo 2 (§342) — o número citado por Ismael Nobre não é o da Agenda</w:t>
      </w:r>
    </w:p>
    <w:p>
      <w:r>
        <w:t xml:space="preserve">No W2 [49:00], Ismael Nobre citou "um estudo do WRI de 2025" com R$ 45 bilhões de aumento do PIB até 2050 e 830 mil empregos. A Agenda atribui a ele as projeções do estudo Nova Economia da Amazônia (R$ 12 bi atuais e R$ 38,5 bi em 2050), que são outra grandeza.</w:t>
      </w:r>
    </w:p>
    <w:p>
      <w:r>
        <w:rPr>
          <w:b/>
        </w:rPr>
        <w:t xml:space="preserve">Original:</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No Webinar 2, Ismael Nobre, diretor executivo do Instituto Amazônia 4.0, recorreu a essas projeções para sustentar que a bioeconomia não constitui um nicho de menor escala, mas uma transformação econômica de alcance nacional.</w:t>
            </w:r>
          </w:p>
        </w:tc>
      </w:tr>
    </w:tbl>
    <w:p>
      <w:pPr>
        <w:pStyle w:val="Tight"/>
      </w:pPr>
    </w:p>
    <w:p>
      <w:r>
        <w:rPr>
          <w:b/>
        </w:rPr>
        <w:t xml:space="preserve">Sugestão (opção 1, sem número):</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No Webinar 2, Ismael Nobre, diretor executivo do Instituto Amazônia 4.0, recorreu a estimativas dessa natureza para sustentar que a bioeconomia não constitui um nicho de menor escala, mas uma transformação econômica de alcance nacional.</w:t>
            </w:r>
          </w:p>
        </w:tc>
      </w:tr>
    </w:tbl>
    <w:p>
      <w:pPr>
        <w:pStyle w:val="Tight"/>
      </w:pPr>
    </w:p>
    <w:p>
      <w:r>
        <w:rPr>
          <w:b/>
        </w:rPr>
        <w:t xml:space="preserve">Sugestão (opção 2, com o número dele):</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No Webinar 2, Ismael Nobre, diretor executivo do Instituto Amazônia 4.0, citou estimativa do WRI segundo a qual a bioeconomia amazônica pode acrescentar R$ 45 bilhões ao PIB brasileiro até 2050 e gerar 830 mil empregos, para sustentar que ela não constitui um nicho de menor escala, mas uma transformação econômica de alcance nacional.</w:t>
            </w:r>
          </w:p>
        </w:tc>
      </w:tr>
    </w:tbl>
    <w:p>
      <w:pPr>
        <w:pStyle w:val="Tight"/>
      </w:pPr>
    </w:p>
    <w:p>
      <w:r>
        <w:t xml:space="preserve">A opção 2 exige conferir o estudo do WRI.</w:t>
      </w:r>
    </w:p>
    <w:p>
      <w:pPr>
        <w:pStyle w:val="Heading3"/>
      </w:pPr>
      <w:r>
        <w:t xml:space="preserve">7. Lacuna 1.5 — os "quase R$ 2 bilhões" foram reconstituídos na transcrição</w:t>
      </w:r>
    </w:p>
    <w:p>
      <w:r>
        <w:t xml:space="preserve">O anexo da transcrição do W2 registra que o áudio trazia "quase R bilhões de reais" e que o valor de R$ 2 bi foi deduzido do contexto. A correção já está na sugestão de 24/09 para o par 1.5 (R$ 318,5 milhões contratados, de R$ 1,2 bilhão previstos). Fica registrada aqui para não se perder se o par for revisto por outra pessoa.</w:t>
      </w:r>
    </w:p>
    <w:p>
      <w:pPr>
        <w:pStyle w:val="Heading2"/>
      </w:pPr>
      <w:r>
        <w:t xml:space="preserve">III.2 Reforços dentro de pares existentes</w:t>
      </w:r>
    </w:p>
    <w:p>
      <w:r>
        <w:t xml:space="preserve">A maior parte do que a varredura traz de novo entra como primeira camada incremental em recomendações que já existem. Organizei pela fila de reavaliação já definida. Nos pares ainda não reavaliados, listo os ingredientes; o texto será proposto na reavaliação de cada par, com original e sugestão.</w:t>
      </w:r>
    </w:p>
    <w:p>
      <w:pPr>
        <w:pStyle w:val="Heading3"/>
      </w:pPr>
      <w:r>
        <w:t xml:space="preserve">Par já reavaliado e pendente de decisão — 1.6</w:t>
      </w:r>
    </w:p>
    <w:p>
      <w:r>
        <w:t xml:space="preserve">A sugestão de 24/09 já incorpora a fase civil pós-operação (protocolo de transição). A varredura acrescenta dois elementos:</w:t>
      </w:r>
    </w:p>
    <w:p>
      <w:pPr>
        <w:pStyle w:val="Bullet"/>
      </w:pPr>
      <w:r>
        <w:t xml:space="preserve">• o ciclo contínuo de planejamento e inteligência entre as edições, proposto por um comando aéreo no WR-P3, com embrião nas reuniões trimestrais relatadas no WN-GT4;</w:t>
      </w:r>
    </w:p>
    <w:p>
      <w:pPr>
        <w:pStyle w:val="Bullet"/>
      </w:pPr>
      <w:r>
        <w:t xml:space="preserve">• indicadores de resultado territorial (G1.a).</w:t>
      </w:r>
    </w:p>
    <w:p>
      <w:r>
        <w:rPr>
          <w:b/>
        </w:rPr>
        <w:t xml:space="preserve">Texto na v3:</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O protocolo deve estabelecer periodicidade mínima obrigatória, um calendário definido e fundos orçamentários previsíveis para a realização das Operações Ágata, reduzindo a dependência de decisões políticas pontuais e de oscilações financeiras anuais. A medida deve institucionalizar o equilíbrio entre as ações perenes de controle de fronteira e o engajamento regular de forças conjuntas com agências de segurança e fiscalização, como o IBAMA, ICMBio, Polícia Federal etc. Isso assegurará a continuidade da presença estatal integrada e a consolidação de resultados estratégicos duradouros na repressão aos ilícitos transfronteiriços e ambientais na Amazônia.</w:t>
            </w:r>
          </w:p>
        </w:tc>
      </w:tr>
    </w:tbl>
    <w:p>
      <w:pPr>
        <w:pStyle w:val="Tight"/>
      </w:pPr>
    </w:p>
    <w:p>
      <w:r>
        <w:rPr>
          <w:b/>
        </w:rPr>
        <w:t xml:space="preserve">Sugestão de 24/09:</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Inclusão, no Plano Plurianual 2028–2031, de meta específica para as operações interagências na faixa de fronteira amazônica, com indicadores físicos e financeiros vinculados ao plano orçamentário que já as identifica (Ação 20X7, PO 0002), de modo a converter uma dotação hoje sujeita a oscilações anuais em compromisso plurianual monitorável. Caberia ao Ministério da Defesa, por meio do EMCFA, fixar um patamar mínimo anual de emprego conjunto, preservada sua discricionariedade sobre o momento e o local das operações, cuja imprevisibilidade é condição de eficácia. Complementarmente, cada operação conjunta passaria a incluir, em seu planejamento, um protocolo de transição que defina quais agências civis — Ibama, ICMBio, Polícia Federal ou Funai, conforme o caso — assumem a presença no território após a desmobilização, pactuado no Comitê-Executivo do PPIF — o que pressupõe a participação dos órgãos ambientais nessa instância, objeto da Recomendação 1.4.</w:t>
            </w:r>
          </w:p>
        </w:tc>
      </w:tr>
    </w:tbl>
    <w:p>
      <w:pPr>
        <w:pStyle w:val="Tight"/>
      </w:pPr>
    </w:p>
    <w:p>
      <w:r>
        <w:rPr>
          <w:b/>
        </w:rPr>
        <w:t xml:space="preserve">Sugestão atualizada:</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Inclusão, no Plano Plurianual 2028–2031, de meta específica para as operações interagências na faixa de fronteira amazônica, com indicadores físicos e financeiros vinculados ao plano orçamentário que já as identifica (Ação 20X7, PO 0002) e com indicadores de resultado que acompanhem a situação do território três, seis e doze meses após cada operação, a partir do monitoramento que o Censipam e o INPE já produzem. Caberia ao Ministério da Defesa, por meio do EMCFA, fixar um patamar mínimo anual de emprego conjunto, preservada sua discricionariedade sobre o momento e o local das operações, cuja imprevisibilidade é condição de eficácia, e manter ativo, entre as edições, um ciclo contínuo de análise de inteligência e de planejamento com a participação das agências civis, de modo que a execução em campo, etapa de maior custo, seja acionada sobre alvos previamente definidos. Complementarmente, cada operação conjunta passaria a incluir, em seu planejamento, um protocolo de transição que defina quais agências civis — Ibama, ICMBio, Polícia Federal ou Funai, conforme o caso — assumem a presença no território após a desmobilização, pactuado no Comitê-Executivo do PPIF — o que pressupõe a participação dos órgãos ambientais nessa instância, objeto da Recomendação 1.4.</w:t>
            </w:r>
          </w:p>
        </w:tc>
      </w:tr>
    </w:tbl>
    <w:p>
      <w:pPr>
        <w:pStyle w:val="Tight"/>
      </w:pPr>
    </w:p>
    <w:p>
      <w:r>
        <w:rPr>
          <w:b/>
        </w:rPr>
        <w:t xml:space="preserve">Implicações dos acréscimos.</w:t>
      </w:r>
    </w:p>
    <w:p>
      <w:pPr>
        <w:pStyle w:val="Bullet"/>
      </w:pPr>
      <w:r>
        <w:t xml:space="preserve">• Técnica: o monitoramento por imagem já existe, e o indicador custa quase nada.</w:t>
      </w:r>
    </w:p>
    <w:p>
      <w:pPr>
        <w:pStyle w:val="Bullet"/>
      </w:pPr>
      <w:r>
        <w:t xml:space="preserve">• Institucional: o ciclo contínuo é decisão interna do Ministério da Defesa. O limite é o pessoal das agências civis para compor o planejamento.</w:t>
      </w:r>
    </w:p>
    <w:p>
      <w:pPr>
        <w:pStyle w:val="Bullet"/>
      </w:pPr>
      <w:r>
        <w:t xml:space="preserve">• Doutrinária: não amplia a presença de tropa nem rotiniza tarefas de polícia, o que mantém a recomendação coerente com a seção 1.4.4.</w:t>
      </w:r>
    </w:p>
    <w:p>
      <w:r>
        <w:rPr>
          <w:b/>
        </w:rPr>
        <w:t xml:space="preserve">Acréscimo opcional ao fim da Lacuna 1.6</w:t>
      </w:r>
      <w:r>
        <w:t xml:space="preserve">, na versão sugerida em 24/09:</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Original (sugestão de 24/09): Essa avaliação foi reiterada por representantes das forças de segurança e defesa no Workshop Regional.</w:t>
            </w:r>
          </w:p>
        </w:tc>
      </w:tr>
    </w:tbl>
    <w:p>
      <w:pPr>
        <w:pStyle w:val="Tight"/>
      </w:pP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Sugestão: Essa avaliação foi reiterada por representantes das forças de segurança e defesa no Workshop Regional, onde também se registrou que não é possível manter operações desse porte em toda a região, por falta de aeronaves, pessoal, pistas e recursos, e que a execução em campo é a etapa de maior custo.</w:t>
            </w:r>
          </w:p>
        </w:tc>
      </w:tr>
    </w:tbl>
    <w:p>
      <w:pPr>
        <w:pStyle w:val="Tight"/>
      </w:pPr>
    </w:p>
    <w:p>
      <w:pPr>
        <w:pStyle w:val="Heading3"/>
      </w:pPr>
      <w:r>
        <w:t xml:space="preserve">Rodada 1 (próxima)</w:t>
      </w:r>
    </w:p>
    <w:p>
      <w:r>
        <w:rPr>
          <w:b/>
        </w:rPr>
        <w:t xml:space="preserve">1.2 — coordenação territorial</w:t>
      </w:r>
    </w:p>
    <w:p>
      <w:pPr>
        <w:pStyle w:val="Bullet"/>
      </w:pPr>
      <w:r>
        <w:t xml:space="preserve">• Camada imediata: sistematizar o modelo da Casa de Governo (base normativa, composição, rotinas, custo, papel das agências reguladoras) antes de propor colegiado por decreto.</w:t>
      </w:r>
    </w:p>
    <w:p>
      <w:pPr>
        <w:pStyle w:val="Bullet"/>
      </w:pPr>
      <w:r>
        <w:t xml:space="preserve">• Critérios de ativação de unidades de coordenação territorial.</w:t>
      </w:r>
    </w:p>
    <w:p>
      <w:pPr>
        <w:pStyle w:val="Bullet"/>
      </w:pPr>
      <w:r>
        <w:t xml:space="preserve">• Evidências novas para a lacuna:</w:t>
      </w:r>
    </w:p>
    <w:p>
      <w:pPr>
        <w:pStyle w:val="Bullet"/>
      </w:pPr>
      <w:r>
        <w:t xml:space="preserve">• W2, Renato Sérgio de Lima [1:01:30], sobre o PPCDAm que "não conversa" com o AMAS;</w:t>
      </w:r>
    </w:p>
    <w:p>
      <w:pPr>
        <w:pStyle w:val="Bullet"/>
      </w:pPr>
      <w:r>
        <w:t xml:space="preserve">• W3, Gen. Roberto Angrizani [1:17:40]: "sem organismo supra, fica dependente da vontade de quem está na liderança";</w:t>
      </w:r>
    </w:p>
    <w:p>
      <w:pPr>
        <w:pStyle w:val="Bullet"/>
      </w:pPr>
      <w:r>
        <w:t xml:space="preserve">• o "fiel depositário" do WN-GT4, trazido da 3.7;</w:t>
      </w:r>
    </w:p>
    <w:p>
      <w:pPr>
        <w:pStyle w:val="Bullet"/>
      </w:pPr>
      <w:r>
        <w:t xml:space="preserve">• a FICCO de Roraima, que parou quando acabaram as diárias, para o atributo orçamentário.</w:t>
      </w:r>
    </w:p>
    <w:p>
      <w:r>
        <w:rPr>
          <w:b/>
        </w:rPr>
        <w:t xml:space="preserve">1.3 — inteligência</w:t>
      </w:r>
    </w:p>
    <w:p>
      <w:pPr>
        <w:pStyle w:val="Bullet"/>
      </w:pPr>
      <w:r>
        <w:t xml:space="preserve">• Distinguir dados não sigilosos, que circulam por ACT e bases tratadas, de inteligência classificada, que depende do credenciamento do receptor (Decreto 7.845/2012) [verificar].</w:t>
      </w:r>
    </w:p>
    <w:p>
      <w:pPr>
        <w:pStyle w:val="Bullet"/>
      </w:pPr>
      <w:r>
        <w:t xml:space="preserve">• Incorporar a objeção do GSI na validação: não há dever de sigilo para o servidor civil que recebe inteligência.</w:t>
      </w:r>
    </w:p>
    <w:p>
      <w:pPr>
        <w:pStyle w:val="Bullet"/>
      </w:pPr>
      <w:r>
        <w:t xml:space="preserve">• Canal direto de demanda entre órgão de fiscalização e comando de área (LC 97/1999, WN-GT1).</w:t>
      </w:r>
    </w:p>
    <w:p>
      <w:pPr>
        <w:pStyle w:val="Bullet"/>
      </w:pPr>
      <w:r>
        <w:t xml:space="preserve">• Comunicação em campo com proteção: o risco de escuta no Starlink foi apontado por um comando aéreo no WR-P3.</w:t>
      </w:r>
    </w:p>
    <w:p>
      <w:pPr>
        <w:pStyle w:val="Bullet"/>
      </w:pPr>
      <w:r>
        <w:t xml:space="preserve">• Substituir o segundo parágrafo da lacuna. Hoje ele deduz da corrupção relatada no W2 o receio de compartilhar informação; a objeção do GSI sustenta o mesmo ponto com evidência direta.</w:t>
      </w:r>
    </w:p>
    <w:p>
      <w:r>
        <w:rPr>
          <w:b/>
        </w:rPr>
        <w:t xml:space="preserve">1.13 — Forças Armadas no CCPI</w:t>
      </w:r>
    </w:p>
    <w:p>
      <w:pPr>
        <w:pStyle w:val="Bullet"/>
      </w:pPr>
      <w:r>
        <w:t xml:space="preserve">• Registrar que a coordenação do CCPI, no WR-P1, apresentou a inclusão das Forças como etapa posterior de uma expansão "passo a passo". Isso aumenta a viabilidade.</w:t>
      </w:r>
    </w:p>
    <w:p>
      <w:r>
        <w:rPr>
          <w:b/>
        </w:rPr>
        <w:t xml:space="preserve">3.12 — sustentação do CCPI</w:t>
      </w:r>
    </w:p>
    <w:p>
      <w:pPr>
        <w:pStyle w:val="Bullet"/>
      </w:pPr>
      <w:r>
        <w:t xml:space="preserve">• Já coberta. Acrescentar a contrapartida em espécie: os oficiais de ligação já são pagos pelos seus países.</w:t>
      </w:r>
    </w:p>
    <w:p>
      <w:r>
        <w:rPr>
          <w:b/>
        </w:rPr>
        <w:t xml:space="preserve">3.7 — ver III.3</w:t>
      </w:r>
      <w:r>
        <w:t xml:space="preserve">, com a alternativa de repropor o par em vez de suprimi-lo.</w:t>
      </w:r>
    </w:p>
    <w:p>
      <w:pPr>
        <w:pStyle w:val="Heading3"/>
      </w:pPr>
      <w:r>
        <w:t xml:space="preserve">Rodada 2</w:t>
      </w:r>
    </w:p>
    <w:p>
      <w:r>
        <w:rPr>
          <w:b/>
        </w:rPr>
        <w:t xml:space="preserve">3.8 — cadeias e condicionalidade fiscal.</w:t>
      </w:r>
      <w:r>
        <w:t xml:space="preserve"> É o par em que a varredura mais altera a recomendação.</w:t>
      </w:r>
    </w:p>
    <w:p>
      <w:pPr>
        <w:pStyle w:val="Bullet"/>
      </w:pPr>
      <w:r>
        <w:t xml:space="preserve">• Substituir o núcleo da condicionalidade fiscal por três camadas de primeiro degrau:</w:t>
      </w:r>
    </w:p>
    <w:p>
      <w:pPr>
        <w:pStyle w:val="Bullet"/>
      </w:pPr>
      <w:r>
        <w:t xml:space="preserve">• investigação financeira como padrão nas operações e Caixa Forte como rotina (C1);</w:t>
      </w:r>
    </w:p>
    <w:p>
      <w:pPr>
        <w:pStyle w:val="Bullet"/>
      </w:pPr>
      <w:r>
        <w:t xml:space="preserve">• responsabilização de quem compra de área embargada, com a regra que já existe no art. 54 do Decreto 6.514/2008 [verificar], alimentada pela GTA (C5);</w:t>
      </w:r>
    </w:p>
    <w:p>
      <w:pPr>
        <w:pStyle w:val="Bullet"/>
      </w:pPr>
      <w:r>
        <w:t xml:space="preserve">• comprovação de origem na exportação de ouro sob classificações de sucata (C2.a).</w:t>
      </w:r>
    </w:p>
    <w:p>
      <w:pPr>
        <w:pStyle w:val="Bullet"/>
      </w:pPr>
      <w:r>
        <w:t xml:space="preserve">• Motivo: a condicionalidade dos "benefícios fiscais de exportação" esbarra na imunidade constitucional das exportações (art. 155, §2º, X, "a"). No Workshop Nacional, a fala sobre a Lei Kandir tratava só do ouro; a Agenda a generalizou para "produtos primários".</w:t>
      </w:r>
    </w:p>
    <w:p>
      <w:pPr>
        <w:pStyle w:val="Bullet"/>
      </w:pPr>
      <w:r>
        <w:t xml:space="preserve">• Aplicar a correção da Febraban (III.1, item 3).</w:t>
      </w:r>
    </w:p>
    <w:p>
      <w:r>
        <w:rPr>
          <w:b/>
        </w:rPr>
        <w:t xml:space="preserve">2.9 — repartição de benefícios.</w:t>
      </w:r>
      <w:r>
        <w:t xml:space="preserve"> Ver Parte IV: premissa provavelmente equivocada. Reformular para conformidade e orientação (C6.b).</w:t>
      </w:r>
    </w:p>
    <w:p>
      <w:r>
        <w:rPr>
          <w:b/>
        </w:rPr>
        <w:t xml:space="preserve">2.2 e 2.3 — mercúrio.</w:t>
      </w:r>
    </w:p>
    <w:p>
      <w:pPr>
        <w:pStyle w:val="Bullet"/>
      </w:pPr>
      <w:r>
        <w:t xml:space="preserve">• Na fusão, trocar "banimento absoluto" e "legislação complementar" pelo caminho que a varredura indica: nota interpretativa aos estados sobre as exceções dos decretos de 1989, depois decreto (C3.b).</w:t>
      </w:r>
    </w:p>
    <w:p>
      <w:pPr>
        <w:pStyle w:val="Bullet"/>
      </w:pPr>
      <w:r>
        <w:t xml:space="preserve">• A fusão libera a vaga 2.3 (ver III.3).</w:t>
      </w:r>
    </w:p>
    <w:p>
      <w:r>
        <w:rPr>
          <w:b/>
        </w:rPr>
        <w:t xml:space="preserve">1.1 — política nacional.</w:t>
      </w:r>
      <w:r>
        <w:t xml:space="preserve"> Explicitar por que a Agenda propõe "política" e não "estratégia", apoiada no parecer do GSI na validação.</w:t>
      </w:r>
    </w:p>
    <w:p>
      <w:pPr>
        <w:pStyle w:val="Heading3"/>
      </w:pPr>
      <w:r>
        <w:t xml:space="preserve">Rodada 3</w:t>
      </w:r>
    </w:p>
    <w:p>
      <w:r>
        <w:rPr>
          <w:b/>
        </w:rPr>
        <w:t xml:space="preserve">1.10 — segurança jurídica na fronteira</w:t>
      </w:r>
    </w:p>
    <w:p>
      <w:pPr>
        <w:pStyle w:val="Bullet"/>
      </w:pPr>
      <w:r>
        <w:t xml:space="preserve">• Primeira camada: protocolo técnico de operação espelhada (custódia, transporte, cadeia de custódia, compartilhamento de prova) dentro dos acordos-quadro existentes.</w:t>
      </w:r>
    </w:p>
    <w:p>
      <w:pPr>
        <w:pStyle w:val="Bullet"/>
      </w:pPr>
      <w:r>
        <w:t xml:space="preserve">• O caso do Peru sem meios para transportar a carga apreendida [WR-P3] ilustra o problema.</w:t>
      </w:r>
    </w:p>
    <w:p>
      <w:pPr>
        <w:pStyle w:val="Bullet"/>
      </w:pPr>
      <w:r>
        <w:t xml:space="preserve">• O marco comum com projeto de lei fica como horizonte.</w:t>
      </w:r>
    </w:p>
    <w:p>
      <w:r>
        <w:rPr>
          <w:b/>
        </w:rPr>
        <w:t xml:space="preserve">3.2 — CAR</w:t>
      </w:r>
    </w:p>
    <w:p>
      <w:pPr>
        <w:pStyle w:val="Bullet"/>
      </w:pPr>
      <w:r>
        <w:t xml:space="preserve">• Primeira camada: suspensão cautelar dos efeitos do CAR sobreposto a floresta pública federal (crédito, GTA, licenças), sem alterar o Código Florestal.</w:t>
      </w:r>
    </w:p>
    <w:p>
      <w:pPr>
        <w:pStyle w:val="Bullet"/>
      </w:pPr>
      <w:r>
        <w:t xml:space="preserve">• Inversão administrativa do ônus: cabe ao declarante provar a posse legítima para manter o cadastro válido.</w:t>
      </w:r>
    </w:p>
    <w:p>
      <w:pPr>
        <w:pStyle w:val="Bullet"/>
      </w:pPr>
      <w:r>
        <w:t xml:space="preserve">• A alteração da Lei 12.651/2012 fica como horizonte.</w:t>
      </w:r>
    </w:p>
    <w:p>
      <w:r>
        <w:rPr>
          <w:b/>
        </w:rPr>
        <w:t xml:space="preserve">3.5 — penas</w:t>
      </w:r>
    </w:p>
    <w:p>
      <w:pPr>
        <w:pStyle w:val="Bullet"/>
      </w:pPr>
      <w:r>
        <w:t xml:space="preserve">• Primeira camada: enquadramento conjunto em organização criminosa e lavagem como prática padrão (D1.a).</w:t>
      </w:r>
    </w:p>
    <w:p>
      <w:pPr>
        <w:pStyle w:val="Bullet"/>
      </w:pPr>
      <w:r>
        <w:t xml:space="preserve">• Inspeção de material biológico na fronteira (C6.a) e programa de conformidade para pesquisadores (C6.b).</w:t>
      </w:r>
    </w:p>
    <w:p>
      <w:pPr>
        <w:pStyle w:val="Bullet"/>
      </w:pPr>
      <w:r>
        <w:t xml:space="preserve">• Apoio ao projeto de lei de tráfico de fauna já existente, em vez de reforma ampla.</w:t>
      </w:r>
    </w:p>
    <w:p>
      <w:r>
        <w:rPr>
          <w:b/>
        </w:rPr>
        <w:t xml:space="preserve">2.7, 2.8 e 2.11</w:t>
      </w:r>
      <w:r>
        <w:t xml:space="preserve"> — ver Parte IV.</w:t>
      </w:r>
    </w:p>
    <w:p>
      <w:pPr>
        <w:pStyle w:val="Heading3"/>
      </w:pPr>
      <w:r>
        <w:t xml:space="preserve">Rodada 4</w:t>
      </w:r>
    </w:p>
    <w:p>
      <w:pPr>
        <w:pStyle w:val="Bullet"/>
      </w:pPr>
      <w:r>
        <w:t xml:space="preserve">• </w:t>
      </w:r>
      <w:r>
        <w:rPr>
          <w:b/>
        </w:rPr>
        <w:t xml:space="preserve">1.9:</w:t>
      </w:r>
      <w:r>
        <w:t xml:space="preserve"> acrescentar a ressalva das Forças no WR-P3 (missão precípua, custo) e começar pelos canais bilaterais existentes.</w:t>
      </w:r>
    </w:p>
    <w:p>
      <w:pPr>
        <w:pStyle w:val="Bullet"/>
      </w:pPr>
      <w:r>
        <w:t xml:space="preserve">• </w:t>
      </w:r>
      <w:r>
        <w:rPr>
          <w:b/>
        </w:rPr>
        <w:t xml:space="preserve">1.11:</w:t>
      </w:r>
      <w:r>
        <w:t xml:space="preserve"> protocolo de risco e escolta operacionalizando o ACT MPI–MJSP–Funai; moradia protegida; canal protegido para denunciantes (E4.a); verificar o alcance da Lei 12.855/2013.</w:t>
      </w:r>
    </w:p>
    <w:p>
      <w:pPr>
        <w:pStyle w:val="Bullet"/>
      </w:pPr>
      <w:r>
        <w:t xml:space="preserve">• </w:t>
      </w:r>
      <w:r>
        <w:rPr>
          <w:b/>
        </w:rPr>
        <w:t xml:space="preserve">2.1:</w:t>
      </w:r>
      <w:r>
        <w:t xml:space="preserve"> amostragem de todo ouro apreendido (C2.b); participação na rede regional de reguladores de compra (C2.c).</w:t>
      </w:r>
    </w:p>
    <w:p>
      <w:pPr>
        <w:pStyle w:val="Bullet"/>
      </w:pPr>
      <w:r>
        <w:t xml:space="preserve">• </w:t>
      </w:r>
      <w:r>
        <w:rPr>
          <w:b/>
        </w:rPr>
        <w:t xml:space="preserve">2.4:</w:t>
      </w:r>
      <w:r>
        <w:t xml:space="preserve"> critério de pressão para ordenar a fila de destinação (C4.b).</w:t>
      </w:r>
    </w:p>
    <w:p>
      <w:pPr>
        <w:pStyle w:val="Bullet"/>
      </w:pPr>
      <w:r>
        <w:t xml:space="preserve">• </w:t>
      </w:r>
      <w:r>
        <w:rPr>
          <w:b/>
        </w:rPr>
        <w:t xml:space="preserve">2.5:</w:t>
      </w:r>
      <w:r>
        <w:t xml:space="preserve"> prioridade às áreas recém-operadas nos editais de desenvolvimento alternativo, com o edital da Senad como precedente (E1.a); rastreabilidade e pagamento digital como condição de financiamento público (E3.a).</w:t>
      </w:r>
    </w:p>
    <w:p>
      <w:pPr>
        <w:pStyle w:val="Bullet"/>
      </w:pPr>
      <w:r>
        <w:t xml:space="preserve">• </w:t>
      </w:r>
      <w:r>
        <w:rPr>
          <w:b/>
        </w:rPr>
        <w:t xml:space="preserve">2.6:</w:t>
      </w:r>
      <w:r>
        <w:t xml:space="preserve"> qualificar laboratórios regionais existentes (G1.d); corrigir a atribuição (III.1, item 2).</w:t>
      </w:r>
    </w:p>
    <w:p>
      <w:pPr>
        <w:pStyle w:val="Bullet"/>
      </w:pPr>
      <w:r>
        <w:t xml:space="preserve">• </w:t>
      </w:r>
      <w:r>
        <w:rPr>
          <w:b/>
        </w:rPr>
        <w:t xml:space="preserve">3.6:</w:t>
      </w:r>
      <w:r>
        <w:t xml:space="preserve"> entregas concretas pela subcomissão que o Brasil coordena (F3.b).</w:t>
      </w:r>
    </w:p>
    <w:p>
      <w:pPr>
        <w:pStyle w:val="Bullet"/>
      </w:pPr>
      <w:r>
        <w:t xml:space="preserve">• </w:t>
      </w:r>
      <w:r>
        <w:rPr>
          <w:b/>
        </w:rPr>
        <w:t xml:space="preserve">3.9:</w:t>
      </w:r>
      <w:r>
        <w:t xml:space="preserve"> CadÚnico como fonte provisória sobre comunidades tradicionais (G1.c).</w:t>
      </w:r>
    </w:p>
    <w:p>
      <w:pPr>
        <w:pStyle w:val="Bullet"/>
      </w:pPr>
      <w:r>
        <w:t xml:space="preserve">• </w:t>
      </w:r>
      <w:r>
        <w:rPr>
          <w:b/>
        </w:rPr>
        <w:t xml:space="preserve">1.8 e 3.10:</w:t>
      </w:r>
      <w:r>
        <w:t xml:space="preserve"> harmonizações delimitadas, como o defeso do pirarucu e os critérios do ouro (F1.b).</w:t>
      </w:r>
    </w:p>
    <w:p>
      <w:pPr>
        <w:pStyle w:val="Bullet"/>
      </w:pPr>
      <w:r>
        <w:t xml:space="preserve">• </w:t>
      </w:r>
      <w:r>
        <w:rPr>
          <w:b/>
        </w:rPr>
        <w:t xml:space="preserve">Conclusão (§486):</w:t>
      </w:r>
      <w:r>
        <w:t xml:space="preserve"> incluir a cautela das transcrições sobre carbono — contratos que os proprietários não entendem, "grilagem verde" — ao lado da oportunidade.</w:t>
      </w:r>
    </w:p>
    <w:p>
      <w:pPr>
        <w:pStyle w:val="Heading2"/>
      </w:pPr>
      <w:r>
        <w:t xml:space="preserve">III.3 Pares novos</w:t>
      </w:r>
    </w:p>
    <w:p>
      <w:r>
        <w:t xml:space="preserve">Quatro temas cumprem os quatro critérios. Os textos abaixo são propostas completas; não há original a comparar.</w:t>
      </w:r>
    </w:p>
    <w:p>
      <w:pPr>
        <w:pStyle w:val="Heading3"/>
      </w:pPr>
      <w:r>
        <w:t xml:space="preserve">Par novo 1 — Insumos logísticos do garimpo</w:t>
      </w:r>
    </w:p>
    <w:p>
      <w:r>
        <w:rPr>
          <w:b/>
        </w:rPr>
        <w:t xml:space="preserve">Localização.</w:t>
      </w:r>
      <w:r>
        <w:t xml:space="preserve"> Vaga 2.3, se 2.2 e 2.3 forem fundidas; senão, 2.13. Na reestruturação (opção B), vai para o eixo "Território e Economias Ilícitas".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Lacuna 2.3: Controle episódico dos insumos logísticos do garimpo ilegal</w:t>
            </w:r>
          </w:p>
        </w:tc>
      </w:tr>
    </w:tbl>
    <w:p>
      <w:pPr>
        <w:pStyle w:val="Tight"/>
      </w:pP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O garimpo ilegal depende de uma cadeia logística que passa por setores regulados: combustível, aeronaves e pistas de pouso, embarcações e conectividade por satélite. A experiência da Casa de Governo em Roraima mostrou que esses pontos são controláveis. Segundo Nilton Tubino, no Webinar 1, a incorporação da ANP, da ANAC, da ANTT e da Anatel à coordenação da desintrusão da Terra Indígena Yanomami permitiu estrangular a logística do garimpo, estratégia depois replicada.[NOTA] Outros precedentes confirmam a viabilidade: no Webinar 3, o Ministério Público Federal relatou a ação civil pública que obrigou a ANP a fiscalizar o abastecimento de garimpos em Rondônia e Roraima e o acordo com o provedor Starlink para identificar usuários de terminais satelitais em áreas de garimpo.[NOTA] Esse controle, porém, foi mobilizado caso a caso e não integra a rotina de fiscalização dos reguladores nas regiões de garimpo e nas rotas que as abastecem. No Workshop Regional, o controle de combustíveis, maquinário e insumos químicos foi apontado como o ponto em que a cooperação regional teria maior efeito.</w:t>
            </w:r>
          </w:p>
        </w:tc>
      </w:tr>
    </w:tbl>
    <w:p>
      <w:pPr>
        <w:pStyle w:val="Tight"/>
      </w:pP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Recomendação 2.3: Incorporação das regiões de garimpo e de suas rotas de abastecimento aos planos anuais de fiscalização das agências reguladoras</w:t>
            </w:r>
          </w:p>
        </w:tc>
      </w:tr>
    </w:tbl>
    <w:p>
      <w:pPr>
        <w:pStyle w:val="Tight"/>
      </w:pP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Inclusão, pela ANP, pela ANAC e pela Anatel, dos municípios de garimpo e de suas rotas de abastecimento como área prioritária nos respectivos planos anuais de fiscalização — abrangendo a revenda e o transporte de combustíveis, o cadastro e a operação de pistas e aeronaves e os terminais de acesso à internet por satélite —, com extensão aos demais provedores do modelo de identificação de usuários já pactuado com o Starlink. A medida aplica competências que as agências já detêm, converte em rotina o que funcionou na Terra Indígena Yanomami e preserva a autonomia de cada agência na definição de seus planos.</w:t>
            </w:r>
          </w:p>
        </w:tc>
      </w:tr>
    </w:tbl>
    <w:p>
      <w:pPr>
        <w:pStyle w:val="Tight"/>
      </w:pPr>
    </w:p>
    <w:p>
      <w:r>
        <w:rPr>
          <w:b/>
        </w:rPr>
        <w:t xml:space="preserve">Implicações.</w:t>
      </w:r>
    </w:p>
    <w:p>
      <w:pPr>
        <w:pStyle w:val="Bullet"/>
      </w:pPr>
      <w:r>
        <w:t xml:space="preserve">• Jurídica: não exige norma nova.</w:t>
      </w:r>
    </w:p>
    <w:p>
      <w:pPr>
        <w:pStyle w:val="Bullet"/>
      </w:pPr>
      <w:r>
        <w:t xml:space="preserve">• Institucional: as agências respondem aos seus colegiados; a recomendação dirige-se a elas, e não ao Executivo central.</w:t>
      </w:r>
    </w:p>
    <w:p>
      <w:pPr>
        <w:pStyle w:val="Bullet"/>
      </w:pPr>
      <w:r>
        <w:t xml:space="preserve">• Política: custo baixo e precedente de êxito.</w:t>
      </w:r>
    </w:p>
    <w:p>
      <w:pPr>
        <w:pStyle w:val="Bullet"/>
      </w:pPr>
      <w:r>
        <w:t xml:space="preserve">• Técnica: a extensão do modelo Starlink depende da disposição de cada provedor.</w:t>
      </w:r>
    </w:p>
    <w:p>
      <w:pPr>
        <w:pStyle w:val="Bullet"/>
      </w:pPr>
      <w:r>
        <w:t xml:space="preserve">• Viabilidade: alta.</w:t>
      </w:r>
    </w:p>
    <w:p>
      <w:pPr>
        <w:pStyle w:val="Bullet"/>
      </w:pPr>
      <w:r>
        <w:t xml:space="preserve">• A confirmar: os instrumentos do acordo com o Starlink e da ação civil pública contra a ANP.</w:t>
      </w:r>
    </w:p>
    <w:p>
      <w:pPr>
        <w:pStyle w:val="Heading3"/>
      </w:pPr>
      <w:r>
        <w:t xml:space="preserve">Par novo 2 — Divisão de trabalho da fiscalização entre os entes</w:t>
      </w:r>
    </w:p>
    <w:p>
      <w:r>
        <w:rPr>
          <w:b/>
        </w:rPr>
        <w:t xml:space="preserve">Localização.</w:t>
      </w:r>
      <w:r>
        <w:t xml:space="preserve"> Vaga 3.7, em vez da supressão proposta na reavaliação do par. A evidência do "fiel depositário" continua indo para a Lacuna 1.2. O par ganha um objeto próprio, e a numeração não muda. Na reestruturação, cabe no eixo de coordenação do Estado.</w:t>
      </w:r>
    </w:p>
    <w:p>
      <w:r>
        <w:rPr>
          <w:b/>
        </w:rPr>
        <w:t xml:space="preserve">Original (v3):</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Lacuna 3.7: Ausência de mecanismos institucionais sólidos para a cooperação interagências. Recomendação 3.7: Aprimoramento da governança na cooperação interagências.</w:t>
            </w:r>
          </w:p>
        </w:tc>
      </w:tr>
    </w:tbl>
    <w:p>
      <w:pPr>
        <w:pStyle w:val="Tight"/>
      </w:pPr>
    </w:p>
    <w:p>
      <w:r>
        <w:rPr>
          <w:b/>
        </w:rPr>
        <w:t xml:space="preserve">Sugestão:</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Lacuna 3.7: Sobreposição e vazios na fiscalização ambiental por falta de divisão de trabalho entre os entes federados</w:t>
            </w:r>
          </w:p>
        </w:tc>
      </w:tr>
    </w:tbl>
    <w:p>
      <w:pPr>
        <w:pStyle w:val="Tight"/>
      </w:pP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A competência para fiscalizar o meio ambiente é comum à União, aos estados e aos municípios, o que produz sobreposição em algumas áreas e vazios em outras. No Webinar 1, Carolina Bastos, do Ibama, apontou a competência comum e a cultura institucional como fontes de sobreposição entre os órgãos ambientais;[NOTA] no Webinar 3, o Ministério Público Federal relatou que os órgãos estaduais não têm agenda comum com os federais.[NOTA] No Workshop Regional, destacou-se que a Polícia Militar é, no Pará, a única força de segurança presente em todos os municípios, mas sem formação ambiental aprofundada, e defendeu-se a revisão das competências fragmentadas de fiscalização. O instrumento para organizar essa divisão existe: a Lei Complementar nº 140/2011 prevê acordos de cooperação, delegação de execução de ações e comissões tripartites em cada estado. Falta usá-lo para pactuar, de forma preventiva, quem fiscaliza o quê e onde.</w:t>
            </w:r>
          </w:p>
        </w:tc>
      </w:tr>
    </w:tbl>
    <w:p>
      <w:pPr>
        <w:pStyle w:val="Tight"/>
      </w:pP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Recomendação 3.7: Pactuação da divisão de trabalho da fiscalização ambiental nas comissões tripartites estaduais</w:t>
            </w:r>
          </w:p>
        </w:tc>
      </w:tr>
    </w:tbl>
    <w:p>
      <w:pPr>
        <w:pStyle w:val="Tight"/>
      </w:pP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Uso das comissões tripartites previstas na Lei Complementar nº 140/2011 para pactuar, em cada estado da Amazônia Legal, a divisão de trabalho da fiscalização ambiental entre o Ibama, o ICMBio, os órgãos estaduais e municipais e o apoio das polícias militares, com prioridade para os municípios de maior pressão. A pactuação deve ser complementada pela inclusão de conteúdo sobre crimes ambientais nas grades regulares de formação das polícias militares, a partir das capacitações já em curso com a Secretaria Nacional de Segurança Pública.</w:t>
            </w:r>
          </w:p>
        </w:tc>
      </w:tr>
    </w:tbl>
    <w:p>
      <w:pPr>
        <w:pStyle w:val="Tight"/>
      </w:pPr>
    </w:p>
    <w:p>
      <w:r>
        <w:rPr>
          <w:b/>
        </w:rPr>
        <w:t xml:space="preserve">Implicações.</w:t>
      </w:r>
    </w:p>
    <w:p>
      <w:pPr>
        <w:pStyle w:val="Bullet"/>
      </w:pPr>
      <w:r>
        <w:t xml:space="preserve">• Jurídica: a LC 140 já dá os instrumentos [verificar arts. 4º e 17].</w:t>
      </w:r>
    </w:p>
    <w:p>
      <w:pPr>
        <w:pStyle w:val="Bullet"/>
      </w:pPr>
      <w:r>
        <w:t xml:space="preserve">• Política: resistência possível de órgãos que temem perder autonomia; a adesão será desigual entre estados.</w:t>
      </w:r>
    </w:p>
    <w:p>
      <w:pPr>
        <w:pStyle w:val="Bullet"/>
      </w:pPr>
      <w:r>
        <w:t xml:space="preserve">• Institucional: as comissões tripartites existem; a recomendação dá a elas uma pauta.</w:t>
      </w:r>
    </w:p>
    <w:p>
      <w:pPr>
        <w:pStyle w:val="Bullet"/>
      </w:pPr>
      <w:r>
        <w:t xml:space="preserve">• Viabilidade: alta.</w:t>
      </w:r>
    </w:p>
    <w:p>
      <w:pPr>
        <w:pStyle w:val="Heading3"/>
      </w:pPr>
      <w:r>
        <w:t xml:space="preserve">Par novo 3 — Capacidade das agências civis</w:t>
      </w:r>
    </w:p>
    <w:p>
      <w:r>
        <w:rPr>
          <w:b/>
        </w:rPr>
        <w:t xml:space="preserve">Localização.</w:t>
      </w:r>
      <w:r>
        <w:t xml:space="preserve"> 1.14, ao final do Eixo 1. Alternativa, se a equipe não quiser acrescentar pares: ampliar a 1.11 para "capacidade e proteção dos servidores civis em campo".</w:t>
      </w:r>
    </w:p>
    <w:p>
      <w:r>
        <w:rPr>
          <w:b/>
        </w:rPr>
        <w:t xml:space="preserve">Por que agora.</w:t>
      </w:r>
      <w:r>
        <w:t xml:space="preserve"> A seção 1.4.4 sustenta que "a resposta estrutural também passa por fortalecer as agências civis, e não por transferir às Forças uma função que não é a sua". É uma das teses centrais do documento, e nenhuma recomendação a traduz.</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Lacuna 1.14: Capacidade das agências civis desproporcional ao território</w:t>
            </w:r>
          </w:p>
        </w:tc>
      </w:tr>
    </w:tbl>
    <w:p>
      <w:pPr>
        <w:pStyle w:val="Tight"/>
      </w:pP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A Agenda sustenta que a resposta estrutural à presença estatal na Amazônia passa por fortalecer as agências civis, e não por transferir funções às Forças Armadas. Os eventos mostram a distância a percorrer. No Webinar 1, Carolina Bastos, do Ibama, descreveu um corpo técnico que envelhece sem reposição suficiente, cuja escassez impede o rodízio de equipes necessário a operações de médio prazo e se agrava pela dificuldade de manter servidores lotados na região.[NOTA] No Workshop Regional, foram apresentados os números que dimensionam o problema, reunidos na seção 1.4.4, e registrou-se que a contratação de pessoal, isoladamente, não resolverá a desproporção. Os meios também não correspondem ao terreno: os rádios em uso nas operações alcançam poucos quilômetros, a comunicação por satélite depende de provedor privado estrangeiro e as viaturas adquiridas para os órgãos civis nem sempre são adequadas às condições amazônicas. As saídas apontadas nos eventos combinam competências que já existem: o apoio logístico e de inteligência das Forças Armadas, previsto em lei, o emprego de equipes especializadas em operações curtas e sigilosas e arranjos entre órgãos que levam o poder de polícia a áreas descobertas.</w:t>
            </w:r>
          </w:p>
        </w:tc>
      </w:tr>
    </w:tbl>
    <w:p>
      <w:pPr>
        <w:pStyle w:val="Tight"/>
      </w:pP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Recomendação 1.14: Formalização dos arranjos de complementaridade e doutrina comum para as equipes especializadas das agências civis</w:t>
            </w:r>
          </w:p>
        </w:tc>
      </w:tr>
    </w:tbl>
    <w:p>
      <w:pPr>
        <w:pStyle w:val="Tight"/>
      </w:pP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Formalizar, por acordos de cooperação técnica, os arranjos de complementaridade entre agências civis e Forças Armadas que hoje funcionam caso a caso — como o apoio logístico a equipes de fiscalização e o levantamento de informações pelas tropas de fronteira a partir das necessidades definidas pelos órgãos de fiscalização, com base nos arts. 16-A e 17-A da Lei Complementar nº 97/1999 —, e desenvolver doutrina e treinamento comuns para as equipes especializadas do Ibama, do ICMBio, da Funai, da Polícia Federal, da Força Nacional e das Forças Armadas, aproveitando as estruturas de formação interagências já existentes. Complementarmente, os órgãos civis devem adotar especificações próprias para a Amazônia nas aquisições de equipamentos de comunicação e de viaturas, incluindo requisitos de segurança para a comunicação por satélite.</w:t>
            </w:r>
          </w:p>
        </w:tc>
      </w:tr>
    </w:tbl>
    <w:p>
      <w:pPr>
        <w:pStyle w:val="Tight"/>
      </w:pPr>
    </w:p>
    <w:p>
      <w:r>
        <w:rPr>
          <w:b/>
        </w:rPr>
        <w:t xml:space="preserve">Implicações.</w:t>
      </w:r>
    </w:p>
    <w:p>
      <w:pPr>
        <w:pStyle w:val="Bullet"/>
      </w:pPr>
      <w:r>
        <w:t xml:space="preserve">• Institucional: ACTs são instrumento de primeiro degrau.</w:t>
      </w:r>
    </w:p>
    <w:p>
      <w:pPr>
        <w:pStyle w:val="Bullet"/>
      </w:pPr>
      <w:r>
        <w:t xml:space="preserve">• Doutrinária: a doutrina comum aproveita a afinidade entre grupos especiais relatada no WR-P3.</w:t>
      </w:r>
    </w:p>
    <w:p>
      <w:pPr>
        <w:pStyle w:val="Bullet"/>
      </w:pPr>
      <w:r>
        <w:t xml:space="preserve">• Orçamentária: a especificação de compras não pede dinheiro novo, só critério.</w:t>
      </w:r>
    </w:p>
    <w:p>
      <w:pPr>
        <w:pStyle w:val="Bullet"/>
      </w:pPr>
      <w:r>
        <w:t xml:space="preserve">• Não recomendado: propor concurso ou aumento de quadro como solução principal, pelo custo fiscal e porque as próprias falas o descartam como resposta suficiente.</w:t>
      </w:r>
    </w:p>
    <w:p>
      <w:pPr>
        <w:pStyle w:val="Bullet"/>
      </w:pPr>
      <w:r>
        <w:t xml:space="preserve">• Viabilidade: alta.</w:t>
      </w:r>
    </w:p>
    <w:p>
      <w:pPr>
        <w:pStyle w:val="Heading3"/>
      </w:pPr>
      <w:r>
        <w:t xml:space="preserve">Par novo 4 — Recrutamento e exploração de pessoas</w:t>
      </w:r>
    </w:p>
    <w:p>
      <w:r>
        <w:rPr>
          <w:b/>
        </w:rPr>
        <w:t xml:space="preserve">Localização.</w:t>
      </w:r>
      <w:r>
        <w:t xml:space="preserve"> 2.13, ao final do Eixo 2 (ou 2.14, se o par novo 1 ficar na 2.13). Na reestruturação, vai para o eixo "Território e Economias Ilícitas". Alternativa: manter para a versão reestruturada, mas a evidência é forte e a recomendação é de primeiro degrau.</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Lacuna 2.13: Recrutamento e exploração de pessoas pelas economias ilícitas tratados como efeito colateral da repressão</w:t>
            </w:r>
          </w:p>
        </w:tc>
      </w:tr>
    </w:tbl>
    <w:p>
      <w:pPr>
        <w:pStyle w:val="Tight"/>
      </w:pP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O garimpo ilegal e as economias a ele associadas dependem de mão de obra recrutada em condições de exploração. No Webinar 1, Helena Maués, do Ministério Público do Pará, associou o garimpo ao tráfico de pessoas e ao trabalho análogo ao de escravo, observando que o trabalhador preso na ponta da cadeia é, com frequência, ele próprio vítima;[NOTA] no Webinar 3, o Ministério Público Federal incluiu o trabalho escravo entre os crimes conexos à cadeia do garimpo.[NOTA] No Workshop Nacional, relatou-se o recrutamento por redes sociais, inclusive para funções de cozinha e para exploração sexual, e o fato de que o trabalhador raramente se reconhece como vítima, preso por dívida, por documentos retidos e pelo pagamento em ouro. Na repressão, essa população tende a ser tratada como alvo, e não como possível vítima — o que também desperdiça o testemunho capaz de levar a quem financia e organiza a atividade.</w:t>
            </w:r>
          </w:p>
        </w:tc>
      </w:tr>
    </w:tbl>
    <w:p>
      <w:pPr>
        <w:pStyle w:val="Tight"/>
      </w:pP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Recomendação 2.13: Inclusão da auditoria do trabalho e da investigação de tráfico de pessoas no planejamento das operações contra o garimpo ilegal</w:t>
            </w:r>
          </w:p>
        </w:tc>
      </w:tr>
    </w:tbl>
    <w:p>
      <w:pPr>
        <w:pStyle w:val="Tight"/>
      </w:pP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9070"/>
      </w:tblGrid>
      <w:tr>
        <w:tc>
          <w:tcPr>
            <w:tcW w:w="9070" w:type="dxa"/>
            <w:shd w:val="clear" w:color="auto" w:fill="F2F6FA"/>
            <w:vAlign w:val="top"/>
          </w:tcPr>
          <w:p>
            <w:pPr>
              <w:pStyle w:val="Cell"/>
            </w:pPr>
            <w:r>
              <w:rPr>
                <w:sz w:val="19"/>
                <w:szCs w:val="19"/>
              </w:rPr>
              <w:t xml:space="preserve">Prever, no planejamento das operações de repressão ao garimpo ilegal, a participação da Auditoria-Fiscal do Trabalho e de equipes de investigação de tráfico de pessoas, com protocolo de identificação e encaminhamento de vítimas, e estender às ofertas de trabalho em garimpo divulgadas em plataformas digitais o modelo de atuação junto às plataformas que já retirou de circulação anúncios de venda de mercúrio.</w:t>
            </w:r>
          </w:p>
        </w:tc>
      </w:tr>
    </w:tbl>
    <w:p>
      <w:pPr>
        <w:pStyle w:val="Tight"/>
      </w:pPr>
    </w:p>
    <w:p>
      <w:r>
        <w:rPr>
          <w:b/>
        </w:rPr>
        <w:t xml:space="preserve">Implicações.</w:t>
      </w:r>
    </w:p>
    <w:p>
      <w:pPr>
        <w:pStyle w:val="Bullet"/>
      </w:pPr>
      <w:r>
        <w:t xml:space="preserve">• Institucional: a auditoria do trabalho tem estrutura própria de resgate.</w:t>
      </w:r>
    </w:p>
    <w:p>
      <w:pPr>
        <w:pStyle w:val="Bullet"/>
      </w:pPr>
      <w:r>
        <w:t xml:space="preserve">• Jurídica: o trabalhador resgatado tem direito a seguro-desemprego especial [verificar Lei 10.608/2002].</w:t>
      </w:r>
    </w:p>
    <w:p>
      <w:pPr>
        <w:pStyle w:val="Bullet"/>
      </w:pPr>
      <w:r>
        <w:t xml:space="preserve">• Política: custo baixo; o tema tem apoio amplo.</w:t>
      </w:r>
    </w:p>
    <w:p>
      <w:pPr>
        <w:pStyle w:val="Bullet"/>
      </w:pPr>
      <w:r>
        <w:t xml:space="preserve">• Operacional: a triagem entre vítima e participante exige critério; o protocolo existe justamente para isso.</w:t>
      </w:r>
    </w:p>
    <w:p>
      <w:pPr>
        <w:pStyle w:val="Bullet"/>
      </w:pPr>
      <w:r>
        <w:t xml:space="preserve">• Viabilidade: alta.</w:t>
      </w:r>
    </w:p>
    <w:p>
      <w:r>
        <w:rPr>
          <w:b/>
        </w:rPr>
        <w:t xml:space="preserve">Remissões a acrescentar se os pares novos entrarem:</w:t>
      </w:r>
    </w:p>
    <w:p>
      <w:pPr>
        <w:pStyle w:val="Bullet"/>
      </w:pPr>
      <w:r>
        <w:t xml:space="preserve">• 1.14 com 1.11 (proteção) e 1.6 (transição para agências civis);</w:t>
      </w:r>
    </w:p>
    <w:p>
      <w:pPr>
        <w:pStyle w:val="Bullet"/>
      </w:pPr>
      <w:r>
        <w:t xml:space="preserve">• 2.3 com 1.2 (Casa de Governo) e 2.2 (mercúrio);</w:t>
      </w:r>
    </w:p>
    <w:p>
      <w:pPr>
        <w:pStyle w:val="Bullet"/>
      </w:pPr>
      <w:r>
        <w:t xml:space="preserve">• 2.13 com 3.8 (financiadores);</w:t>
      </w:r>
    </w:p>
    <w:p>
      <w:pPr>
        <w:pStyle w:val="Bullet"/>
      </w:pPr>
      <w:r>
        <w:t xml:space="preserve">• 3.7 com 1.2.</w:t>
      </w:r>
    </w:p>
    <w:p>
      <w:pPr>
        <w:pStyle w:val="Heading2"/>
      </w:pPr>
      <w:r>
        <w:t xml:space="preserve">III.4 O que não faz sentido acrescentar agora</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2150"/>
        <w:gridCol w:w="4737"/>
        <w:gridCol w:w="2183"/>
      </w:tblGrid>
      <w:tr>
        <w:trPr>
          <w:tblHeader/>
        </w:trPr>
        <w:tc>
          <w:tcPr>
            <w:tcW w:w="2150" w:type="dxa"/>
            <w:shd w:val="clear" w:color="auto" w:fill="F2F6FA"/>
            <w:vAlign w:val="top"/>
          </w:tcPr>
          <w:p>
            <w:pPr>
              <w:pStyle w:val="Cell"/>
            </w:pPr>
            <w:r>
              <w:rPr>
                <w:b/>
                <w:sz w:val="19"/>
                <w:szCs w:val="19"/>
              </w:rPr>
              <w:t xml:space="preserve">Tema da varredura</w:t>
            </w:r>
          </w:p>
        </w:tc>
        <w:tc>
          <w:tcPr>
            <w:tcW w:w="4737" w:type="dxa"/>
            <w:shd w:val="clear" w:color="auto" w:fill="F2F6FA"/>
            <w:vAlign w:val="top"/>
          </w:tcPr>
          <w:p>
            <w:pPr>
              <w:pStyle w:val="Cell"/>
            </w:pPr>
            <w:r>
              <w:rPr>
                <w:b/>
                <w:sz w:val="19"/>
                <w:szCs w:val="19"/>
              </w:rPr>
              <w:t xml:space="preserve">Por que não agora</w:t>
            </w:r>
          </w:p>
        </w:tc>
        <w:tc>
          <w:tcPr>
            <w:tcW w:w="2183" w:type="dxa"/>
            <w:shd w:val="clear" w:color="auto" w:fill="F2F6FA"/>
            <w:vAlign w:val="top"/>
          </w:tcPr>
          <w:p>
            <w:pPr>
              <w:pStyle w:val="Cell"/>
            </w:pPr>
            <w:r>
              <w:rPr>
                <w:b/>
                <w:sz w:val="19"/>
                <w:szCs w:val="19"/>
              </w:rPr>
              <w:t xml:space="preserve">Destino</w:t>
            </w:r>
          </w:p>
        </w:tc>
      </w:tr>
      <w:tr>
        <w:tc>
          <w:tcPr>
            <w:tcW w:w="2150" w:type="dxa"/>
            <w:vAlign w:val="top"/>
          </w:tcPr>
          <w:p>
            <w:pPr>
              <w:pStyle w:val="Cell"/>
            </w:pPr>
            <w:r>
              <w:rPr>
                <w:sz w:val="19"/>
                <w:szCs w:val="19"/>
              </w:rPr>
              <w:t xml:space="preserve">A4 Captura da ponta local</w:t>
            </w:r>
          </w:p>
        </w:tc>
        <w:tc>
          <w:tcPr>
            <w:tcW w:w="4737" w:type="dxa"/>
            <w:vAlign w:val="top"/>
          </w:tcPr>
          <w:p>
            <w:pPr>
              <w:pStyle w:val="Cell"/>
            </w:pPr>
            <w:r>
              <w:rPr>
                <w:sz w:val="19"/>
                <w:szCs w:val="19"/>
              </w:rPr>
              <w:t xml:space="preserve">O exemplo mais forte foi contestado no próprio evento; a recomendação é modesta e já tem eco no contexto (§406, §413)</w:t>
            </w:r>
          </w:p>
        </w:tc>
        <w:tc>
          <w:tcPr>
            <w:tcW w:w="2183" w:type="dxa"/>
            <w:vAlign w:val="top"/>
          </w:tcPr>
          <w:p>
            <w:pPr>
              <w:pStyle w:val="Cell"/>
            </w:pPr>
            <w:r>
              <w:rPr>
                <w:sz w:val="19"/>
                <w:szCs w:val="19"/>
              </w:rPr>
              <w:t xml:space="preserve">Registrar para a versão reestruturada</w:t>
            </w:r>
          </w:p>
        </w:tc>
      </w:tr>
      <w:tr>
        <w:tc>
          <w:tcPr>
            <w:tcW w:w="2150" w:type="dxa"/>
            <w:vAlign w:val="top"/>
          </w:tcPr>
          <w:p>
            <w:pPr>
              <w:pStyle w:val="Cell"/>
            </w:pPr>
            <w:r>
              <w:rPr>
                <w:sz w:val="19"/>
                <w:szCs w:val="19"/>
              </w:rPr>
              <w:t xml:space="preserve">B3 Orçamento como par próprio</w:t>
            </w:r>
          </w:p>
        </w:tc>
        <w:tc>
          <w:tcPr>
            <w:tcW w:w="4737" w:type="dxa"/>
            <w:vAlign w:val="top"/>
          </w:tcPr>
          <w:p>
            <w:pPr>
              <w:pStyle w:val="Cell"/>
            </w:pPr>
            <w:r>
              <w:rPr>
                <w:sz w:val="19"/>
                <w:szCs w:val="19"/>
              </w:rPr>
              <w:t xml:space="preserve">Os ingredientes cabem em 1.2 (atributo orçamentário) e 1.6 (PPA)</w:t>
            </w:r>
          </w:p>
        </w:tc>
        <w:tc>
          <w:tcPr>
            <w:tcW w:w="2183" w:type="dxa"/>
            <w:vAlign w:val="top"/>
          </w:tcPr>
          <w:p>
            <w:pPr>
              <w:pStyle w:val="Cell"/>
            </w:pPr>
            <w:r>
              <w:rPr>
                <w:sz w:val="19"/>
                <w:szCs w:val="19"/>
              </w:rPr>
              <w:t xml:space="preserve">Reforço nas rodadas 1 e pendente</w:t>
            </w:r>
          </w:p>
        </w:tc>
      </w:tr>
      <w:tr>
        <w:tc>
          <w:tcPr>
            <w:tcW w:w="2150" w:type="dxa"/>
            <w:vAlign w:val="top"/>
          </w:tcPr>
          <w:p>
            <w:pPr>
              <w:pStyle w:val="Cell"/>
            </w:pPr>
            <w:r>
              <w:rPr>
                <w:sz w:val="19"/>
                <w:szCs w:val="19"/>
              </w:rPr>
              <w:t xml:space="preserve">E5 Risco territorial de obras</w:t>
            </w:r>
          </w:p>
        </w:tc>
        <w:tc>
          <w:tcPr>
            <w:tcW w:w="4737" w:type="dxa"/>
            <w:vAlign w:val="top"/>
          </w:tcPr>
          <w:p>
            <w:pPr>
              <w:pStyle w:val="Cell"/>
            </w:pPr>
            <w:r>
              <w:rPr>
                <w:sz w:val="19"/>
                <w:szCs w:val="19"/>
              </w:rPr>
              <w:t xml:space="preserve">Concentrado num evento; tema politicamente sensível (BR-319), com risco de leitura como oposição à obra</w:t>
            </w:r>
          </w:p>
        </w:tc>
        <w:tc>
          <w:tcPr>
            <w:tcW w:w="2183" w:type="dxa"/>
            <w:vAlign w:val="top"/>
          </w:tcPr>
          <w:p>
            <w:pPr>
              <w:pStyle w:val="Cell"/>
            </w:pPr>
            <w:r>
              <w:rPr>
                <w:sz w:val="19"/>
                <w:szCs w:val="19"/>
              </w:rPr>
              <w:t xml:space="preserve">Registrar; retomar se houver nova fonte</w:t>
            </w:r>
          </w:p>
        </w:tc>
      </w:tr>
      <w:tr>
        <w:tc>
          <w:tcPr>
            <w:tcW w:w="2150" w:type="dxa"/>
            <w:vAlign w:val="top"/>
          </w:tcPr>
          <w:p>
            <w:pPr>
              <w:pStyle w:val="Cell"/>
            </w:pPr>
            <w:r>
              <w:rPr>
                <w:sz w:val="19"/>
                <w:szCs w:val="19"/>
              </w:rPr>
              <w:t xml:space="preserve">F3.d Canal humanitário com a Venezuela</w:t>
            </w:r>
          </w:p>
        </w:tc>
        <w:tc>
          <w:tcPr>
            <w:tcW w:w="4737" w:type="dxa"/>
            <w:vAlign w:val="top"/>
          </w:tcPr>
          <w:p>
            <w:pPr>
              <w:pStyle w:val="Cell"/>
            </w:pPr>
            <w:r>
              <w:rPr>
                <w:sz w:val="19"/>
                <w:szCs w:val="19"/>
              </w:rPr>
              <w:t xml:space="preserve">Sensibilidade diplomática alta; uma só fonte interna mais o formulário</w:t>
            </w:r>
          </w:p>
        </w:tc>
        <w:tc>
          <w:tcPr>
            <w:tcW w:w="2183" w:type="dxa"/>
            <w:vAlign w:val="top"/>
          </w:tcPr>
          <w:p>
            <w:pPr>
              <w:pStyle w:val="Cell"/>
            </w:pPr>
            <w:r>
              <w:rPr>
                <w:sz w:val="19"/>
                <w:szCs w:val="19"/>
              </w:rPr>
              <w:t xml:space="preserve">Registrar</w:t>
            </w:r>
          </w:p>
        </w:tc>
      </w:tr>
      <w:tr>
        <w:tc>
          <w:tcPr>
            <w:tcW w:w="2150" w:type="dxa"/>
            <w:vAlign w:val="top"/>
          </w:tcPr>
          <w:p>
            <w:pPr>
              <w:pStyle w:val="Cell"/>
            </w:pPr>
            <w:r>
              <w:rPr>
                <w:sz w:val="19"/>
                <w:szCs w:val="19"/>
              </w:rPr>
              <w:t xml:space="preserve">G1 como par próprio</w:t>
            </w:r>
          </w:p>
        </w:tc>
        <w:tc>
          <w:tcPr>
            <w:tcW w:w="4737" w:type="dxa"/>
            <w:vAlign w:val="top"/>
          </w:tcPr>
          <w:p>
            <w:pPr>
              <w:pStyle w:val="Cell"/>
            </w:pPr>
            <w:r>
              <w:rPr>
                <w:sz w:val="19"/>
                <w:szCs w:val="19"/>
              </w:rPr>
              <w:t xml:space="preserve">Entra por 1.6 (indicadores), 3.9 (CadÚnico) e 2.6 (laboratórios)</w:t>
            </w:r>
          </w:p>
        </w:tc>
        <w:tc>
          <w:tcPr>
            <w:tcW w:w="2183" w:type="dxa"/>
            <w:vAlign w:val="top"/>
          </w:tcPr>
          <w:p>
            <w:pPr>
              <w:pStyle w:val="Cell"/>
            </w:pPr>
            <w:r>
              <w:rPr>
                <w:sz w:val="19"/>
                <w:szCs w:val="19"/>
              </w:rPr>
              <w:t xml:space="preserve">Reforços</w:t>
            </w:r>
          </w:p>
        </w:tc>
      </w:tr>
      <w:tr>
        <w:tc>
          <w:tcPr>
            <w:tcW w:w="2150" w:type="dxa"/>
            <w:vAlign w:val="top"/>
          </w:tcPr>
          <w:p>
            <w:pPr>
              <w:pStyle w:val="Cell"/>
            </w:pPr>
            <w:r>
              <w:rPr>
                <w:sz w:val="19"/>
                <w:szCs w:val="19"/>
              </w:rPr>
              <w:t xml:space="preserve">C6 e D1 como pares próprios</w:t>
            </w:r>
          </w:p>
        </w:tc>
        <w:tc>
          <w:tcPr>
            <w:tcW w:w="4737" w:type="dxa"/>
            <w:vAlign w:val="top"/>
          </w:tcPr>
          <w:p>
            <w:pPr>
              <w:pStyle w:val="Cell"/>
            </w:pPr>
            <w:r>
              <w:rPr>
                <w:sz w:val="19"/>
                <w:szCs w:val="19"/>
              </w:rPr>
              <w:t xml:space="preserve">Já têm casa na 3.5</w:t>
            </w:r>
          </w:p>
        </w:tc>
        <w:tc>
          <w:tcPr>
            <w:tcW w:w="2183" w:type="dxa"/>
            <w:vAlign w:val="top"/>
          </w:tcPr>
          <w:p>
            <w:pPr>
              <w:pStyle w:val="Cell"/>
            </w:pPr>
            <w:r>
              <w:rPr>
                <w:sz w:val="19"/>
                <w:szCs w:val="19"/>
              </w:rPr>
              <w:t xml:space="preserve">Reforço na rodada 3</w:t>
            </w:r>
          </w:p>
        </w:tc>
      </w:tr>
      <w:tr>
        <w:tc>
          <w:tcPr>
            <w:tcW w:w="2150" w:type="dxa"/>
            <w:vAlign w:val="top"/>
          </w:tcPr>
          <w:p>
            <w:pPr>
              <w:pStyle w:val="Cell"/>
            </w:pPr>
            <w:r>
              <w:rPr>
                <w:sz w:val="19"/>
                <w:szCs w:val="19"/>
              </w:rPr>
              <w:t xml:space="preserve">Propostas do Anexo C da varredura</w:t>
            </w:r>
          </w:p>
        </w:tc>
        <w:tc>
          <w:tcPr>
            <w:tcW w:w="4737" w:type="dxa"/>
            <w:vAlign w:val="top"/>
          </w:tcPr>
          <w:p>
            <w:pPr>
              <w:pStyle w:val="Cell"/>
            </w:pPr>
            <w:r>
              <w:rPr>
                <w:sz w:val="19"/>
                <w:szCs w:val="19"/>
              </w:rPr>
              <w:t xml:space="preserve">Pedem mudança de regime quando há degrau intermediário</w:t>
            </w:r>
          </w:p>
        </w:tc>
        <w:tc>
          <w:tcPr>
            <w:tcW w:w="2183" w:type="dxa"/>
            <w:vAlign w:val="top"/>
          </w:tcPr>
          <w:p>
            <w:pPr>
              <w:pStyle w:val="Cell"/>
            </w:pPr>
            <w:r>
              <w:rPr>
                <w:sz w:val="19"/>
                <w:szCs w:val="19"/>
              </w:rPr>
              <w:t xml:space="preserve">Não incluir</w:t>
            </w:r>
          </w:p>
        </w:tc>
      </w:tr>
    </w:tbl>
    <w:p>
      <w:pPr>
        <w:pStyle w:val="Tight"/>
      </w:pPr>
    </w:p>
    <w:p>
      <w:pPr>
        <w:pStyle w:val="Heading1"/>
      </w:pPr>
      <w:r>
        <w:t xml:space="preserve">Parte IV — Pontos da Agenda sem conexão, ou com conexão frágil, com os eventos</w:t>
      </w:r>
    </w:p>
    <w:p>
      <w:pPr>
        <w:pStyle w:val="Heading2"/>
      </w:pPr>
      <w:r>
        <w:t xml:space="preserve">IV.1 Conexão de cada par</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1081"/>
        <w:gridCol w:w="1864"/>
        <w:gridCol w:w="2038"/>
        <w:gridCol w:w="4087"/>
      </w:tblGrid>
      <w:tr>
        <w:trPr>
          <w:tblHeader/>
        </w:trPr>
        <w:tc>
          <w:tcPr>
            <w:tcW w:w="1081" w:type="dxa"/>
            <w:shd w:val="clear" w:color="auto" w:fill="F2F6FA"/>
            <w:vAlign w:val="top"/>
          </w:tcPr>
          <w:p>
            <w:pPr>
              <w:pStyle w:val="Cell"/>
            </w:pPr>
            <w:r>
              <w:rPr>
                <w:b/>
                <w:sz w:val="19"/>
                <w:szCs w:val="19"/>
              </w:rPr>
              <w:t xml:space="preserve">Par</w:t>
            </w:r>
          </w:p>
        </w:tc>
        <w:tc>
          <w:tcPr>
            <w:tcW w:w="1864" w:type="dxa"/>
            <w:shd w:val="clear" w:color="auto" w:fill="F2F6FA"/>
            <w:vAlign w:val="top"/>
          </w:tcPr>
          <w:p>
            <w:pPr>
              <w:pStyle w:val="Cell"/>
            </w:pPr>
            <w:r>
              <w:rPr>
                <w:b/>
                <w:sz w:val="19"/>
                <w:szCs w:val="19"/>
              </w:rPr>
              <w:t xml:space="preserve">Conexão</w:t>
            </w:r>
          </w:p>
        </w:tc>
        <w:tc>
          <w:tcPr>
            <w:tcW w:w="2038" w:type="dxa"/>
            <w:shd w:val="clear" w:color="auto" w:fill="F2F6FA"/>
            <w:vAlign w:val="top"/>
          </w:tcPr>
          <w:p>
            <w:pPr>
              <w:pStyle w:val="Cell"/>
            </w:pPr>
            <w:r>
              <w:rPr>
                <w:b/>
                <w:sz w:val="19"/>
                <w:szCs w:val="19"/>
              </w:rPr>
              <w:t xml:space="preserve">Fontes na varredura</w:t>
            </w:r>
          </w:p>
        </w:tc>
        <w:tc>
          <w:tcPr>
            <w:tcW w:w="4087" w:type="dxa"/>
            <w:shd w:val="clear" w:color="auto" w:fill="F2F6FA"/>
            <w:vAlign w:val="top"/>
          </w:tcPr>
          <w:p>
            <w:pPr>
              <w:pStyle w:val="Cell"/>
            </w:pPr>
            <w:r>
              <w:rPr>
                <w:b/>
                <w:sz w:val="19"/>
                <w:szCs w:val="19"/>
              </w:rPr>
              <w:t xml:space="preserve">Observação</w:t>
            </w:r>
          </w:p>
        </w:tc>
      </w:tr>
      <w:tr>
        <w:tc>
          <w:tcPr>
            <w:tcW w:w="1081" w:type="dxa"/>
            <w:vAlign w:val="top"/>
          </w:tcPr>
          <w:p>
            <w:pPr>
              <w:pStyle w:val="Cell"/>
            </w:pPr>
            <w:r>
              <w:rPr>
                <w:sz w:val="19"/>
                <w:szCs w:val="19"/>
              </w:rPr>
              <w:t xml:space="preserve">1.1</w:t>
            </w:r>
          </w:p>
        </w:tc>
        <w:tc>
          <w:tcPr>
            <w:tcW w:w="1864" w:type="dxa"/>
            <w:vAlign w:val="top"/>
          </w:tcPr>
          <w:p>
            <w:pPr>
              <w:pStyle w:val="Cell"/>
            </w:pPr>
            <w:r>
              <w:rPr>
                <w:sz w:val="19"/>
                <w:szCs w:val="19"/>
              </w:rPr>
              <w:t xml:space="preserve">Forte</w:t>
            </w:r>
          </w:p>
        </w:tc>
        <w:tc>
          <w:tcPr>
            <w:tcW w:w="2038" w:type="dxa"/>
            <w:vAlign w:val="top"/>
          </w:tcPr>
          <w:p>
            <w:pPr>
              <w:pStyle w:val="Cell"/>
            </w:pPr>
            <w:r>
              <w:rPr>
                <w:sz w:val="19"/>
                <w:szCs w:val="19"/>
              </w:rPr>
              <w:t xml:space="preserve">WN, WR-P3, VL</w:t>
            </w:r>
          </w:p>
        </w:tc>
        <w:tc>
          <w:tcPr>
            <w:tcW w:w="4087" w:type="dxa"/>
            <w:vAlign w:val="top"/>
          </w:tcPr>
          <w:p>
            <w:pPr>
              <w:pStyle w:val="Cell"/>
            </w:pPr>
            <w:r>
              <w:rPr>
                <w:sz w:val="19"/>
                <w:szCs w:val="19"/>
              </w:rPr>
              <w:t xml:space="preserve">Os eventos falam em "grande estratégia"; o GSI validou "política"</w:t>
            </w:r>
          </w:p>
        </w:tc>
      </w:tr>
      <w:tr>
        <w:tc>
          <w:tcPr>
            <w:tcW w:w="1081" w:type="dxa"/>
            <w:vAlign w:val="top"/>
          </w:tcPr>
          <w:p>
            <w:pPr>
              <w:pStyle w:val="Cell"/>
            </w:pPr>
            <w:r>
              <w:rPr>
                <w:sz w:val="19"/>
                <w:szCs w:val="19"/>
              </w:rPr>
              <w:t xml:space="preserve">1.2</w:t>
            </w:r>
          </w:p>
        </w:tc>
        <w:tc>
          <w:tcPr>
            <w:tcW w:w="1864" w:type="dxa"/>
            <w:vAlign w:val="top"/>
          </w:tcPr>
          <w:p>
            <w:pPr>
              <w:pStyle w:val="Cell"/>
            </w:pPr>
            <w:r>
              <w:rPr>
                <w:sz w:val="19"/>
                <w:szCs w:val="19"/>
              </w:rPr>
              <w:t xml:space="preserve">Forte</w:t>
            </w:r>
          </w:p>
        </w:tc>
        <w:tc>
          <w:tcPr>
            <w:tcW w:w="2038" w:type="dxa"/>
            <w:vAlign w:val="top"/>
          </w:tcPr>
          <w:p>
            <w:pPr>
              <w:pStyle w:val="Cell"/>
            </w:pPr>
            <w:r>
              <w:rPr>
                <w:sz w:val="19"/>
                <w:szCs w:val="19"/>
              </w:rPr>
              <w:t xml:space="preserve">W2, W3, WN, WR, FM</w:t>
            </w:r>
          </w:p>
        </w:tc>
        <w:tc>
          <w:tcPr>
            <w:tcW w:w="4087" w:type="dxa"/>
            <w:vAlign w:val="top"/>
          </w:tcPr>
          <w:p>
            <w:pPr>
              <w:pStyle w:val="Cell"/>
            </w:pPr>
            <w:r>
              <w:rPr>
                <w:sz w:val="19"/>
                <w:szCs w:val="19"/>
              </w:rPr>
              <w:t xml:space="preserve">A história do CNAL é documental</w:t>
            </w:r>
          </w:p>
        </w:tc>
      </w:tr>
      <w:tr>
        <w:tc>
          <w:tcPr>
            <w:tcW w:w="1081" w:type="dxa"/>
            <w:vAlign w:val="top"/>
          </w:tcPr>
          <w:p>
            <w:pPr>
              <w:pStyle w:val="Cell"/>
            </w:pPr>
            <w:r>
              <w:rPr>
                <w:sz w:val="19"/>
                <w:szCs w:val="19"/>
              </w:rPr>
              <w:t xml:space="preserve">1.3</w:t>
            </w:r>
          </w:p>
        </w:tc>
        <w:tc>
          <w:tcPr>
            <w:tcW w:w="1864" w:type="dxa"/>
            <w:vAlign w:val="top"/>
          </w:tcPr>
          <w:p>
            <w:pPr>
              <w:pStyle w:val="Cell"/>
            </w:pPr>
            <w:r>
              <w:rPr>
                <w:sz w:val="19"/>
                <w:szCs w:val="19"/>
              </w:rPr>
              <w:t xml:space="preserve">Forte</w:t>
            </w:r>
          </w:p>
        </w:tc>
        <w:tc>
          <w:tcPr>
            <w:tcW w:w="2038" w:type="dxa"/>
            <w:vAlign w:val="top"/>
          </w:tcPr>
          <w:p>
            <w:pPr>
              <w:pStyle w:val="Cell"/>
            </w:pPr>
            <w:r>
              <w:rPr>
                <w:sz w:val="19"/>
                <w:szCs w:val="19"/>
              </w:rPr>
              <w:t xml:space="preserve">W1, WN, VL</w:t>
            </w:r>
          </w:p>
        </w:tc>
        <w:tc>
          <w:tcPr>
            <w:tcW w:w="4087" w:type="dxa"/>
            <w:vAlign w:val="top"/>
          </w:tcPr>
          <w:p>
            <w:pPr>
              <w:pStyle w:val="Cell"/>
            </w:pPr>
            <w:r>
              <w:rPr>
                <w:sz w:val="19"/>
                <w:szCs w:val="19"/>
              </w:rPr>
              <w:t xml:space="preserve">O segundo parágrafo faz inferência que a objeção do GSI sustenta melhor</w:t>
            </w:r>
          </w:p>
        </w:tc>
      </w:tr>
      <w:tr>
        <w:tc>
          <w:tcPr>
            <w:tcW w:w="1081" w:type="dxa"/>
            <w:vAlign w:val="top"/>
          </w:tcPr>
          <w:p>
            <w:pPr>
              <w:pStyle w:val="Cell"/>
            </w:pPr>
            <w:r>
              <w:rPr>
                <w:sz w:val="19"/>
                <w:szCs w:val="19"/>
              </w:rPr>
              <w:t xml:space="preserve">1.4</w:t>
            </w:r>
          </w:p>
        </w:tc>
        <w:tc>
          <w:tcPr>
            <w:tcW w:w="1864" w:type="dxa"/>
            <w:vAlign w:val="top"/>
          </w:tcPr>
          <w:p>
            <w:pPr>
              <w:pStyle w:val="Cell"/>
            </w:pPr>
            <w:r>
              <w:rPr>
                <w:sz w:val="19"/>
                <w:szCs w:val="19"/>
              </w:rPr>
              <w:t xml:space="preserve">Moderada</w:t>
            </w:r>
          </w:p>
        </w:tc>
        <w:tc>
          <w:tcPr>
            <w:tcW w:w="2038" w:type="dxa"/>
            <w:vAlign w:val="top"/>
          </w:tcPr>
          <w:p>
            <w:pPr>
              <w:pStyle w:val="Cell"/>
            </w:pPr>
            <w:r>
              <w:rPr>
                <w:sz w:val="19"/>
                <w:szCs w:val="19"/>
              </w:rPr>
              <w:t xml:space="preserve">WN-GT1</w:t>
            </w:r>
          </w:p>
        </w:tc>
        <w:tc>
          <w:tcPr>
            <w:tcW w:w="4087" w:type="dxa"/>
            <w:vAlign w:val="top"/>
          </w:tcPr>
          <w:p>
            <w:pPr>
              <w:pStyle w:val="Cell"/>
            </w:pPr>
            <w:r>
              <w:rPr>
                <w:sz w:val="19"/>
                <w:szCs w:val="19"/>
              </w:rPr>
              <w:t xml:space="preserve">Fato institucional específico</w:t>
            </w:r>
          </w:p>
        </w:tc>
      </w:tr>
      <w:tr>
        <w:tc>
          <w:tcPr>
            <w:tcW w:w="1081" w:type="dxa"/>
            <w:vAlign w:val="top"/>
          </w:tcPr>
          <w:p>
            <w:pPr>
              <w:pStyle w:val="Cell"/>
            </w:pPr>
            <w:r>
              <w:rPr>
                <w:sz w:val="19"/>
                <w:szCs w:val="19"/>
              </w:rPr>
              <w:t xml:space="preserve">1.5</w:t>
            </w:r>
          </w:p>
        </w:tc>
        <w:tc>
          <w:tcPr>
            <w:tcW w:w="1864" w:type="dxa"/>
            <w:vAlign w:val="top"/>
          </w:tcPr>
          <w:p>
            <w:pPr>
              <w:pStyle w:val="Cell"/>
            </w:pPr>
            <w:r>
              <w:rPr>
                <w:sz w:val="19"/>
                <w:szCs w:val="19"/>
              </w:rPr>
              <w:t xml:space="preserve">Moderada</w:t>
            </w:r>
          </w:p>
        </w:tc>
        <w:tc>
          <w:tcPr>
            <w:tcW w:w="2038" w:type="dxa"/>
            <w:vAlign w:val="top"/>
          </w:tcPr>
          <w:p>
            <w:pPr>
              <w:pStyle w:val="Cell"/>
            </w:pPr>
            <w:r>
              <w:rPr>
                <w:sz w:val="19"/>
                <w:szCs w:val="19"/>
              </w:rPr>
              <w:t xml:space="preserve">W2, WR-P1, VL</w:t>
            </w:r>
          </w:p>
        </w:tc>
        <w:tc>
          <w:tcPr>
            <w:tcW w:w="4087" w:type="dxa"/>
            <w:vAlign w:val="top"/>
          </w:tcPr>
          <w:p>
            <w:pPr>
              <w:pStyle w:val="Cell"/>
            </w:pPr>
            <w:r>
              <w:rPr>
                <w:sz w:val="19"/>
                <w:szCs w:val="19"/>
              </w:rPr>
              <w:t xml:space="preserve">Número reconstituído na transcrição</w:t>
            </w:r>
          </w:p>
        </w:tc>
      </w:tr>
      <w:tr>
        <w:tc>
          <w:tcPr>
            <w:tcW w:w="1081" w:type="dxa"/>
            <w:vAlign w:val="top"/>
          </w:tcPr>
          <w:p>
            <w:pPr>
              <w:pStyle w:val="Cell"/>
            </w:pPr>
            <w:r>
              <w:rPr>
                <w:sz w:val="19"/>
                <w:szCs w:val="19"/>
              </w:rPr>
              <w:t xml:space="preserve">1.6</w:t>
            </w:r>
          </w:p>
        </w:tc>
        <w:tc>
          <w:tcPr>
            <w:tcW w:w="1864" w:type="dxa"/>
            <w:vAlign w:val="top"/>
          </w:tcPr>
          <w:p>
            <w:pPr>
              <w:pStyle w:val="Cell"/>
            </w:pPr>
            <w:r>
              <w:rPr>
                <w:sz w:val="19"/>
                <w:szCs w:val="19"/>
              </w:rPr>
              <w:t xml:space="preserve">Forte</w:t>
            </w:r>
          </w:p>
        </w:tc>
        <w:tc>
          <w:tcPr>
            <w:tcW w:w="2038" w:type="dxa"/>
            <w:vAlign w:val="top"/>
          </w:tcPr>
          <w:p>
            <w:pPr>
              <w:pStyle w:val="Cell"/>
            </w:pPr>
            <w:r>
              <w:rPr>
                <w:sz w:val="19"/>
                <w:szCs w:val="19"/>
              </w:rPr>
              <w:t xml:space="preserve">W1, WN, WR, SI</w:t>
            </w:r>
          </w:p>
        </w:tc>
        <w:tc>
          <w:tcPr>
            <w:tcW w:w="4087" w:type="dxa"/>
            <w:vAlign w:val="top"/>
          </w:tcPr>
          <w:p>
            <w:pPr>
              <w:pStyle w:val="Cell"/>
            </w:pPr>
            <w:r>
              <w:rPr>
                <w:sz w:val="19"/>
                <w:szCs w:val="19"/>
              </w:rPr>
              <w:t xml:space="preserve">Série orçamentária documental (MD)</w:t>
            </w:r>
          </w:p>
        </w:tc>
      </w:tr>
      <w:tr>
        <w:tc>
          <w:tcPr>
            <w:tcW w:w="1081" w:type="dxa"/>
            <w:vAlign w:val="top"/>
          </w:tcPr>
          <w:p>
            <w:pPr>
              <w:pStyle w:val="Cell"/>
            </w:pPr>
            <w:r>
              <w:rPr>
                <w:sz w:val="19"/>
                <w:szCs w:val="19"/>
              </w:rPr>
              <w:t xml:space="preserve">1.7</w:t>
            </w:r>
          </w:p>
        </w:tc>
        <w:tc>
          <w:tcPr>
            <w:tcW w:w="1864" w:type="dxa"/>
            <w:vAlign w:val="top"/>
          </w:tcPr>
          <w:p>
            <w:pPr>
              <w:pStyle w:val="Cell"/>
            </w:pPr>
            <w:r>
              <w:rPr>
                <w:sz w:val="19"/>
                <w:szCs w:val="19"/>
              </w:rPr>
              <w:t xml:space="preserve">Forte</w:t>
            </w:r>
          </w:p>
        </w:tc>
        <w:tc>
          <w:tcPr>
            <w:tcW w:w="2038" w:type="dxa"/>
            <w:vAlign w:val="top"/>
          </w:tcPr>
          <w:p>
            <w:pPr>
              <w:pStyle w:val="Cell"/>
            </w:pPr>
            <w:r>
              <w:rPr>
                <w:sz w:val="19"/>
                <w:szCs w:val="19"/>
              </w:rPr>
              <w:t xml:space="preserve">W2, WR-P2, WR-P3, VL</w:t>
            </w:r>
          </w:p>
        </w:tc>
        <w:tc>
          <w:tcPr>
            <w:tcW w:w="4087" w:type="dxa"/>
            <w:vAlign w:val="top"/>
          </w:tcPr>
          <w:p>
            <w:pPr>
              <w:pStyle w:val="Cell"/>
            </w:pPr>
            <w:r>
              <w:rPr>
                <w:sz w:val="19"/>
                <w:szCs w:val="19"/>
              </w:rPr>
              <w:t xml:space="preserve">—</w:t>
            </w:r>
          </w:p>
        </w:tc>
      </w:tr>
      <w:tr>
        <w:tc>
          <w:tcPr>
            <w:tcW w:w="1081" w:type="dxa"/>
            <w:vAlign w:val="top"/>
          </w:tcPr>
          <w:p>
            <w:pPr>
              <w:pStyle w:val="Cell"/>
            </w:pPr>
            <w:r>
              <w:rPr>
                <w:sz w:val="19"/>
                <w:szCs w:val="19"/>
              </w:rPr>
              <w:t xml:space="preserve">1.8</w:t>
            </w:r>
          </w:p>
        </w:tc>
        <w:tc>
          <w:tcPr>
            <w:tcW w:w="1864" w:type="dxa"/>
            <w:vAlign w:val="top"/>
          </w:tcPr>
          <w:p>
            <w:pPr>
              <w:pStyle w:val="Cell"/>
            </w:pPr>
            <w:r>
              <w:rPr>
                <w:sz w:val="19"/>
                <w:szCs w:val="19"/>
              </w:rPr>
              <w:t xml:space="preserve">Forte</w:t>
            </w:r>
          </w:p>
        </w:tc>
        <w:tc>
          <w:tcPr>
            <w:tcW w:w="2038" w:type="dxa"/>
            <w:vAlign w:val="top"/>
          </w:tcPr>
          <w:p>
            <w:pPr>
              <w:pStyle w:val="Cell"/>
            </w:pPr>
            <w:r>
              <w:rPr>
                <w:sz w:val="19"/>
                <w:szCs w:val="19"/>
              </w:rPr>
              <w:t xml:space="preserve">WR-P1, WR encerramento, FM</w:t>
            </w:r>
          </w:p>
        </w:tc>
        <w:tc>
          <w:tcPr>
            <w:tcW w:w="4087" w:type="dxa"/>
            <w:vAlign w:val="top"/>
          </w:tcPr>
          <w:p>
            <w:pPr>
              <w:pStyle w:val="Cell"/>
            </w:pPr>
            <w:r>
              <w:rPr>
                <w:sz w:val="19"/>
                <w:szCs w:val="19"/>
              </w:rPr>
              <w:t xml:space="preserve">Duplica a 3.10</w:t>
            </w:r>
          </w:p>
        </w:tc>
      </w:tr>
      <w:tr>
        <w:tc>
          <w:tcPr>
            <w:tcW w:w="1081" w:type="dxa"/>
            <w:vAlign w:val="top"/>
          </w:tcPr>
          <w:p>
            <w:pPr>
              <w:pStyle w:val="Cell"/>
            </w:pPr>
            <w:r>
              <w:rPr>
                <w:sz w:val="19"/>
                <w:szCs w:val="19"/>
              </w:rPr>
              <w:t xml:space="preserve">1.9</w:t>
            </w:r>
          </w:p>
        </w:tc>
        <w:tc>
          <w:tcPr>
            <w:tcW w:w="1864" w:type="dxa"/>
            <w:vAlign w:val="top"/>
          </w:tcPr>
          <w:p>
            <w:pPr>
              <w:pStyle w:val="Cell"/>
            </w:pPr>
            <w:r>
              <w:rPr>
                <w:sz w:val="19"/>
                <w:szCs w:val="19"/>
              </w:rPr>
              <w:t xml:space="preserve">Fraca</w:t>
            </w:r>
          </w:p>
        </w:tc>
        <w:tc>
          <w:tcPr>
            <w:tcW w:w="2038" w:type="dxa"/>
            <w:vAlign w:val="top"/>
          </w:tcPr>
          <w:p>
            <w:pPr>
              <w:pStyle w:val="Cell"/>
            </w:pPr>
            <w:r>
              <w:rPr>
                <w:sz w:val="19"/>
                <w:szCs w:val="19"/>
              </w:rPr>
              <w:t xml:space="preserve">WR-P3</w:t>
            </w:r>
          </w:p>
        </w:tc>
        <w:tc>
          <w:tcPr>
            <w:tcW w:w="4087" w:type="dxa"/>
            <w:vAlign w:val="top"/>
          </w:tcPr>
          <w:p>
            <w:pPr>
              <w:pStyle w:val="Cell"/>
            </w:pPr>
            <w:r>
              <w:rPr>
                <w:sz w:val="19"/>
                <w:szCs w:val="19"/>
              </w:rPr>
              <w:t xml:space="preserve">A demanda partiu da moderação do CSC; as Forças responderam com ressalvas</w:t>
            </w:r>
          </w:p>
        </w:tc>
      </w:tr>
      <w:tr>
        <w:tc>
          <w:tcPr>
            <w:tcW w:w="1081" w:type="dxa"/>
            <w:vAlign w:val="top"/>
          </w:tcPr>
          <w:p>
            <w:pPr>
              <w:pStyle w:val="Cell"/>
            </w:pPr>
            <w:r>
              <w:rPr>
                <w:sz w:val="19"/>
                <w:szCs w:val="19"/>
              </w:rPr>
              <w:t xml:space="preserve">1.10</w:t>
            </w:r>
          </w:p>
        </w:tc>
        <w:tc>
          <w:tcPr>
            <w:tcW w:w="1864" w:type="dxa"/>
            <w:vAlign w:val="top"/>
          </w:tcPr>
          <w:p>
            <w:pPr>
              <w:pStyle w:val="Cell"/>
            </w:pPr>
            <w:r>
              <w:rPr>
                <w:sz w:val="19"/>
                <w:szCs w:val="19"/>
              </w:rPr>
              <w:t xml:space="preserve">Moderada</w:t>
            </w:r>
          </w:p>
        </w:tc>
        <w:tc>
          <w:tcPr>
            <w:tcW w:w="2038" w:type="dxa"/>
            <w:vAlign w:val="top"/>
          </w:tcPr>
          <w:p>
            <w:pPr>
              <w:pStyle w:val="Cell"/>
            </w:pPr>
            <w:r>
              <w:rPr>
                <w:sz w:val="19"/>
                <w:szCs w:val="19"/>
              </w:rPr>
              <w:t xml:space="preserve">WR-P1</w:t>
            </w:r>
          </w:p>
        </w:tc>
        <w:tc>
          <w:tcPr>
            <w:tcW w:w="4087" w:type="dxa"/>
            <w:vAlign w:val="top"/>
          </w:tcPr>
          <w:p>
            <w:pPr>
              <w:pStyle w:val="Cell"/>
            </w:pPr>
            <w:r>
              <w:rPr>
                <w:sz w:val="19"/>
                <w:szCs w:val="19"/>
              </w:rPr>
              <w:t xml:space="preserve">Recomendação D3</w:t>
            </w:r>
          </w:p>
        </w:tc>
      </w:tr>
      <w:tr>
        <w:tc>
          <w:tcPr>
            <w:tcW w:w="1081" w:type="dxa"/>
            <w:vAlign w:val="top"/>
          </w:tcPr>
          <w:p>
            <w:pPr>
              <w:pStyle w:val="Cell"/>
            </w:pPr>
            <w:r>
              <w:rPr>
                <w:sz w:val="19"/>
                <w:szCs w:val="19"/>
              </w:rPr>
              <w:t xml:space="preserve">1.11</w:t>
            </w:r>
          </w:p>
        </w:tc>
        <w:tc>
          <w:tcPr>
            <w:tcW w:w="1864" w:type="dxa"/>
            <w:vAlign w:val="top"/>
          </w:tcPr>
          <w:p>
            <w:pPr>
              <w:pStyle w:val="Cell"/>
            </w:pPr>
            <w:r>
              <w:rPr>
                <w:sz w:val="19"/>
                <w:szCs w:val="19"/>
              </w:rPr>
              <w:t xml:space="preserve">Forte</w:t>
            </w:r>
          </w:p>
        </w:tc>
        <w:tc>
          <w:tcPr>
            <w:tcW w:w="2038" w:type="dxa"/>
            <w:vAlign w:val="top"/>
          </w:tcPr>
          <w:p>
            <w:pPr>
              <w:pStyle w:val="Cell"/>
            </w:pPr>
            <w:r>
              <w:rPr>
                <w:sz w:val="19"/>
                <w:szCs w:val="19"/>
              </w:rPr>
              <w:t xml:space="preserve">W3, WN, FM, WR</w:t>
            </w:r>
          </w:p>
        </w:tc>
        <w:tc>
          <w:tcPr>
            <w:tcW w:w="4087" w:type="dxa"/>
            <w:vAlign w:val="top"/>
          </w:tcPr>
          <w:p>
            <w:pPr>
              <w:pStyle w:val="Cell"/>
            </w:pPr>
            <w:r>
              <w:rPr>
                <w:sz w:val="19"/>
                <w:szCs w:val="19"/>
              </w:rPr>
              <w:t xml:space="preserve">Atribuição ao W1 não se sustenta</w:t>
            </w:r>
          </w:p>
        </w:tc>
      </w:tr>
      <w:tr>
        <w:tc>
          <w:tcPr>
            <w:tcW w:w="1081" w:type="dxa"/>
            <w:vAlign w:val="top"/>
          </w:tcPr>
          <w:p>
            <w:pPr>
              <w:pStyle w:val="Cell"/>
            </w:pPr>
            <w:r>
              <w:rPr>
                <w:sz w:val="19"/>
                <w:szCs w:val="19"/>
              </w:rPr>
              <w:t xml:space="preserve">1.12</w:t>
            </w:r>
          </w:p>
        </w:tc>
        <w:tc>
          <w:tcPr>
            <w:tcW w:w="1864" w:type="dxa"/>
            <w:vAlign w:val="top"/>
          </w:tcPr>
          <w:p>
            <w:pPr>
              <w:pStyle w:val="Cell"/>
            </w:pPr>
            <w:r>
              <w:rPr>
                <w:sz w:val="19"/>
                <w:szCs w:val="19"/>
              </w:rPr>
              <w:t xml:space="preserve">Moderada</w:t>
            </w:r>
          </w:p>
        </w:tc>
        <w:tc>
          <w:tcPr>
            <w:tcW w:w="2038" w:type="dxa"/>
            <w:vAlign w:val="top"/>
          </w:tcPr>
          <w:p>
            <w:pPr>
              <w:pStyle w:val="Cell"/>
            </w:pPr>
            <w:r>
              <w:rPr>
                <w:sz w:val="19"/>
                <w:szCs w:val="19"/>
              </w:rPr>
              <w:t xml:space="preserve">VL, WR-P1, W2</w:t>
            </w:r>
          </w:p>
        </w:tc>
        <w:tc>
          <w:tcPr>
            <w:tcW w:w="4087" w:type="dxa"/>
            <w:vAlign w:val="top"/>
          </w:tcPr>
          <w:p>
            <w:pPr>
              <w:pStyle w:val="Cell"/>
            </w:pPr>
            <w:r>
              <w:rPr>
                <w:sz w:val="19"/>
                <w:szCs w:val="19"/>
              </w:rPr>
              <w:t xml:space="preserve">—</w:t>
            </w:r>
          </w:p>
        </w:tc>
      </w:tr>
      <w:tr>
        <w:tc>
          <w:tcPr>
            <w:tcW w:w="1081" w:type="dxa"/>
            <w:vAlign w:val="top"/>
          </w:tcPr>
          <w:p>
            <w:pPr>
              <w:pStyle w:val="Cell"/>
            </w:pPr>
            <w:r>
              <w:rPr>
                <w:sz w:val="19"/>
                <w:szCs w:val="19"/>
              </w:rPr>
              <w:t xml:space="preserve">1.13</w:t>
            </w:r>
          </w:p>
        </w:tc>
        <w:tc>
          <w:tcPr>
            <w:tcW w:w="1864" w:type="dxa"/>
            <w:vAlign w:val="top"/>
          </w:tcPr>
          <w:p>
            <w:pPr>
              <w:pStyle w:val="Cell"/>
            </w:pPr>
            <w:r>
              <w:rPr>
                <w:sz w:val="19"/>
                <w:szCs w:val="19"/>
              </w:rPr>
              <w:t xml:space="preserve">Moderada</w:t>
            </w:r>
          </w:p>
        </w:tc>
        <w:tc>
          <w:tcPr>
            <w:tcW w:w="2038" w:type="dxa"/>
            <w:vAlign w:val="top"/>
          </w:tcPr>
          <w:p>
            <w:pPr>
              <w:pStyle w:val="Cell"/>
            </w:pPr>
            <w:r>
              <w:rPr>
                <w:sz w:val="19"/>
                <w:szCs w:val="19"/>
              </w:rPr>
              <w:t xml:space="preserve">WR-P1, VL</w:t>
            </w:r>
          </w:p>
        </w:tc>
        <w:tc>
          <w:tcPr>
            <w:tcW w:w="4087" w:type="dxa"/>
            <w:vAlign w:val="top"/>
          </w:tcPr>
          <w:p>
            <w:pPr>
              <w:pStyle w:val="Cell"/>
            </w:pPr>
            <w:r>
              <w:rPr>
                <w:sz w:val="19"/>
                <w:szCs w:val="19"/>
              </w:rPr>
              <w:t xml:space="preserve">—</w:t>
            </w:r>
          </w:p>
        </w:tc>
      </w:tr>
      <w:tr>
        <w:tc>
          <w:tcPr>
            <w:tcW w:w="1081" w:type="dxa"/>
            <w:vAlign w:val="top"/>
          </w:tcPr>
          <w:p>
            <w:pPr>
              <w:pStyle w:val="Cell"/>
            </w:pPr>
            <w:r>
              <w:rPr>
                <w:sz w:val="19"/>
                <w:szCs w:val="19"/>
              </w:rPr>
              <w:t xml:space="preserve">2.1</w:t>
            </w:r>
          </w:p>
        </w:tc>
        <w:tc>
          <w:tcPr>
            <w:tcW w:w="1864" w:type="dxa"/>
            <w:vAlign w:val="top"/>
          </w:tcPr>
          <w:p>
            <w:pPr>
              <w:pStyle w:val="Cell"/>
            </w:pPr>
            <w:r>
              <w:rPr>
                <w:sz w:val="19"/>
                <w:szCs w:val="19"/>
              </w:rPr>
              <w:t xml:space="preserve">Forte</w:t>
            </w:r>
          </w:p>
        </w:tc>
        <w:tc>
          <w:tcPr>
            <w:tcW w:w="2038" w:type="dxa"/>
            <w:vAlign w:val="top"/>
          </w:tcPr>
          <w:p>
            <w:pPr>
              <w:pStyle w:val="Cell"/>
            </w:pPr>
            <w:r>
              <w:rPr>
                <w:sz w:val="19"/>
                <w:szCs w:val="19"/>
              </w:rPr>
              <w:t xml:space="preserve">W1, W3, WN, WR, SI</w:t>
            </w:r>
          </w:p>
        </w:tc>
        <w:tc>
          <w:tcPr>
            <w:tcW w:w="4087" w:type="dxa"/>
            <w:vAlign w:val="top"/>
          </w:tcPr>
          <w:p>
            <w:pPr>
              <w:pStyle w:val="Cell"/>
            </w:pPr>
            <w:r>
              <w:rPr>
                <w:sz w:val="19"/>
                <w:szCs w:val="19"/>
              </w:rPr>
              <w:t xml:space="preserve">—</w:t>
            </w:r>
          </w:p>
        </w:tc>
      </w:tr>
      <w:tr>
        <w:tc>
          <w:tcPr>
            <w:tcW w:w="1081" w:type="dxa"/>
            <w:vAlign w:val="top"/>
          </w:tcPr>
          <w:p>
            <w:pPr>
              <w:pStyle w:val="Cell"/>
            </w:pPr>
            <w:r>
              <w:rPr>
                <w:sz w:val="19"/>
                <w:szCs w:val="19"/>
              </w:rPr>
              <w:t xml:space="preserve">2.2</w:t>
            </w:r>
          </w:p>
        </w:tc>
        <w:tc>
          <w:tcPr>
            <w:tcW w:w="1864" w:type="dxa"/>
            <w:vAlign w:val="top"/>
          </w:tcPr>
          <w:p>
            <w:pPr>
              <w:pStyle w:val="Cell"/>
            </w:pPr>
            <w:r>
              <w:rPr>
                <w:sz w:val="19"/>
                <w:szCs w:val="19"/>
              </w:rPr>
              <w:t xml:space="preserve">Forte</w:t>
            </w:r>
          </w:p>
        </w:tc>
        <w:tc>
          <w:tcPr>
            <w:tcW w:w="2038" w:type="dxa"/>
            <w:vAlign w:val="top"/>
          </w:tcPr>
          <w:p>
            <w:pPr>
              <w:pStyle w:val="Cell"/>
            </w:pPr>
            <w:r>
              <w:rPr>
                <w:sz w:val="19"/>
                <w:szCs w:val="19"/>
              </w:rPr>
              <w:t xml:space="preserve">W3, WN-GT2, WR-P2</w:t>
            </w:r>
          </w:p>
        </w:tc>
        <w:tc>
          <w:tcPr>
            <w:tcW w:w="4087" w:type="dxa"/>
            <w:vAlign w:val="top"/>
          </w:tcPr>
          <w:p>
            <w:pPr>
              <w:pStyle w:val="Cell"/>
            </w:pPr>
            <w:r>
              <w:rPr>
                <w:sz w:val="19"/>
                <w:szCs w:val="19"/>
              </w:rPr>
              <w:t xml:space="preserve">—</w:t>
            </w:r>
          </w:p>
        </w:tc>
      </w:tr>
      <w:tr>
        <w:tc>
          <w:tcPr>
            <w:tcW w:w="1081" w:type="dxa"/>
            <w:vAlign w:val="top"/>
          </w:tcPr>
          <w:p>
            <w:pPr>
              <w:pStyle w:val="Cell"/>
            </w:pPr>
            <w:r>
              <w:rPr>
                <w:sz w:val="19"/>
                <w:szCs w:val="19"/>
              </w:rPr>
              <w:t xml:space="preserve">2.3</w:t>
            </w:r>
          </w:p>
        </w:tc>
        <w:tc>
          <w:tcPr>
            <w:tcW w:w="1864" w:type="dxa"/>
            <w:vAlign w:val="top"/>
          </w:tcPr>
          <w:p>
            <w:pPr>
              <w:pStyle w:val="Cell"/>
            </w:pPr>
            <w:r>
              <w:rPr>
                <w:sz w:val="19"/>
                <w:szCs w:val="19"/>
              </w:rPr>
              <w:t xml:space="preserve">Divergente na solução</w:t>
            </w:r>
          </w:p>
        </w:tc>
        <w:tc>
          <w:tcPr>
            <w:tcW w:w="2038" w:type="dxa"/>
            <w:vAlign w:val="top"/>
          </w:tcPr>
          <w:p>
            <w:pPr>
              <w:pStyle w:val="Cell"/>
            </w:pPr>
            <w:r>
              <w:rPr>
                <w:sz w:val="19"/>
                <w:szCs w:val="19"/>
              </w:rPr>
              <w:t xml:space="preserve">W3</w:t>
            </w:r>
          </w:p>
        </w:tc>
        <w:tc>
          <w:tcPr>
            <w:tcW w:w="4087" w:type="dxa"/>
            <w:vAlign w:val="top"/>
          </w:tcPr>
          <w:p>
            <w:pPr>
              <w:pStyle w:val="Cell"/>
            </w:pPr>
            <w:r>
              <w:rPr>
                <w:sz w:val="19"/>
                <w:szCs w:val="19"/>
              </w:rPr>
              <w:t xml:space="preserve">"Banimento absoluto" e "legislação complementar" não aparecem nos eventos</w:t>
            </w:r>
          </w:p>
        </w:tc>
      </w:tr>
      <w:tr>
        <w:tc>
          <w:tcPr>
            <w:tcW w:w="1081" w:type="dxa"/>
            <w:vAlign w:val="top"/>
          </w:tcPr>
          <w:p>
            <w:pPr>
              <w:pStyle w:val="Cell"/>
            </w:pPr>
            <w:r>
              <w:rPr>
                <w:sz w:val="19"/>
                <w:szCs w:val="19"/>
              </w:rPr>
              <w:t xml:space="preserve">2.4</w:t>
            </w:r>
          </w:p>
        </w:tc>
        <w:tc>
          <w:tcPr>
            <w:tcW w:w="1864" w:type="dxa"/>
            <w:vAlign w:val="top"/>
          </w:tcPr>
          <w:p>
            <w:pPr>
              <w:pStyle w:val="Cell"/>
            </w:pPr>
            <w:r>
              <w:rPr>
                <w:sz w:val="19"/>
                <w:szCs w:val="19"/>
              </w:rPr>
              <w:t xml:space="preserve">Forte</w:t>
            </w:r>
          </w:p>
        </w:tc>
        <w:tc>
          <w:tcPr>
            <w:tcW w:w="2038" w:type="dxa"/>
            <w:vAlign w:val="top"/>
          </w:tcPr>
          <w:p>
            <w:pPr>
              <w:pStyle w:val="Cell"/>
            </w:pPr>
            <w:r>
              <w:rPr>
                <w:sz w:val="19"/>
                <w:szCs w:val="19"/>
              </w:rPr>
              <w:t xml:space="preserve">W1, W3, WN</w:t>
            </w:r>
          </w:p>
        </w:tc>
        <w:tc>
          <w:tcPr>
            <w:tcW w:w="4087" w:type="dxa"/>
            <w:vAlign w:val="top"/>
          </w:tcPr>
          <w:p>
            <w:pPr>
              <w:pStyle w:val="Cell"/>
            </w:pPr>
            <w:r>
              <w:rPr>
                <w:sz w:val="19"/>
                <w:szCs w:val="19"/>
              </w:rPr>
              <w:t xml:space="preserve">Números do CNFP são documentais</w:t>
            </w:r>
          </w:p>
        </w:tc>
      </w:tr>
      <w:tr>
        <w:tc>
          <w:tcPr>
            <w:tcW w:w="1081" w:type="dxa"/>
            <w:vAlign w:val="top"/>
          </w:tcPr>
          <w:p>
            <w:pPr>
              <w:pStyle w:val="Cell"/>
            </w:pPr>
            <w:r>
              <w:rPr>
                <w:sz w:val="19"/>
                <w:szCs w:val="19"/>
              </w:rPr>
              <w:t xml:space="preserve">2.5</w:t>
            </w:r>
          </w:p>
        </w:tc>
        <w:tc>
          <w:tcPr>
            <w:tcW w:w="1864" w:type="dxa"/>
            <w:vAlign w:val="top"/>
          </w:tcPr>
          <w:p>
            <w:pPr>
              <w:pStyle w:val="Cell"/>
            </w:pPr>
            <w:r>
              <w:rPr>
                <w:sz w:val="19"/>
                <w:szCs w:val="19"/>
              </w:rPr>
              <w:t xml:space="preserve">Forte</w:t>
            </w:r>
          </w:p>
        </w:tc>
        <w:tc>
          <w:tcPr>
            <w:tcW w:w="2038" w:type="dxa"/>
            <w:vAlign w:val="top"/>
          </w:tcPr>
          <w:p>
            <w:pPr>
              <w:pStyle w:val="Cell"/>
            </w:pPr>
            <w:r>
              <w:rPr>
                <w:sz w:val="19"/>
                <w:szCs w:val="19"/>
              </w:rPr>
              <w:t xml:space="preserve">W2, WR-P4</w:t>
            </w:r>
          </w:p>
        </w:tc>
        <w:tc>
          <w:tcPr>
            <w:tcW w:w="4087" w:type="dxa"/>
            <w:vAlign w:val="top"/>
          </w:tcPr>
          <w:p>
            <w:pPr>
              <w:pStyle w:val="Cell"/>
            </w:pPr>
            <w:r>
              <w:rPr>
                <w:sz w:val="19"/>
                <w:szCs w:val="19"/>
              </w:rPr>
              <w:t xml:space="preserve">—</w:t>
            </w:r>
          </w:p>
        </w:tc>
      </w:tr>
      <w:tr>
        <w:tc>
          <w:tcPr>
            <w:tcW w:w="1081" w:type="dxa"/>
            <w:vAlign w:val="top"/>
          </w:tcPr>
          <w:p>
            <w:pPr>
              <w:pStyle w:val="Cell"/>
            </w:pPr>
            <w:r>
              <w:rPr>
                <w:sz w:val="19"/>
                <w:szCs w:val="19"/>
              </w:rPr>
              <w:t xml:space="preserve">2.6</w:t>
            </w:r>
          </w:p>
        </w:tc>
        <w:tc>
          <w:tcPr>
            <w:tcW w:w="1864" w:type="dxa"/>
            <w:vAlign w:val="top"/>
          </w:tcPr>
          <w:p>
            <w:pPr>
              <w:pStyle w:val="Cell"/>
            </w:pPr>
            <w:r>
              <w:rPr>
                <w:sz w:val="19"/>
                <w:szCs w:val="19"/>
              </w:rPr>
              <w:t xml:space="preserve">Forte</w:t>
            </w:r>
          </w:p>
        </w:tc>
        <w:tc>
          <w:tcPr>
            <w:tcW w:w="2038" w:type="dxa"/>
            <w:vAlign w:val="top"/>
          </w:tcPr>
          <w:p>
            <w:pPr>
              <w:pStyle w:val="Cell"/>
            </w:pPr>
            <w:r>
              <w:rPr>
                <w:sz w:val="19"/>
                <w:szCs w:val="19"/>
              </w:rPr>
              <w:t xml:space="preserve">WN-GT2, WR-P2</w:t>
            </w:r>
          </w:p>
        </w:tc>
        <w:tc>
          <w:tcPr>
            <w:tcW w:w="4087" w:type="dxa"/>
            <w:vAlign w:val="top"/>
          </w:tcPr>
          <w:p>
            <w:pPr>
              <w:pStyle w:val="Cell"/>
            </w:pPr>
            <w:r>
              <w:rPr>
                <w:sz w:val="19"/>
                <w:szCs w:val="19"/>
              </w:rPr>
              <w:t xml:space="preserve">Atribuição dos 13 mil litros errada</w:t>
            </w:r>
          </w:p>
        </w:tc>
      </w:tr>
      <w:tr>
        <w:tc>
          <w:tcPr>
            <w:tcW w:w="1081" w:type="dxa"/>
            <w:vAlign w:val="top"/>
          </w:tcPr>
          <w:p>
            <w:pPr>
              <w:pStyle w:val="Cell"/>
            </w:pPr>
            <w:r>
              <w:rPr>
                <w:sz w:val="19"/>
                <w:szCs w:val="19"/>
              </w:rPr>
              <w:t xml:space="preserve">2.7</w:t>
            </w:r>
          </w:p>
        </w:tc>
        <w:tc>
          <w:tcPr>
            <w:tcW w:w="1864" w:type="dxa"/>
            <w:vAlign w:val="top"/>
          </w:tcPr>
          <w:p>
            <w:pPr>
              <w:pStyle w:val="Cell"/>
            </w:pPr>
            <w:r>
              <w:rPr>
                <w:sz w:val="19"/>
                <w:szCs w:val="19"/>
              </w:rPr>
              <w:t xml:space="preserve">Sem conexão</w:t>
            </w:r>
          </w:p>
        </w:tc>
        <w:tc>
          <w:tcPr>
            <w:tcW w:w="2038" w:type="dxa"/>
            <w:vAlign w:val="top"/>
          </w:tcPr>
          <w:p>
            <w:pPr>
              <w:pStyle w:val="Cell"/>
            </w:pPr>
            <w:r>
              <w:rPr>
                <w:sz w:val="19"/>
                <w:szCs w:val="19"/>
              </w:rPr>
              <w:t xml:space="preserve">—</w:t>
            </w:r>
          </w:p>
        </w:tc>
        <w:tc>
          <w:tcPr>
            <w:tcW w:w="4087" w:type="dxa"/>
            <w:vAlign w:val="top"/>
          </w:tcPr>
          <w:p>
            <w:pPr>
              <w:pStyle w:val="Cell"/>
            </w:pPr>
            <w:r>
              <w:rPr>
                <w:sz w:val="19"/>
                <w:szCs w:val="19"/>
              </w:rPr>
              <w:t xml:space="preserve">Nenhuma fala trata de fragmentação de fundos de bioeconomia</w:t>
            </w:r>
          </w:p>
        </w:tc>
      </w:tr>
      <w:tr>
        <w:tc>
          <w:tcPr>
            <w:tcW w:w="1081" w:type="dxa"/>
            <w:vAlign w:val="top"/>
          </w:tcPr>
          <w:p>
            <w:pPr>
              <w:pStyle w:val="Cell"/>
            </w:pPr>
            <w:r>
              <w:rPr>
                <w:sz w:val="19"/>
                <w:szCs w:val="19"/>
              </w:rPr>
              <w:t xml:space="preserve">2.8</w:t>
            </w:r>
          </w:p>
        </w:tc>
        <w:tc>
          <w:tcPr>
            <w:tcW w:w="1864" w:type="dxa"/>
            <w:vAlign w:val="top"/>
          </w:tcPr>
          <w:p>
            <w:pPr>
              <w:pStyle w:val="Cell"/>
            </w:pPr>
            <w:r>
              <w:rPr>
                <w:sz w:val="19"/>
                <w:szCs w:val="19"/>
              </w:rPr>
              <w:t xml:space="preserve">Fraca</w:t>
            </w:r>
          </w:p>
        </w:tc>
        <w:tc>
          <w:tcPr>
            <w:tcW w:w="2038" w:type="dxa"/>
            <w:vAlign w:val="top"/>
          </w:tcPr>
          <w:p>
            <w:pPr>
              <w:pStyle w:val="Cell"/>
            </w:pPr>
            <w:r>
              <w:rPr>
                <w:sz w:val="19"/>
                <w:szCs w:val="19"/>
              </w:rPr>
              <w:t xml:space="preserve">WR-P4</w:t>
            </w:r>
          </w:p>
        </w:tc>
        <w:tc>
          <w:tcPr>
            <w:tcW w:w="4087" w:type="dxa"/>
            <w:vAlign w:val="top"/>
          </w:tcPr>
          <w:p>
            <w:pPr>
              <w:pStyle w:val="Cell"/>
            </w:pPr>
            <w:r>
              <w:rPr>
                <w:sz w:val="19"/>
                <w:szCs w:val="19"/>
              </w:rPr>
              <w:t xml:space="preserve">O diagnóstico tem apoio parcial; a recomendação, nenhum</w:t>
            </w:r>
          </w:p>
        </w:tc>
      </w:tr>
      <w:tr>
        <w:tc>
          <w:tcPr>
            <w:tcW w:w="1081" w:type="dxa"/>
            <w:vAlign w:val="top"/>
          </w:tcPr>
          <w:p>
            <w:pPr>
              <w:pStyle w:val="Cell"/>
            </w:pPr>
            <w:r>
              <w:rPr>
                <w:sz w:val="19"/>
                <w:szCs w:val="19"/>
              </w:rPr>
              <w:t xml:space="preserve">2.9</w:t>
            </w:r>
          </w:p>
        </w:tc>
        <w:tc>
          <w:tcPr>
            <w:tcW w:w="1864" w:type="dxa"/>
            <w:vAlign w:val="top"/>
          </w:tcPr>
          <w:p>
            <w:pPr>
              <w:pStyle w:val="Cell"/>
            </w:pPr>
            <w:r>
              <w:rPr>
                <w:sz w:val="19"/>
                <w:szCs w:val="19"/>
              </w:rPr>
              <w:t xml:space="preserve">Divergente na premissa</w:t>
            </w:r>
          </w:p>
        </w:tc>
        <w:tc>
          <w:tcPr>
            <w:tcW w:w="2038" w:type="dxa"/>
            <w:vAlign w:val="top"/>
          </w:tcPr>
          <w:p>
            <w:pPr>
              <w:pStyle w:val="Cell"/>
            </w:pPr>
            <w:r>
              <w:rPr>
                <w:sz w:val="19"/>
                <w:szCs w:val="19"/>
              </w:rPr>
              <w:t xml:space="preserve">WR-P4</w:t>
            </w:r>
          </w:p>
        </w:tc>
        <w:tc>
          <w:tcPr>
            <w:tcW w:w="4087" w:type="dxa"/>
            <w:vAlign w:val="top"/>
          </w:tcPr>
          <w:p>
            <w:pPr>
              <w:pStyle w:val="Cell"/>
            </w:pPr>
            <w:r>
              <w:rPr>
                <w:sz w:val="19"/>
                <w:szCs w:val="19"/>
              </w:rPr>
              <w:t xml:space="preserve">Ver IV.2</w:t>
            </w:r>
          </w:p>
        </w:tc>
      </w:tr>
      <w:tr>
        <w:tc>
          <w:tcPr>
            <w:tcW w:w="1081" w:type="dxa"/>
            <w:vAlign w:val="top"/>
          </w:tcPr>
          <w:p>
            <w:pPr>
              <w:pStyle w:val="Cell"/>
            </w:pPr>
            <w:r>
              <w:rPr>
                <w:sz w:val="19"/>
                <w:szCs w:val="19"/>
              </w:rPr>
              <w:t xml:space="preserve">2.10</w:t>
            </w:r>
          </w:p>
        </w:tc>
        <w:tc>
          <w:tcPr>
            <w:tcW w:w="1864" w:type="dxa"/>
            <w:vAlign w:val="top"/>
          </w:tcPr>
          <w:p>
            <w:pPr>
              <w:pStyle w:val="Cell"/>
            </w:pPr>
            <w:r>
              <w:rPr>
                <w:sz w:val="19"/>
                <w:szCs w:val="19"/>
              </w:rPr>
              <w:t xml:space="preserve">Moderada</w:t>
            </w:r>
          </w:p>
        </w:tc>
        <w:tc>
          <w:tcPr>
            <w:tcW w:w="2038" w:type="dxa"/>
            <w:vAlign w:val="top"/>
          </w:tcPr>
          <w:p>
            <w:pPr>
              <w:pStyle w:val="Cell"/>
            </w:pPr>
            <w:r>
              <w:rPr>
                <w:sz w:val="19"/>
                <w:szCs w:val="19"/>
              </w:rPr>
              <w:t xml:space="preserve">SI, WN-GT3, WR-P4</w:t>
            </w:r>
          </w:p>
        </w:tc>
        <w:tc>
          <w:tcPr>
            <w:tcW w:w="4087" w:type="dxa"/>
            <w:vAlign w:val="top"/>
          </w:tcPr>
          <w:p>
            <w:pPr>
              <w:pStyle w:val="Cell"/>
            </w:pPr>
            <w:r>
              <w:rPr>
                <w:sz w:val="19"/>
                <w:szCs w:val="19"/>
              </w:rPr>
              <w:t xml:space="preserve">—</w:t>
            </w:r>
          </w:p>
        </w:tc>
      </w:tr>
      <w:tr>
        <w:tc>
          <w:tcPr>
            <w:tcW w:w="1081" w:type="dxa"/>
            <w:vAlign w:val="top"/>
          </w:tcPr>
          <w:p>
            <w:pPr>
              <w:pStyle w:val="Cell"/>
            </w:pPr>
            <w:r>
              <w:rPr>
                <w:sz w:val="19"/>
                <w:szCs w:val="19"/>
              </w:rPr>
              <w:t xml:space="preserve">2.11</w:t>
            </w:r>
          </w:p>
        </w:tc>
        <w:tc>
          <w:tcPr>
            <w:tcW w:w="1864" w:type="dxa"/>
            <w:vAlign w:val="top"/>
          </w:tcPr>
          <w:p>
            <w:pPr>
              <w:pStyle w:val="Cell"/>
            </w:pPr>
            <w:r>
              <w:rPr>
                <w:sz w:val="19"/>
                <w:szCs w:val="19"/>
              </w:rPr>
              <w:t xml:space="preserve">Sem conexão</w:t>
            </w:r>
          </w:p>
        </w:tc>
        <w:tc>
          <w:tcPr>
            <w:tcW w:w="2038" w:type="dxa"/>
            <w:vAlign w:val="top"/>
          </w:tcPr>
          <w:p>
            <w:pPr>
              <w:pStyle w:val="Cell"/>
            </w:pPr>
            <w:r>
              <w:rPr>
                <w:sz w:val="19"/>
                <w:szCs w:val="19"/>
              </w:rPr>
              <w:t xml:space="preserve">—</w:t>
            </w:r>
          </w:p>
        </w:tc>
        <w:tc>
          <w:tcPr>
            <w:tcW w:w="4087" w:type="dxa"/>
            <w:vAlign w:val="top"/>
          </w:tcPr>
          <w:p>
            <w:pPr>
              <w:pStyle w:val="Cell"/>
            </w:pPr>
            <w:r>
              <w:rPr>
                <w:sz w:val="19"/>
                <w:szCs w:val="19"/>
              </w:rPr>
              <w:t xml:space="preserve">Nenhuma fala propõe acordo multilateral de bioeconomia</w:t>
            </w:r>
          </w:p>
        </w:tc>
      </w:tr>
      <w:tr>
        <w:tc>
          <w:tcPr>
            <w:tcW w:w="1081" w:type="dxa"/>
            <w:vAlign w:val="top"/>
          </w:tcPr>
          <w:p>
            <w:pPr>
              <w:pStyle w:val="Cell"/>
            </w:pPr>
            <w:r>
              <w:rPr>
                <w:sz w:val="19"/>
                <w:szCs w:val="19"/>
              </w:rPr>
              <w:t xml:space="preserve">2.12</w:t>
            </w:r>
          </w:p>
        </w:tc>
        <w:tc>
          <w:tcPr>
            <w:tcW w:w="1864" w:type="dxa"/>
            <w:vAlign w:val="top"/>
          </w:tcPr>
          <w:p>
            <w:pPr>
              <w:pStyle w:val="Cell"/>
            </w:pPr>
            <w:r>
              <w:rPr>
                <w:sz w:val="19"/>
                <w:szCs w:val="19"/>
              </w:rPr>
              <w:t xml:space="preserve">Moderada</w:t>
            </w:r>
          </w:p>
        </w:tc>
        <w:tc>
          <w:tcPr>
            <w:tcW w:w="2038" w:type="dxa"/>
            <w:vAlign w:val="top"/>
          </w:tcPr>
          <w:p>
            <w:pPr>
              <w:pStyle w:val="Cell"/>
            </w:pPr>
            <w:r>
              <w:rPr>
                <w:sz w:val="19"/>
                <w:szCs w:val="19"/>
              </w:rPr>
              <w:t xml:space="preserve">SI, VL</w:t>
            </w:r>
          </w:p>
        </w:tc>
        <w:tc>
          <w:tcPr>
            <w:tcW w:w="4087" w:type="dxa"/>
            <w:vAlign w:val="top"/>
          </w:tcPr>
          <w:p>
            <w:pPr>
              <w:pStyle w:val="Cell"/>
            </w:pPr>
            <w:r>
              <w:rPr>
                <w:sz w:val="19"/>
                <w:szCs w:val="19"/>
              </w:rPr>
              <w:t xml:space="preserve">—</w:t>
            </w:r>
          </w:p>
        </w:tc>
      </w:tr>
      <w:tr>
        <w:tc>
          <w:tcPr>
            <w:tcW w:w="1081" w:type="dxa"/>
            <w:vAlign w:val="top"/>
          </w:tcPr>
          <w:p>
            <w:pPr>
              <w:pStyle w:val="Cell"/>
            </w:pPr>
            <w:r>
              <w:rPr>
                <w:sz w:val="19"/>
                <w:szCs w:val="19"/>
              </w:rPr>
              <w:t xml:space="preserve">3.1</w:t>
            </w:r>
          </w:p>
        </w:tc>
        <w:tc>
          <w:tcPr>
            <w:tcW w:w="1864" w:type="dxa"/>
            <w:vAlign w:val="top"/>
          </w:tcPr>
          <w:p>
            <w:pPr>
              <w:pStyle w:val="Cell"/>
            </w:pPr>
            <w:r>
              <w:rPr>
                <w:sz w:val="19"/>
                <w:szCs w:val="19"/>
              </w:rPr>
              <w:t xml:space="preserve">Forte</w:t>
            </w:r>
          </w:p>
        </w:tc>
        <w:tc>
          <w:tcPr>
            <w:tcW w:w="2038" w:type="dxa"/>
            <w:vAlign w:val="top"/>
          </w:tcPr>
          <w:p>
            <w:pPr>
              <w:pStyle w:val="Cell"/>
            </w:pPr>
            <w:r>
              <w:rPr>
                <w:sz w:val="19"/>
                <w:szCs w:val="19"/>
              </w:rPr>
              <w:t xml:space="preserve">WN-GT1, VL</w:t>
            </w:r>
          </w:p>
        </w:tc>
        <w:tc>
          <w:tcPr>
            <w:tcW w:w="4087" w:type="dxa"/>
            <w:vAlign w:val="top"/>
          </w:tcPr>
          <w:p>
            <w:pPr>
              <w:pStyle w:val="Cell"/>
            </w:pPr>
            <w:r>
              <w:rPr>
                <w:sz w:val="19"/>
                <w:szCs w:val="19"/>
              </w:rPr>
              <w:t xml:space="preserve">—</w:t>
            </w:r>
          </w:p>
        </w:tc>
      </w:tr>
      <w:tr>
        <w:tc>
          <w:tcPr>
            <w:tcW w:w="1081" w:type="dxa"/>
            <w:vAlign w:val="top"/>
          </w:tcPr>
          <w:p>
            <w:pPr>
              <w:pStyle w:val="Cell"/>
            </w:pPr>
            <w:r>
              <w:rPr>
                <w:sz w:val="19"/>
                <w:szCs w:val="19"/>
              </w:rPr>
              <w:t xml:space="preserve">3.2</w:t>
            </w:r>
          </w:p>
        </w:tc>
        <w:tc>
          <w:tcPr>
            <w:tcW w:w="1864" w:type="dxa"/>
            <w:vAlign w:val="top"/>
          </w:tcPr>
          <w:p>
            <w:pPr>
              <w:pStyle w:val="Cell"/>
            </w:pPr>
            <w:r>
              <w:rPr>
                <w:sz w:val="19"/>
                <w:szCs w:val="19"/>
              </w:rPr>
              <w:t xml:space="preserve">Forte</w:t>
            </w:r>
          </w:p>
        </w:tc>
        <w:tc>
          <w:tcPr>
            <w:tcW w:w="2038" w:type="dxa"/>
            <w:vAlign w:val="top"/>
          </w:tcPr>
          <w:p>
            <w:pPr>
              <w:pStyle w:val="Cell"/>
            </w:pPr>
            <w:r>
              <w:rPr>
                <w:sz w:val="19"/>
                <w:szCs w:val="19"/>
              </w:rPr>
              <w:t xml:space="preserve">W3, WN</w:t>
            </w:r>
          </w:p>
        </w:tc>
        <w:tc>
          <w:tcPr>
            <w:tcW w:w="4087" w:type="dxa"/>
            <w:vAlign w:val="top"/>
          </w:tcPr>
          <w:p>
            <w:pPr>
              <w:pStyle w:val="Cell"/>
            </w:pPr>
            <w:r>
              <w:rPr>
                <w:sz w:val="19"/>
                <w:szCs w:val="19"/>
              </w:rPr>
              <w:t xml:space="preserve">Dado dos 44% lido ao contrário</w:t>
            </w:r>
          </w:p>
        </w:tc>
      </w:tr>
      <w:tr>
        <w:tc>
          <w:tcPr>
            <w:tcW w:w="1081" w:type="dxa"/>
            <w:vAlign w:val="top"/>
          </w:tcPr>
          <w:p>
            <w:pPr>
              <w:pStyle w:val="Cell"/>
            </w:pPr>
            <w:r>
              <w:rPr>
                <w:sz w:val="19"/>
                <w:szCs w:val="19"/>
              </w:rPr>
              <w:t xml:space="preserve">3.3</w:t>
            </w:r>
          </w:p>
        </w:tc>
        <w:tc>
          <w:tcPr>
            <w:tcW w:w="1864" w:type="dxa"/>
            <w:vAlign w:val="top"/>
          </w:tcPr>
          <w:p>
            <w:pPr>
              <w:pStyle w:val="Cell"/>
            </w:pPr>
            <w:r>
              <w:rPr>
                <w:sz w:val="19"/>
                <w:szCs w:val="19"/>
              </w:rPr>
              <w:t xml:space="preserve">Forte</w:t>
            </w:r>
          </w:p>
        </w:tc>
        <w:tc>
          <w:tcPr>
            <w:tcW w:w="2038" w:type="dxa"/>
            <w:vAlign w:val="top"/>
          </w:tcPr>
          <w:p>
            <w:pPr>
              <w:pStyle w:val="Cell"/>
            </w:pPr>
            <w:r>
              <w:rPr>
                <w:sz w:val="19"/>
                <w:szCs w:val="19"/>
              </w:rPr>
              <w:t xml:space="preserve">W1, W3, WN</w:t>
            </w:r>
          </w:p>
        </w:tc>
        <w:tc>
          <w:tcPr>
            <w:tcW w:w="4087" w:type="dxa"/>
            <w:vAlign w:val="top"/>
          </w:tcPr>
          <w:p>
            <w:pPr>
              <w:pStyle w:val="Cell"/>
            </w:pPr>
            <w:r>
              <w:rPr>
                <w:sz w:val="19"/>
                <w:szCs w:val="19"/>
              </w:rPr>
              <w:t xml:space="preserve">—</w:t>
            </w:r>
          </w:p>
        </w:tc>
      </w:tr>
      <w:tr>
        <w:tc>
          <w:tcPr>
            <w:tcW w:w="1081" w:type="dxa"/>
            <w:vAlign w:val="top"/>
          </w:tcPr>
          <w:p>
            <w:pPr>
              <w:pStyle w:val="Cell"/>
            </w:pPr>
            <w:r>
              <w:rPr>
                <w:sz w:val="19"/>
                <w:szCs w:val="19"/>
              </w:rPr>
              <w:t xml:space="preserve">3.4</w:t>
            </w:r>
          </w:p>
        </w:tc>
        <w:tc>
          <w:tcPr>
            <w:tcW w:w="1864" w:type="dxa"/>
            <w:vAlign w:val="top"/>
          </w:tcPr>
          <w:p>
            <w:pPr>
              <w:pStyle w:val="Cell"/>
            </w:pPr>
            <w:r>
              <w:rPr>
                <w:sz w:val="19"/>
                <w:szCs w:val="19"/>
              </w:rPr>
              <w:t xml:space="preserve">Fraca</w:t>
            </w:r>
          </w:p>
        </w:tc>
        <w:tc>
          <w:tcPr>
            <w:tcW w:w="2038" w:type="dxa"/>
            <w:vAlign w:val="top"/>
          </w:tcPr>
          <w:p>
            <w:pPr>
              <w:pStyle w:val="Cell"/>
            </w:pPr>
            <w:r>
              <w:rPr>
                <w:sz w:val="19"/>
                <w:szCs w:val="19"/>
              </w:rPr>
              <w:t xml:space="preserve">W2 [36:00]</w:t>
            </w:r>
          </w:p>
        </w:tc>
        <w:tc>
          <w:tcPr>
            <w:tcW w:w="4087" w:type="dxa"/>
            <w:vAlign w:val="top"/>
          </w:tcPr>
          <w:p>
            <w:pPr>
              <w:pStyle w:val="Cell"/>
            </w:pPr>
            <w:r>
              <w:rPr>
                <w:sz w:val="19"/>
                <w:szCs w:val="19"/>
              </w:rPr>
              <w:t xml:space="preserve">Menção única</w:t>
            </w:r>
          </w:p>
        </w:tc>
      </w:tr>
      <w:tr>
        <w:tc>
          <w:tcPr>
            <w:tcW w:w="1081" w:type="dxa"/>
            <w:vAlign w:val="top"/>
          </w:tcPr>
          <w:p>
            <w:pPr>
              <w:pStyle w:val="Cell"/>
            </w:pPr>
            <w:r>
              <w:rPr>
                <w:sz w:val="19"/>
                <w:szCs w:val="19"/>
              </w:rPr>
              <w:t xml:space="preserve">3.5</w:t>
            </w:r>
          </w:p>
        </w:tc>
        <w:tc>
          <w:tcPr>
            <w:tcW w:w="1864" w:type="dxa"/>
            <w:vAlign w:val="top"/>
          </w:tcPr>
          <w:p>
            <w:pPr>
              <w:pStyle w:val="Cell"/>
            </w:pPr>
            <w:r>
              <w:rPr>
                <w:sz w:val="19"/>
                <w:szCs w:val="19"/>
              </w:rPr>
              <w:t xml:space="preserve">Forte</w:t>
            </w:r>
          </w:p>
        </w:tc>
        <w:tc>
          <w:tcPr>
            <w:tcW w:w="2038" w:type="dxa"/>
            <w:vAlign w:val="top"/>
          </w:tcPr>
          <w:p>
            <w:pPr>
              <w:pStyle w:val="Cell"/>
            </w:pPr>
            <w:r>
              <w:rPr>
                <w:sz w:val="19"/>
                <w:szCs w:val="19"/>
              </w:rPr>
              <w:t xml:space="preserve">WN-GT3, VL, WR-P4</w:t>
            </w:r>
          </w:p>
        </w:tc>
        <w:tc>
          <w:tcPr>
            <w:tcW w:w="4087" w:type="dxa"/>
            <w:vAlign w:val="top"/>
          </w:tcPr>
          <w:p>
            <w:pPr>
              <w:pStyle w:val="Cell"/>
            </w:pPr>
            <w:r>
              <w:rPr>
                <w:sz w:val="19"/>
                <w:szCs w:val="19"/>
              </w:rPr>
              <w:t xml:space="preserve">—</w:t>
            </w:r>
          </w:p>
        </w:tc>
      </w:tr>
      <w:tr>
        <w:tc>
          <w:tcPr>
            <w:tcW w:w="1081" w:type="dxa"/>
            <w:vAlign w:val="top"/>
          </w:tcPr>
          <w:p>
            <w:pPr>
              <w:pStyle w:val="Cell"/>
            </w:pPr>
            <w:r>
              <w:rPr>
                <w:sz w:val="19"/>
                <w:szCs w:val="19"/>
              </w:rPr>
              <w:t xml:space="preserve">3.6</w:t>
            </w:r>
          </w:p>
        </w:tc>
        <w:tc>
          <w:tcPr>
            <w:tcW w:w="1864" w:type="dxa"/>
            <w:vAlign w:val="top"/>
          </w:tcPr>
          <w:p>
            <w:pPr>
              <w:pStyle w:val="Cell"/>
            </w:pPr>
            <w:r>
              <w:rPr>
                <w:sz w:val="19"/>
                <w:szCs w:val="19"/>
              </w:rPr>
              <w:t xml:space="preserve">Forte</w:t>
            </w:r>
          </w:p>
        </w:tc>
        <w:tc>
          <w:tcPr>
            <w:tcW w:w="2038" w:type="dxa"/>
            <w:vAlign w:val="top"/>
          </w:tcPr>
          <w:p>
            <w:pPr>
              <w:pStyle w:val="Cell"/>
            </w:pPr>
            <w:r>
              <w:rPr>
                <w:sz w:val="19"/>
                <w:szCs w:val="19"/>
              </w:rPr>
              <w:t xml:space="preserve">WR-P2</w:t>
            </w:r>
          </w:p>
        </w:tc>
        <w:tc>
          <w:tcPr>
            <w:tcW w:w="4087" w:type="dxa"/>
            <w:vAlign w:val="top"/>
          </w:tcPr>
          <w:p>
            <w:pPr>
              <w:pStyle w:val="Cell"/>
            </w:pPr>
            <w:r>
              <w:rPr>
                <w:sz w:val="19"/>
                <w:szCs w:val="19"/>
              </w:rPr>
              <w:t xml:space="preserve">—</w:t>
            </w:r>
          </w:p>
        </w:tc>
      </w:tr>
      <w:tr>
        <w:tc>
          <w:tcPr>
            <w:tcW w:w="1081" w:type="dxa"/>
            <w:vAlign w:val="top"/>
          </w:tcPr>
          <w:p>
            <w:pPr>
              <w:pStyle w:val="Cell"/>
            </w:pPr>
            <w:r>
              <w:rPr>
                <w:sz w:val="19"/>
                <w:szCs w:val="19"/>
              </w:rPr>
              <w:t xml:space="preserve">3.7</w:t>
            </w:r>
          </w:p>
        </w:tc>
        <w:tc>
          <w:tcPr>
            <w:tcW w:w="1864" w:type="dxa"/>
            <w:vAlign w:val="top"/>
          </w:tcPr>
          <w:p>
            <w:pPr>
              <w:pStyle w:val="Cell"/>
            </w:pPr>
            <w:r>
              <w:rPr>
                <w:sz w:val="19"/>
                <w:szCs w:val="19"/>
              </w:rPr>
              <w:t xml:space="preserve">Forte, mas genérica</w:t>
            </w:r>
          </w:p>
        </w:tc>
        <w:tc>
          <w:tcPr>
            <w:tcW w:w="2038" w:type="dxa"/>
            <w:vAlign w:val="top"/>
          </w:tcPr>
          <w:p>
            <w:pPr>
              <w:pStyle w:val="Cell"/>
            </w:pPr>
            <w:r>
              <w:rPr>
                <w:sz w:val="19"/>
                <w:szCs w:val="19"/>
              </w:rPr>
              <w:t xml:space="preserve">WN-GT4</w:t>
            </w:r>
          </w:p>
        </w:tc>
        <w:tc>
          <w:tcPr>
            <w:tcW w:w="4087" w:type="dxa"/>
            <w:vAlign w:val="top"/>
          </w:tcPr>
          <w:p>
            <w:pPr>
              <w:pStyle w:val="Cell"/>
            </w:pPr>
            <w:r>
              <w:rPr>
                <w:sz w:val="19"/>
                <w:szCs w:val="19"/>
              </w:rPr>
              <w:t xml:space="preserve">Repete outros pares; ver III.3</w:t>
            </w:r>
          </w:p>
        </w:tc>
      </w:tr>
      <w:tr>
        <w:tc>
          <w:tcPr>
            <w:tcW w:w="1081" w:type="dxa"/>
            <w:vAlign w:val="top"/>
          </w:tcPr>
          <w:p>
            <w:pPr>
              <w:pStyle w:val="Cell"/>
            </w:pPr>
            <w:r>
              <w:rPr>
                <w:sz w:val="19"/>
                <w:szCs w:val="19"/>
              </w:rPr>
              <w:t xml:space="preserve">3.8</w:t>
            </w:r>
          </w:p>
        </w:tc>
        <w:tc>
          <w:tcPr>
            <w:tcW w:w="1864" w:type="dxa"/>
            <w:vAlign w:val="top"/>
          </w:tcPr>
          <w:p>
            <w:pPr>
              <w:pStyle w:val="Cell"/>
            </w:pPr>
            <w:r>
              <w:rPr>
                <w:sz w:val="19"/>
                <w:szCs w:val="19"/>
              </w:rPr>
              <w:t xml:space="preserve">Divergente na solução</w:t>
            </w:r>
          </w:p>
        </w:tc>
        <w:tc>
          <w:tcPr>
            <w:tcW w:w="2038" w:type="dxa"/>
            <w:vAlign w:val="top"/>
          </w:tcPr>
          <w:p>
            <w:pPr>
              <w:pStyle w:val="Cell"/>
            </w:pPr>
            <w:r>
              <w:rPr>
                <w:sz w:val="19"/>
                <w:szCs w:val="19"/>
              </w:rPr>
              <w:t xml:space="preserve">WN-GT2, W2, W3</w:t>
            </w:r>
          </w:p>
        </w:tc>
        <w:tc>
          <w:tcPr>
            <w:tcW w:w="4087" w:type="dxa"/>
            <w:vAlign w:val="top"/>
          </w:tcPr>
          <w:p>
            <w:pPr>
              <w:pStyle w:val="Cell"/>
            </w:pPr>
            <w:r>
              <w:rPr>
                <w:sz w:val="19"/>
                <w:szCs w:val="19"/>
              </w:rPr>
              <w:t xml:space="preserve">Generalização e risco constitucional</w:t>
            </w:r>
          </w:p>
        </w:tc>
      </w:tr>
      <w:tr>
        <w:tc>
          <w:tcPr>
            <w:tcW w:w="1081" w:type="dxa"/>
            <w:vAlign w:val="top"/>
          </w:tcPr>
          <w:p>
            <w:pPr>
              <w:pStyle w:val="Cell"/>
            </w:pPr>
            <w:r>
              <w:rPr>
                <w:sz w:val="19"/>
                <w:szCs w:val="19"/>
              </w:rPr>
              <w:t xml:space="preserve">3.9</w:t>
            </w:r>
          </w:p>
        </w:tc>
        <w:tc>
          <w:tcPr>
            <w:tcW w:w="1864" w:type="dxa"/>
            <w:vAlign w:val="top"/>
          </w:tcPr>
          <w:p>
            <w:pPr>
              <w:pStyle w:val="Cell"/>
            </w:pPr>
            <w:r>
              <w:rPr>
                <w:sz w:val="19"/>
                <w:szCs w:val="19"/>
              </w:rPr>
              <w:t xml:space="preserve">Moderada</w:t>
            </w:r>
          </w:p>
        </w:tc>
        <w:tc>
          <w:tcPr>
            <w:tcW w:w="2038" w:type="dxa"/>
            <w:vAlign w:val="top"/>
          </w:tcPr>
          <w:p>
            <w:pPr>
              <w:pStyle w:val="Cell"/>
            </w:pPr>
            <w:r>
              <w:rPr>
                <w:sz w:val="19"/>
                <w:szCs w:val="19"/>
              </w:rPr>
              <w:t xml:space="preserve">WR-P1, W2</w:t>
            </w:r>
          </w:p>
        </w:tc>
        <w:tc>
          <w:tcPr>
            <w:tcW w:w="4087" w:type="dxa"/>
            <w:vAlign w:val="top"/>
          </w:tcPr>
          <w:p>
            <w:pPr>
              <w:pStyle w:val="Cell"/>
            </w:pPr>
            <w:r>
              <w:rPr>
                <w:sz w:val="19"/>
                <w:szCs w:val="19"/>
              </w:rPr>
              <w:t xml:space="preserve">—</w:t>
            </w:r>
          </w:p>
        </w:tc>
      </w:tr>
      <w:tr>
        <w:tc>
          <w:tcPr>
            <w:tcW w:w="1081" w:type="dxa"/>
            <w:vAlign w:val="top"/>
          </w:tcPr>
          <w:p>
            <w:pPr>
              <w:pStyle w:val="Cell"/>
            </w:pPr>
            <w:r>
              <w:rPr>
                <w:sz w:val="19"/>
                <w:szCs w:val="19"/>
              </w:rPr>
              <w:t xml:space="preserve">3.10</w:t>
            </w:r>
          </w:p>
        </w:tc>
        <w:tc>
          <w:tcPr>
            <w:tcW w:w="1864" w:type="dxa"/>
            <w:vAlign w:val="top"/>
          </w:tcPr>
          <w:p>
            <w:pPr>
              <w:pStyle w:val="Cell"/>
            </w:pPr>
            <w:r>
              <w:rPr>
                <w:sz w:val="19"/>
                <w:szCs w:val="19"/>
              </w:rPr>
              <w:t xml:space="preserve">Moderada</w:t>
            </w:r>
          </w:p>
        </w:tc>
        <w:tc>
          <w:tcPr>
            <w:tcW w:w="2038" w:type="dxa"/>
            <w:vAlign w:val="top"/>
          </w:tcPr>
          <w:p>
            <w:pPr>
              <w:pStyle w:val="Cell"/>
            </w:pPr>
            <w:r>
              <w:rPr>
                <w:sz w:val="19"/>
                <w:szCs w:val="19"/>
              </w:rPr>
              <w:t xml:space="preserve">SI, WR-P1, FM</w:t>
            </w:r>
          </w:p>
        </w:tc>
        <w:tc>
          <w:tcPr>
            <w:tcW w:w="4087" w:type="dxa"/>
            <w:vAlign w:val="top"/>
          </w:tcPr>
          <w:p>
            <w:pPr>
              <w:pStyle w:val="Cell"/>
            </w:pPr>
            <w:r>
              <w:rPr>
                <w:sz w:val="19"/>
                <w:szCs w:val="19"/>
              </w:rPr>
              <w:t xml:space="preserve">Duplica a 1.8</w:t>
            </w:r>
          </w:p>
        </w:tc>
      </w:tr>
      <w:tr>
        <w:tc>
          <w:tcPr>
            <w:tcW w:w="1081" w:type="dxa"/>
            <w:vAlign w:val="top"/>
          </w:tcPr>
          <w:p>
            <w:pPr>
              <w:pStyle w:val="Cell"/>
            </w:pPr>
            <w:r>
              <w:rPr>
                <w:sz w:val="19"/>
                <w:szCs w:val="19"/>
              </w:rPr>
              <w:t xml:space="preserve">3.11</w:t>
            </w:r>
          </w:p>
        </w:tc>
        <w:tc>
          <w:tcPr>
            <w:tcW w:w="1864" w:type="dxa"/>
            <w:vAlign w:val="top"/>
          </w:tcPr>
          <w:p>
            <w:pPr>
              <w:pStyle w:val="Cell"/>
            </w:pPr>
            <w:r>
              <w:rPr>
                <w:sz w:val="19"/>
                <w:szCs w:val="19"/>
              </w:rPr>
              <w:t xml:space="preserve">Moderada</w:t>
            </w:r>
          </w:p>
        </w:tc>
        <w:tc>
          <w:tcPr>
            <w:tcW w:w="2038" w:type="dxa"/>
            <w:vAlign w:val="top"/>
          </w:tcPr>
          <w:p>
            <w:pPr>
              <w:pStyle w:val="Cell"/>
            </w:pPr>
            <w:r>
              <w:rPr>
                <w:sz w:val="19"/>
                <w:szCs w:val="19"/>
              </w:rPr>
              <w:t xml:space="preserve">W3, FM, SI</w:t>
            </w:r>
          </w:p>
        </w:tc>
        <w:tc>
          <w:tcPr>
            <w:tcW w:w="4087" w:type="dxa"/>
            <w:vAlign w:val="top"/>
          </w:tcPr>
          <w:p>
            <w:pPr>
              <w:pStyle w:val="Cell"/>
            </w:pPr>
            <w:r>
              <w:rPr>
                <w:sz w:val="19"/>
                <w:szCs w:val="19"/>
              </w:rPr>
              <w:t xml:space="preserve">—</w:t>
            </w:r>
          </w:p>
        </w:tc>
      </w:tr>
      <w:tr>
        <w:tc>
          <w:tcPr>
            <w:tcW w:w="1081" w:type="dxa"/>
            <w:vAlign w:val="top"/>
          </w:tcPr>
          <w:p>
            <w:pPr>
              <w:pStyle w:val="Cell"/>
            </w:pPr>
            <w:r>
              <w:rPr>
                <w:sz w:val="19"/>
                <w:szCs w:val="19"/>
              </w:rPr>
              <w:t xml:space="preserve">3.12</w:t>
            </w:r>
          </w:p>
        </w:tc>
        <w:tc>
          <w:tcPr>
            <w:tcW w:w="1864" w:type="dxa"/>
            <w:vAlign w:val="top"/>
          </w:tcPr>
          <w:p>
            <w:pPr>
              <w:pStyle w:val="Cell"/>
            </w:pPr>
            <w:r>
              <w:rPr>
                <w:sz w:val="19"/>
                <w:szCs w:val="19"/>
              </w:rPr>
              <w:t xml:space="preserve">Forte</w:t>
            </w:r>
          </w:p>
        </w:tc>
        <w:tc>
          <w:tcPr>
            <w:tcW w:w="2038" w:type="dxa"/>
            <w:vAlign w:val="top"/>
          </w:tcPr>
          <w:p>
            <w:pPr>
              <w:pStyle w:val="Cell"/>
            </w:pPr>
            <w:r>
              <w:rPr>
                <w:sz w:val="19"/>
                <w:szCs w:val="19"/>
              </w:rPr>
              <w:t xml:space="preserve">WR-P2</w:t>
            </w:r>
          </w:p>
        </w:tc>
        <w:tc>
          <w:tcPr>
            <w:tcW w:w="4087" w:type="dxa"/>
            <w:vAlign w:val="top"/>
          </w:tcPr>
          <w:p>
            <w:pPr>
              <w:pStyle w:val="Cell"/>
            </w:pPr>
            <w:r>
              <w:rPr>
                <w:sz w:val="19"/>
                <w:szCs w:val="19"/>
              </w:rPr>
              <w:t xml:space="preserve">—</w:t>
            </w:r>
          </w:p>
        </w:tc>
      </w:tr>
    </w:tbl>
    <w:p>
      <w:pPr>
        <w:pStyle w:val="Tight"/>
      </w:pPr>
    </w:p>
    <w:p>
      <w:r>
        <w:rPr>
          <w:b/>
        </w:rPr>
        <w:t xml:space="preserve">Totais:</w:t>
      </w:r>
      <w:r>
        <w:t xml:space="preserve"> 19 com conexão forte, 10 moderada, 3 fraca, 3 divergente e 2 sem conexão.</w:t>
      </w:r>
    </w:p>
    <w:p>
      <w:pPr>
        <w:pStyle w:val="Heading2"/>
      </w:pPr>
      <w:r>
        <w:t xml:space="preserve">IV.2 Os casos que pedem decisão</w:t>
      </w:r>
    </w:p>
    <w:p>
      <w:r>
        <w:rPr>
          <w:b/>
        </w:rPr>
        <w:t xml:space="preserve">2.7 — Fundo Nacional de Bioeconomia (sem conexão).</w:t>
      </w:r>
    </w:p>
    <w:p>
      <w:pPr>
        <w:pStyle w:val="Bullet"/>
      </w:pPr>
      <w:r>
        <w:t xml:space="preserve">• Nenhum evento discutiu a pulverização de fundos. A única fala sobre financiamento aponta outro problema: projetos com financiamento internacional desalinhados das necessidades locais [WR-P4, moderação do CSC].</w:t>
      </w:r>
    </w:p>
    <w:p>
      <w:pPr>
        <w:pStyle w:val="Bullet"/>
      </w:pPr>
      <w:r>
        <w:t xml:space="preserve">• A recomendação cria um instrumento novo, o que contradiz a crítica que a própria Agenda faz na abertura do Eixo 1: "a cada novo desafio, o Estado responde criando um instrumento, sem integrá-lo aos já existentes".</w:t>
      </w:r>
    </w:p>
    <w:p>
      <w:pPr>
        <w:pStyle w:val="Bullet"/>
      </w:pPr>
      <w:r>
        <w:t xml:space="preserve">• Opções: suprimir, ou reformular como coordenação dos fundos existentes (Fundo Amazônia, AMDTF, fundo do GCF).</w:t>
      </w:r>
    </w:p>
    <w:p>
      <w:pPr>
        <w:pStyle w:val="Bullet"/>
      </w:pPr>
      <w:r>
        <w:t xml:space="preserve">• Minha recomendação: reformular, se houver lastro documental forte; senão, suprimir. Decidir na rodada 3.</w:t>
      </w:r>
    </w:p>
    <w:p>
      <w:r>
        <w:rPr>
          <w:b/>
        </w:rPr>
        <w:t xml:space="preserve">2.8 — Câmara Intergovernamental de Bioeconomia (fraca).</w:t>
      </w:r>
    </w:p>
    <w:p>
      <w:pPr>
        <w:pStyle w:val="Bullet"/>
      </w:pPr>
      <w:r>
        <w:t xml:space="preserve">• O diagnóstico tem apoio parcial no WR-P4: só três dos nove estados têm plano estadual de bioeconomia, e só um município manifestou interesse em plano próprio. A câmara no CONAMA ou no CNPI não aparece em nenhuma fala.</w:t>
      </w:r>
    </w:p>
    <w:p>
      <w:pPr>
        <w:pStyle w:val="Bullet"/>
      </w:pPr>
      <w:r>
        <w:t xml:space="preserve">• Opção incremental: reformular em torno dos planos estaduais, com polos regionais formalizados. O INPA propôs isso no mesmo painel, observando que a economia do Amazonas se concentra no entorno de Manaus.</w:t>
      </w:r>
    </w:p>
    <w:p>
      <w:r>
        <w:rPr>
          <w:b/>
        </w:rPr>
        <w:t xml:space="preserve">2.9 — repartição de benefícios (divergente na premissa).</w:t>
      </w:r>
    </w:p>
    <w:p>
      <w:pPr>
        <w:pStyle w:val="Bullet"/>
      </w:pPr>
      <w:r>
        <w:t xml:space="preserve">• A lacuna afirma que a Lei 13.123/2015 "não foi plenamente regulamentada quanto a percentuais mínimos" e que não há "sistema nacional de repartição".</w:t>
      </w:r>
    </w:p>
    <w:p>
      <w:pPr>
        <w:pStyle w:val="Bullet"/>
      </w:pPr>
      <w:r>
        <w:t xml:space="preserve">• Pelo que conheço da lei, o art. 20 já fixa 1% da receita líquida anual, reduzível por acordo setorial; o art. 30 cria o Fundo Nacional para a Repartição de Benefícios; e o Decreto 8.772/2016 regulamenta a lei [verificar]. Se confirmado, a premissa está errada.</w:t>
      </w:r>
    </w:p>
    <w:p>
      <w:pPr>
        <w:pStyle w:val="Bullet"/>
      </w:pPr>
      <w:r>
        <w:t xml:space="preserve">• As transcrições apontam outro problema: pesquisadores que desconhecem a lei, núcleos de inovação que a conhecem sem chegar ao laboratório, multa que não muda comportamento [WR-P4]. Apontam também a "repartição invertida" dos modelos em que a comunidade é a própria beneficiária [WR-P4].</w:t>
      </w:r>
    </w:p>
    <w:p>
      <w:pPr>
        <w:pStyle w:val="Bullet"/>
      </w:pPr>
      <w:r>
        <w:t xml:space="preserve">• Minha recomendação: reformular na rodada 2, com foco em conformidade, orientação e transparência do fundo existente.</w:t>
      </w:r>
    </w:p>
    <w:p>
      <w:r>
        <w:rPr>
          <w:b/>
        </w:rPr>
        <w:t xml:space="preserve">2.11 — Acordo Multilateral de Bioeconomia na OTCA (sem conexão).</w:t>
      </w:r>
    </w:p>
    <w:p>
      <w:pPr>
        <w:pStyle w:val="Bullet"/>
      </w:pPr>
      <w:r>
        <w:t xml:space="preserve">• Nenhuma fala o propõe. É um D3 que depende de oito países.</w:t>
      </w:r>
    </w:p>
    <w:p>
      <w:pPr>
        <w:pStyle w:val="Bullet"/>
      </w:pPr>
      <w:r>
        <w:t xml:space="preserve">• O que as transcrições oferecem no plano regional são harmonizações delimitadas (defeso do pirarucu, critérios do ouro) e a rede de ciência já existente (Rede Bioamazônia).</w:t>
      </w:r>
    </w:p>
    <w:p>
      <w:pPr>
        <w:pStyle w:val="Bullet"/>
      </w:pPr>
      <w:r>
        <w:t xml:space="preserve">• Minha recomendação: fundir com 1.8/3.10 como caso de harmonização delimitada, ou suprimir. Decidir na rodada 3.</w:t>
      </w:r>
    </w:p>
    <w:p>
      <w:r>
        <w:rPr>
          <w:b/>
        </w:rPr>
        <w:t xml:space="preserve">3.4 — Escazú (fraca).</w:t>
      </w:r>
    </w:p>
    <w:p>
      <w:pPr>
        <w:pStyle w:val="Bullet"/>
      </w:pPr>
      <w:r>
        <w:t xml:space="preserve">• Uma só menção, de Edel Moraes no W2 [36:00]. A ratificação, porém, é processo real e em curso, e a recomendação apenas apoia um trâmite existente.</w:t>
      </w:r>
    </w:p>
    <w:p>
      <w:pPr>
        <w:pStyle w:val="Bullet"/>
      </w:pPr>
      <w:r>
        <w:t xml:space="preserve">• Minha recomendação: manter, com base documental explícita, sem apresentá-la como demanda recorrente dos eventos.</w:t>
      </w:r>
    </w:p>
    <w:p>
      <w:r>
        <w:rPr>
          <w:b/>
        </w:rPr>
        <w:t xml:space="preserve">3.8 — condicionalidade fiscal (divergente na solução).</w:t>
      </w:r>
      <w:r>
        <w:t xml:space="preserve"> Ver III.2, rodada 2.</w:t>
      </w:r>
    </w:p>
    <w:p>
      <w:r>
        <w:rPr>
          <w:b/>
        </w:rPr>
        <w:t xml:space="preserve">1.9 — foro regional de defesa (fraca).</w:t>
      </w:r>
    </w:p>
    <w:p>
      <w:pPr>
        <w:pStyle w:val="Bullet"/>
      </w:pPr>
      <w:r>
        <w:t xml:space="preserve">• A lacuna foi levantada pela moderação do próprio Centro no WR-P3. As Forças responderam com ressalvas: não se vocacionar para crime ambiental em detrimento do adestramento convencional, e o custo de deslocar tropa.</w:t>
      </w:r>
    </w:p>
    <w:p>
      <w:pPr>
        <w:pStyle w:val="Bullet"/>
      </w:pPr>
      <w:r>
        <w:t xml:space="preserve">• A recomendação é moderada (reuniões periódicas), mas convém registrar a ressalva e começar pelos canais bilaterais existentes. Rodada 4.</w:t>
      </w:r>
    </w:p>
    <w:p>
      <w:r>
        <w:rPr>
          <w:b/>
        </w:rPr>
        <w:t xml:space="preserve">2.3 — mercúrio (divergente na solução).</w:t>
      </w:r>
      <w:r>
        <w:t xml:space="preserve"> Ver III.2, rodada 2.</w:t>
      </w:r>
    </w:p>
    <w:p>
      <w:pPr>
        <w:pStyle w:val="Heading2"/>
      </w:pPr>
      <w:r>
        <w:t xml:space="preserve">IV.3 Conteúdo documental e atribuições nas seções de contexto</w:t>
      </w:r>
    </w:p>
    <w:p>
      <w:r>
        <w:t xml:space="preserve">Boa parte das seções 1 a 3, das aberturas dos eixos e da Conclusão tem base documental, e isso é legítimo pelo método declarado na seção 1. Exemplos:</w:t>
      </w:r>
    </w:p>
    <w:p>
      <w:pPr>
        <w:pStyle w:val="Bullet"/>
      </w:pPr>
      <w:r>
        <w:t xml:space="preserve">• o estudo Nova Economia da Amazônia;</w:t>
      </w:r>
    </w:p>
    <w:p>
      <w:pPr>
        <w:pStyle w:val="Bullet"/>
      </w:pPr>
      <w:r>
        <w:t xml:space="preserve">• os programas da OTCA com a FAO;</w:t>
      </w:r>
    </w:p>
    <w:p>
      <w:pPr>
        <w:pStyle w:val="Bullet"/>
      </w:pPr>
      <w:r>
        <w:t xml:space="preserve">• os fundos do BID e do GCF;</w:t>
      </w:r>
    </w:p>
    <w:p>
      <w:pPr>
        <w:pStyle w:val="Bullet"/>
      </w:pPr>
      <w:r>
        <w:t xml:space="preserve">• a série do PRODES;</w:t>
      </w:r>
    </w:p>
    <w:p>
      <w:pPr>
        <w:pStyle w:val="Bullet"/>
      </w:pPr>
      <w:r>
        <w:t xml:space="preserve">• o IPCC;</w:t>
      </w:r>
    </w:p>
    <w:p>
      <w:pPr>
        <w:pStyle w:val="Bullet"/>
      </w:pPr>
      <w:r>
        <w:t xml:space="preserve">• o ponto de não retorno;</w:t>
      </w:r>
    </w:p>
    <w:p>
      <w:pPr>
        <w:pStyle w:val="Bullet"/>
      </w:pPr>
      <w:r>
        <w:t xml:space="preserve">• os 84% de queda da produção registrada de ouro.</w:t>
      </w:r>
    </w:p>
    <w:p>
      <w:r>
        <w:t xml:space="preserve">O cuidado é que o texto não atribua esse conteúdo aos eventos. As três atribuições problemáticas encontradas nessas seções estão em III.1 (§212, §342, e a Conclusão, que reproduz o dado da Ágata já tratado na reavaliação da 1.6).</w:t>
      </w:r>
    </w:p>
    <w:p>
      <w:r>
        <w:t xml:space="preserve">Há ainda uma tensão de conteúdo. A Conclusão (§486) trata os mercados de carbono só como "janela de oportunidade", enquanto as transcrições registram cautela: proprietários que não entendem os contratos [WR-P4] e "grilagem verde" para projetos de carbono [WN]. Convém equilibrar na reescrita da Conclusão, que já é prioridade.</w:t>
      </w:r>
    </w:p>
    <w:p>
      <w:pPr>
        <w:pStyle w:val="Heading1"/>
      </w:pPr>
      <w:r>
        <w:t xml:space="preserve">Parte V — Decisões para a equipe</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1889"/>
        <w:gridCol w:w="2057"/>
        <w:gridCol w:w="3139"/>
        <w:gridCol w:w="1985"/>
      </w:tblGrid>
      <w:tr>
        <w:trPr>
          <w:tblHeader/>
        </w:trPr>
        <w:tc>
          <w:tcPr>
            <w:tcW w:w="1889" w:type="dxa"/>
            <w:shd w:val="clear" w:color="auto" w:fill="F2F6FA"/>
            <w:vAlign w:val="top"/>
          </w:tcPr>
          <w:p>
            <w:pPr>
              <w:pStyle w:val="Cell"/>
            </w:pPr>
            <w:r>
              <w:rPr>
                <w:b/>
                <w:sz w:val="19"/>
                <w:szCs w:val="19"/>
              </w:rPr>
              <w:t xml:space="preserve">Decisão</w:t>
            </w:r>
          </w:p>
        </w:tc>
        <w:tc>
          <w:tcPr>
            <w:tcW w:w="2057" w:type="dxa"/>
            <w:shd w:val="clear" w:color="auto" w:fill="F2F6FA"/>
            <w:vAlign w:val="top"/>
          </w:tcPr>
          <w:p>
            <w:pPr>
              <w:pStyle w:val="Cell"/>
            </w:pPr>
            <w:r>
              <w:rPr>
                <w:b/>
                <w:sz w:val="19"/>
                <w:szCs w:val="19"/>
              </w:rPr>
              <w:t xml:space="preserve">Opções</w:t>
            </w:r>
          </w:p>
        </w:tc>
        <w:tc>
          <w:tcPr>
            <w:tcW w:w="3139" w:type="dxa"/>
            <w:shd w:val="clear" w:color="auto" w:fill="F2F6FA"/>
            <w:vAlign w:val="top"/>
          </w:tcPr>
          <w:p>
            <w:pPr>
              <w:pStyle w:val="Cell"/>
            </w:pPr>
            <w:r>
              <w:rPr>
                <w:b/>
                <w:sz w:val="19"/>
                <w:szCs w:val="19"/>
              </w:rPr>
              <w:t xml:space="preserve">Recomendação</w:t>
            </w:r>
          </w:p>
        </w:tc>
        <w:tc>
          <w:tcPr>
            <w:tcW w:w="1985" w:type="dxa"/>
            <w:shd w:val="clear" w:color="auto" w:fill="F2F6FA"/>
            <w:vAlign w:val="top"/>
          </w:tcPr>
          <w:p>
            <w:pPr>
              <w:pStyle w:val="Cell"/>
            </w:pPr>
            <w:r>
              <w:rPr>
                <w:b/>
                <w:sz w:val="19"/>
                <w:szCs w:val="19"/>
              </w:rPr>
              <w:t xml:space="preserve">Quando</w:t>
            </w:r>
          </w:p>
        </w:tc>
      </w:tr>
      <w:tr>
        <w:tc>
          <w:tcPr>
            <w:tcW w:w="1889" w:type="dxa"/>
            <w:vAlign w:val="top"/>
          </w:tcPr>
          <w:p>
            <w:pPr>
              <w:pStyle w:val="Cell"/>
            </w:pPr>
            <w:r>
              <w:rPr>
                <w:sz w:val="19"/>
                <w:szCs w:val="19"/>
              </w:rPr>
              <w:t xml:space="preserve">Correções de atribuição e de fato (III.1)</w:t>
            </w:r>
          </w:p>
        </w:tc>
        <w:tc>
          <w:tcPr>
            <w:tcW w:w="2057" w:type="dxa"/>
            <w:vAlign w:val="top"/>
          </w:tcPr>
          <w:p>
            <w:pPr>
              <w:pStyle w:val="Cell"/>
            </w:pPr>
            <w:r>
              <w:rPr>
                <w:sz w:val="19"/>
                <w:szCs w:val="19"/>
              </w:rPr>
              <w:t xml:space="preserve">Aplicar ou não</w:t>
            </w:r>
          </w:p>
        </w:tc>
        <w:tc>
          <w:tcPr>
            <w:tcW w:w="3139" w:type="dxa"/>
            <w:vAlign w:val="top"/>
          </w:tcPr>
          <w:p>
            <w:pPr>
              <w:pStyle w:val="Cell"/>
            </w:pPr>
            <w:r>
              <w:rPr>
                <w:sz w:val="19"/>
                <w:szCs w:val="19"/>
              </w:rPr>
              <w:t xml:space="preserve">Aplicar as sete</w:t>
            </w:r>
          </w:p>
        </w:tc>
        <w:tc>
          <w:tcPr>
            <w:tcW w:w="1985" w:type="dxa"/>
            <w:vAlign w:val="top"/>
          </w:tcPr>
          <w:p>
            <w:pPr>
              <w:pStyle w:val="Cell"/>
            </w:pPr>
            <w:r>
              <w:rPr>
                <w:sz w:val="19"/>
                <w:szCs w:val="19"/>
              </w:rPr>
              <w:t xml:space="preserve">Agora</w:t>
            </w:r>
          </w:p>
        </w:tc>
      </w:tr>
      <w:tr>
        <w:tc>
          <w:tcPr>
            <w:tcW w:w="1889" w:type="dxa"/>
            <w:vAlign w:val="top"/>
          </w:tcPr>
          <w:p>
            <w:pPr>
              <w:pStyle w:val="Cell"/>
            </w:pPr>
            <w:r>
              <w:rPr>
                <w:sz w:val="19"/>
                <w:szCs w:val="19"/>
              </w:rPr>
              <w:t xml:space="preserve">Pares novos (III.3)</w:t>
            </w:r>
          </w:p>
        </w:tc>
        <w:tc>
          <w:tcPr>
            <w:tcW w:w="2057" w:type="dxa"/>
            <w:vAlign w:val="top"/>
          </w:tcPr>
          <w:p>
            <w:pPr>
              <w:pStyle w:val="Cell"/>
            </w:pPr>
            <w:r>
              <w:rPr>
                <w:sz w:val="19"/>
                <w:szCs w:val="19"/>
              </w:rPr>
              <w:t xml:space="preserve">Todos, alguns ou nenhum</w:t>
            </w:r>
          </w:p>
        </w:tc>
        <w:tc>
          <w:tcPr>
            <w:tcW w:w="3139" w:type="dxa"/>
            <w:vAlign w:val="top"/>
          </w:tcPr>
          <w:p>
            <w:pPr>
              <w:pStyle w:val="Cell"/>
            </w:pPr>
            <w:r>
              <w:rPr>
                <w:sz w:val="19"/>
                <w:szCs w:val="19"/>
              </w:rPr>
              <w:t xml:space="preserve">Os quatro: 2.3 e 3.7 nas vagas já abertas; 1.14 e 2.13 ao final dos eixos</w:t>
            </w:r>
          </w:p>
        </w:tc>
        <w:tc>
          <w:tcPr>
            <w:tcW w:w="1985" w:type="dxa"/>
            <w:vAlign w:val="top"/>
          </w:tcPr>
          <w:p>
            <w:pPr>
              <w:pStyle w:val="Cell"/>
            </w:pPr>
            <w:r>
              <w:rPr>
                <w:sz w:val="19"/>
                <w:szCs w:val="19"/>
              </w:rPr>
              <w:t xml:space="preserve">Agora, antes da próxima rodada de validação</w:t>
            </w:r>
          </w:p>
        </w:tc>
      </w:tr>
      <w:tr>
        <w:tc>
          <w:tcPr>
            <w:tcW w:w="1889" w:type="dxa"/>
            <w:vAlign w:val="top"/>
          </w:tcPr>
          <w:p>
            <w:pPr>
              <w:pStyle w:val="Cell"/>
            </w:pPr>
            <w:r>
              <w:rPr>
                <w:sz w:val="19"/>
                <w:szCs w:val="19"/>
              </w:rPr>
              <w:t xml:space="preserve">Destino da 3.7</w:t>
            </w:r>
          </w:p>
        </w:tc>
        <w:tc>
          <w:tcPr>
            <w:tcW w:w="2057" w:type="dxa"/>
            <w:vAlign w:val="top"/>
          </w:tcPr>
          <w:p>
            <w:pPr>
              <w:pStyle w:val="Cell"/>
            </w:pPr>
            <w:r>
              <w:rPr>
                <w:sz w:val="19"/>
                <w:szCs w:val="19"/>
              </w:rPr>
              <w:t xml:space="preserve">Suprimir ou repropor</w:t>
            </w:r>
          </w:p>
        </w:tc>
        <w:tc>
          <w:tcPr>
            <w:tcW w:w="3139" w:type="dxa"/>
            <w:vAlign w:val="top"/>
          </w:tcPr>
          <w:p>
            <w:pPr>
              <w:pStyle w:val="Cell"/>
            </w:pPr>
            <w:r>
              <w:rPr>
                <w:sz w:val="19"/>
                <w:szCs w:val="19"/>
              </w:rPr>
              <w:t xml:space="preserve">Repropor como divisão de trabalho da fiscalização, com o "fiel depositário" levado para a 1.2</w:t>
            </w:r>
          </w:p>
        </w:tc>
        <w:tc>
          <w:tcPr>
            <w:tcW w:w="1985" w:type="dxa"/>
            <w:vAlign w:val="top"/>
          </w:tcPr>
          <w:p>
            <w:pPr>
              <w:pStyle w:val="Cell"/>
            </w:pPr>
            <w:r>
              <w:rPr>
                <w:sz w:val="19"/>
                <w:szCs w:val="19"/>
              </w:rPr>
              <w:t xml:space="preserve">Rodada 1</w:t>
            </w:r>
          </w:p>
        </w:tc>
      </w:tr>
      <w:tr>
        <w:tc>
          <w:tcPr>
            <w:tcW w:w="1889" w:type="dxa"/>
            <w:vAlign w:val="top"/>
          </w:tcPr>
          <w:p>
            <w:pPr>
              <w:pStyle w:val="Cell"/>
            </w:pPr>
            <w:r>
              <w:rPr>
                <w:sz w:val="19"/>
                <w:szCs w:val="19"/>
              </w:rPr>
              <w:t xml:space="preserve">Acréscimos à 1.6</w:t>
            </w:r>
          </w:p>
        </w:tc>
        <w:tc>
          <w:tcPr>
            <w:tcW w:w="2057" w:type="dxa"/>
            <w:vAlign w:val="top"/>
          </w:tcPr>
          <w:p>
            <w:pPr>
              <w:pStyle w:val="Cell"/>
            </w:pPr>
            <w:r>
              <w:rPr>
                <w:sz w:val="19"/>
                <w:szCs w:val="19"/>
              </w:rPr>
              <w:t xml:space="preserve">Incorporar ou não</w:t>
            </w:r>
          </w:p>
        </w:tc>
        <w:tc>
          <w:tcPr>
            <w:tcW w:w="3139" w:type="dxa"/>
            <w:vAlign w:val="top"/>
          </w:tcPr>
          <w:p>
            <w:pPr>
              <w:pStyle w:val="Cell"/>
            </w:pPr>
            <w:r>
              <w:rPr>
                <w:sz w:val="19"/>
                <w:szCs w:val="19"/>
              </w:rPr>
              <w:t xml:space="preserve">Incorporar planejamento contínuo e indicadores de resultado</w:t>
            </w:r>
          </w:p>
        </w:tc>
        <w:tc>
          <w:tcPr>
            <w:tcW w:w="1985" w:type="dxa"/>
            <w:vAlign w:val="top"/>
          </w:tcPr>
          <w:p>
            <w:pPr>
              <w:pStyle w:val="Cell"/>
            </w:pPr>
            <w:r>
              <w:rPr>
                <w:sz w:val="19"/>
                <w:szCs w:val="19"/>
              </w:rPr>
              <w:t xml:space="preserve">Junto com a decisão sobre a sugestão de 24/09</w:t>
            </w:r>
          </w:p>
        </w:tc>
      </w:tr>
      <w:tr>
        <w:tc>
          <w:tcPr>
            <w:tcW w:w="1889" w:type="dxa"/>
            <w:vAlign w:val="top"/>
          </w:tcPr>
          <w:p>
            <w:pPr>
              <w:pStyle w:val="Cell"/>
            </w:pPr>
            <w:r>
              <w:rPr>
                <w:sz w:val="19"/>
                <w:szCs w:val="19"/>
              </w:rPr>
              <w:t xml:space="preserve">Reforços nos pares da fila (III.2)</w:t>
            </w:r>
          </w:p>
        </w:tc>
        <w:tc>
          <w:tcPr>
            <w:tcW w:w="2057" w:type="dxa"/>
            <w:vAlign w:val="top"/>
          </w:tcPr>
          <w:p>
            <w:pPr>
              <w:pStyle w:val="Cell"/>
            </w:pPr>
            <w:r>
              <w:rPr>
                <w:sz w:val="19"/>
                <w:szCs w:val="19"/>
              </w:rPr>
              <w:t xml:space="preserve">Incorporar par a par</w:t>
            </w:r>
          </w:p>
        </w:tc>
        <w:tc>
          <w:tcPr>
            <w:tcW w:w="3139" w:type="dxa"/>
            <w:vAlign w:val="top"/>
          </w:tcPr>
          <w:p>
            <w:pPr>
              <w:pStyle w:val="Cell"/>
            </w:pPr>
            <w:r>
              <w:rPr>
                <w:sz w:val="19"/>
                <w:szCs w:val="19"/>
              </w:rPr>
              <w:t xml:space="preserve">Incorporar em cada rodada, com original e sugestão</w:t>
            </w:r>
          </w:p>
        </w:tc>
        <w:tc>
          <w:tcPr>
            <w:tcW w:w="1985" w:type="dxa"/>
            <w:vAlign w:val="top"/>
          </w:tcPr>
          <w:p>
            <w:pPr>
              <w:pStyle w:val="Cell"/>
            </w:pPr>
            <w:r>
              <w:rPr>
                <w:sz w:val="19"/>
                <w:szCs w:val="19"/>
              </w:rPr>
              <w:t xml:space="preserve">Rodadas 1 a 4</w:t>
            </w:r>
          </w:p>
        </w:tc>
      </w:tr>
      <w:tr>
        <w:tc>
          <w:tcPr>
            <w:tcW w:w="1889" w:type="dxa"/>
            <w:vAlign w:val="top"/>
          </w:tcPr>
          <w:p>
            <w:pPr>
              <w:pStyle w:val="Cell"/>
            </w:pPr>
            <w:r>
              <w:rPr>
                <w:sz w:val="19"/>
                <w:szCs w:val="19"/>
              </w:rPr>
              <w:t xml:space="preserve">Pares sem conexão ou divergentes</w:t>
            </w:r>
          </w:p>
        </w:tc>
        <w:tc>
          <w:tcPr>
            <w:tcW w:w="2057" w:type="dxa"/>
            <w:vAlign w:val="top"/>
          </w:tcPr>
          <w:p>
            <w:pPr>
              <w:pStyle w:val="Cell"/>
            </w:pPr>
            <w:r>
              <w:rPr>
                <w:sz w:val="19"/>
                <w:szCs w:val="19"/>
              </w:rPr>
              <w:t xml:space="preserve">Cortar, reformular ou manter com base documental</w:t>
            </w:r>
          </w:p>
        </w:tc>
        <w:tc>
          <w:tcPr>
            <w:tcW w:w="3139" w:type="dxa"/>
            <w:vAlign w:val="top"/>
          </w:tcPr>
          <w:p>
            <w:pPr>
              <w:pStyle w:val="Cell"/>
            </w:pPr>
            <w:r>
              <w:rPr>
                <w:sz w:val="19"/>
                <w:szCs w:val="19"/>
              </w:rPr>
              <w:t xml:space="preserve">Reformular 2.8, 2.9 e 3.8; cortar ou fundir 2.7 e 2.11; manter 3.4</w:t>
            </w:r>
          </w:p>
        </w:tc>
        <w:tc>
          <w:tcPr>
            <w:tcW w:w="1985" w:type="dxa"/>
            <w:vAlign w:val="top"/>
          </w:tcPr>
          <w:p>
            <w:pPr>
              <w:pStyle w:val="Cell"/>
            </w:pPr>
            <w:r>
              <w:rPr>
                <w:sz w:val="19"/>
                <w:szCs w:val="19"/>
              </w:rPr>
              <w:t xml:space="preserve">Rodadas 2 e 3</w:t>
            </w:r>
          </w:p>
        </w:tc>
      </w:tr>
      <w:tr>
        <w:tc>
          <w:tcPr>
            <w:tcW w:w="1889" w:type="dxa"/>
            <w:vAlign w:val="top"/>
          </w:tcPr>
          <w:p>
            <w:pPr>
              <w:pStyle w:val="Cell"/>
            </w:pPr>
            <w:r>
              <w:rPr>
                <w:sz w:val="19"/>
                <w:szCs w:val="19"/>
              </w:rPr>
              <w:t xml:space="preserve">Temas não incluídos (III.4)</w:t>
            </w:r>
          </w:p>
        </w:tc>
        <w:tc>
          <w:tcPr>
            <w:tcW w:w="2057" w:type="dxa"/>
            <w:vAlign w:val="top"/>
          </w:tcPr>
          <w:p>
            <w:pPr>
              <w:pStyle w:val="Cell"/>
            </w:pPr>
            <w:r>
              <w:rPr>
                <w:sz w:val="19"/>
                <w:szCs w:val="19"/>
              </w:rPr>
              <w:t xml:space="preserve">Registrar ou descartar</w:t>
            </w:r>
          </w:p>
        </w:tc>
        <w:tc>
          <w:tcPr>
            <w:tcW w:w="3139" w:type="dxa"/>
            <w:vAlign w:val="top"/>
          </w:tcPr>
          <w:p>
            <w:pPr>
              <w:pStyle w:val="Cell"/>
            </w:pPr>
            <w:r>
              <w:rPr>
                <w:sz w:val="19"/>
                <w:szCs w:val="19"/>
              </w:rPr>
              <w:t xml:space="preserve">Registrar para a versão reestruturada</w:t>
            </w:r>
          </w:p>
        </w:tc>
        <w:tc>
          <w:tcPr>
            <w:tcW w:w="1985" w:type="dxa"/>
            <w:vAlign w:val="top"/>
          </w:tcPr>
          <w:p>
            <w:pPr>
              <w:pStyle w:val="Cell"/>
            </w:pPr>
            <w:r>
              <w:rPr>
                <w:sz w:val="19"/>
                <w:szCs w:val="19"/>
              </w:rPr>
              <w:t xml:space="preserve">Com a decisão sobre a estrutura</w:t>
            </w:r>
          </w:p>
        </w:tc>
      </w:tr>
    </w:tbl>
    <w:p>
      <w:pPr>
        <w:pStyle w:val="Tight"/>
      </w:pPr>
    </w:p>
    <w:p>
      <w:pPr>
        <w:pStyle w:val="Heading1"/>
      </w:pPr>
      <w:r>
        <w:t xml:space="preserve">Parte VI — Relação com a reestruturação adiada</w:t>
      </w:r>
    </w:p>
    <w:p>
      <w:r>
        <w:t xml:space="preserve">A varredura foi feita sem olhar os eixos. Mesmo assim, seus blocos coincidem com a lógica da opção B da proposta de reestruturação (quatro eixos por objeto):</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4211"/>
        <w:gridCol w:w="4859"/>
      </w:tblGrid>
      <w:tr>
        <w:trPr>
          <w:tblHeader/>
        </w:trPr>
        <w:tc>
          <w:tcPr>
            <w:tcW w:w="4211" w:type="dxa"/>
            <w:shd w:val="clear" w:color="auto" w:fill="F2F6FA"/>
            <w:vAlign w:val="top"/>
          </w:tcPr>
          <w:p>
            <w:pPr>
              <w:pStyle w:val="Cell"/>
            </w:pPr>
            <w:r>
              <w:rPr>
                <w:b/>
                <w:sz w:val="19"/>
                <w:szCs w:val="19"/>
              </w:rPr>
              <w:t xml:space="preserve">Bloco da varredura</w:t>
            </w:r>
          </w:p>
        </w:tc>
        <w:tc>
          <w:tcPr>
            <w:tcW w:w="4859" w:type="dxa"/>
            <w:shd w:val="clear" w:color="auto" w:fill="F2F6FA"/>
            <w:vAlign w:val="top"/>
          </w:tcPr>
          <w:p>
            <w:pPr>
              <w:pStyle w:val="Cell"/>
            </w:pPr>
            <w:r>
              <w:rPr>
                <w:b/>
                <w:sz w:val="19"/>
                <w:szCs w:val="19"/>
              </w:rPr>
              <w:t xml:space="preserve">Eixo correspondente na opção B</w:t>
            </w:r>
          </w:p>
        </w:tc>
      </w:tr>
      <w:tr>
        <w:tc>
          <w:tcPr>
            <w:tcW w:w="4211" w:type="dxa"/>
            <w:vAlign w:val="top"/>
          </w:tcPr>
          <w:p>
            <w:pPr>
              <w:pStyle w:val="Cell"/>
            </w:pPr>
            <w:r>
              <w:rPr>
                <w:sz w:val="19"/>
                <w:szCs w:val="19"/>
              </w:rPr>
              <w:t xml:space="preserve">A e B (permanência, coordenação)</w:t>
            </w:r>
          </w:p>
        </w:tc>
        <w:tc>
          <w:tcPr>
            <w:tcW w:w="4859" w:type="dxa"/>
            <w:vAlign w:val="top"/>
          </w:tcPr>
          <w:p>
            <w:pPr>
              <w:pStyle w:val="Cell"/>
            </w:pPr>
            <w:r>
              <w:rPr>
                <w:sz w:val="19"/>
                <w:szCs w:val="19"/>
              </w:rPr>
              <w:t xml:space="preserve">Eixo 1 — Soberania, Defesa e Presença Estatal Integrada</w:t>
            </w:r>
          </w:p>
        </w:tc>
      </w:tr>
      <w:tr>
        <w:tc>
          <w:tcPr>
            <w:tcW w:w="4211" w:type="dxa"/>
            <w:vAlign w:val="top"/>
          </w:tcPr>
          <w:p>
            <w:pPr>
              <w:pStyle w:val="Cell"/>
            </w:pPr>
            <w:r>
              <w:rPr>
                <w:sz w:val="19"/>
                <w:szCs w:val="19"/>
              </w:rPr>
              <w:t xml:space="preserve">C e D (lucro do ilícito, punição)</w:t>
            </w:r>
          </w:p>
        </w:tc>
        <w:tc>
          <w:tcPr>
            <w:tcW w:w="4859" w:type="dxa"/>
            <w:vAlign w:val="top"/>
          </w:tcPr>
          <w:p>
            <w:pPr>
              <w:pStyle w:val="Cell"/>
            </w:pPr>
            <w:r>
              <w:rPr>
                <w:sz w:val="19"/>
                <w:szCs w:val="19"/>
              </w:rPr>
              <w:t xml:space="preserve">Eixo 2 — Território e Economias Ilícitas</w:t>
            </w:r>
          </w:p>
        </w:tc>
      </w:tr>
      <w:tr>
        <w:tc>
          <w:tcPr>
            <w:tcW w:w="4211" w:type="dxa"/>
            <w:vAlign w:val="top"/>
          </w:tcPr>
          <w:p>
            <w:pPr>
              <w:pStyle w:val="Cell"/>
            </w:pPr>
            <w:r>
              <w:rPr>
                <w:sz w:val="19"/>
                <w:szCs w:val="19"/>
              </w:rPr>
              <w:t xml:space="preserve">E1 e E3 (economia lícita, captura das cadeias)</w:t>
            </w:r>
          </w:p>
        </w:tc>
        <w:tc>
          <w:tcPr>
            <w:tcW w:w="4859" w:type="dxa"/>
            <w:vAlign w:val="top"/>
          </w:tcPr>
          <w:p>
            <w:pPr>
              <w:pStyle w:val="Cell"/>
            </w:pPr>
            <w:r>
              <w:rPr>
                <w:sz w:val="19"/>
                <w:szCs w:val="19"/>
              </w:rPr>
              <w:t xml:space="preserve">Eixo 3 — Bioeconomia</w:t>
            </w:r>
          </w:p>
        </w:tc>
      </w:tr>
      <w:tr>
        <w:tc>
          <w:tcPr>
            <w:tcW w:w="4211" w:type="dxa"/>
            <w:vAlign w:val="top"/>
          </w:tcPr>
          <w:p>
            <w:pPr>
              <w:pStyle w:val="Cell"/>
            </w:pPr>
            <w:r>
              <w:rPr>
                <w:sz w:val="19"/>
                <w:szCs w:val="19"/>
              </w:rPr>
              <w:t xml:space="preserve">E2, E4 e E5 (pessoas, comunidades, obras)</w:t>
            </w:r>
          </w:p>
        </w:tc>
        <w:tc>
          <w:tcPr>
            <w:tcW w:w="4859" w:type="dxa"/>
            <w:vAlign w:val="top"/>
          </w:tcPr>
          <w:p>
            <w:pPr>
              <w:pStyle w:val="Cell"/>
            </w:pPr>
            <w:r>
              <w:rPr>
                <w:sz w:val="19"/>
                <w:szCs w:val="19"/>
              </w:rPr>
              <w:t xml:space="preserve">Divididos entre os eixos 1 e 2</w:t>
            </w:r>
          </w:p>
        </w:tc>
      </w:tr>
      <w:tr>
        <w:tc>
          <w:tcPr>
            <w:tcW w:w="4211" w:type="dxa"/>
            <w:vAlign w:val="top"/>
          </w:tcPr>
          <w:p>
            <w:pPr>
              <w:pStyle w:val="Cell"/>
            </w:pPr>
            <w:r>
              <w:rPr>
                <w:sz w:val="19"/>
                <w:szCs w:val="19"/>
              </w:rPr>
              <w:t xml:space="preserve">F (cooperação regional)</w:t>
            </w:r>
          </w:p>
        </w:tc>
        <w:tc>
          <w:tcPr>
            <w:tcW w:w="4859" w:type="dxa"/>
            <w:vAlign w:val="top"/>
          </w:tcPr>
          <w:p>
            <w:pPr>
              <w:pStyle w:val="Cell"/>
            </w:pPr>
            <w:r>
              <w:rPr>
                <w:sz w:val="19"/>
                <w:szCs w:val="19"/>
              </w:rPr>
              <w:t xml:space="preserve">Eixo 4 — Cooperação Regional Amazônica</w:t>
            </w:r>
          </w:p>
        </w:tc>
      </w:tr>
      <w:tr>
        <w:tc>
          <w:tcPr>
            <w:tcW w:w="4211" w:type="dxa"/>
            <w:vAlign w:val="top"/>
          </w:tcPr>
          <w:p>
            <w:pPr>
              <w:pStyle w:val="Cell"/>
            </w:pPr>
            <w:r>
              <w:rPr>
                <w:sz w:val="19"/>
                <w:szCs w:val="19"/>
              </w:rPr>
              <w:t xml:space="preserve">G (dados)</w:t>
            </w:r>
          </w:p>
        </w:tc>
        <w:tc>
          <w:tcPr>
            <w:tcW w:w="4859" w:type="dxa"/>
            <w:vAlign w:val="top"/>
          </w:tcPr>
          <w:p>
            <w:pPr>
              <w:pStyle w:val="Cell"/>
            </w:pPr>
            <w:r>
              <w:rPr>
                <w:sz w:val="19"/>
                <w:szCs w:val="19"/>
              </w:rPr>
              <w:t xml:space="preserve">Transversal</w:t>
            </w:r>
          </w:p>
        </w:tc>
      </w:tr>
    </w:tbl>
    <w:p>
      <w:pPr>
        <w:pStyle w:val="Tight"/>
      </w:pPr>
    </w:p>
    <w:p>
      <w:r>
        <w:t xml:space="preserve">Isso reforça, com base independente, o diagnóstico de que a estrutura atual mistura objetos. Na opção B, os pares novos ficariam assim:</w:t>
      </w:r>
    </w:p>
    <w:p>
      <w:pPr>
        <w:pStyle w:val="Bullet"/>
      </w:pPr>
      <w:r>
        <w:t xml:space="preserve">• insumos logísticos e recrutamento: Eixo 2;</w:t>
      </w:r>
    </w:p>
    <w:p>
      <w:pPr>
        <w:pStyle w:val="Bullet"/>
      </w:pPr>
      <w:r>
        <w:t xml:space="preserve">• capacidade civil e divisão de trabalho da fiscalização: Eixo 1.</w:t>
      </w:r>
    </w:p>
    <w:p>
      <w:r>
        <w:t xml:space="preserve">Se a decisão sobre a estrutura for tomada antes da próxima rodada de validação, vale inserir os pares novos já na numeração nova.</w:t>
      </w:r>
    </w:p>
    <w:sectPr>
      <w:pgSz w:w="11906" w:h="16838"/>
      <w:pgMar w:top="1418" w:right="1418" w:bottom="1418" w:left="1418" w:header="709" w:footer="709" w:gutter="0"/>
    </w:sectPr>
  </w:body>
</w:document>
</file>

<file path=word/styles.xml><?xml version="1.0" encoding="utf-8"?>
<w:styles xmlns:w="http://schemas.openxmlformats.org/wordprocessingml/2006/main">
  <w:docDefaults>
    <w:rPrDefault>
      <w:rPr>
        <w:rFonts w:ascii="Calibri" w:hAnsi="Calibri" w:cs="Calibri"/>
        <w:sz w:val="21"/>
        <w:szCs w:val="21"/>
        <w:lang w:val="pt-BR"/>
      </w:rPr>
    </w:rPrDefault>
    <w:pPrDefault>
      <w:pPr>
        <w:spacing w:after="140" w:line="276" w:lineRule="auto"/>
        <w:jc w:val="both"/>
      </w:pPr>
    </w:pPrDefault>
  </w:docDefaults>
  <w:style w:type="paragraph" w:default="1" w:styleId="Normal">
    <w:name w:val="Normal"/>
    <w:qFormat/>
  </w:style>
  <w:style w:type="paragraph" w:styleId="TitleX">
    <w:name w:val="TitleX"/>
    <w:basedOn w:val="Normal"/>
    <w:pPr>
      <w:spacing w:after="60"/>
      <w:jc w:val="left"/>
    </w:pPr>
    <w:rPr>
      <w:b/>
      <w:sz w:val="38"/>
      <w:szCs w:val="38"/>
      <w:color w:val="1F3864"/>
    </w:rPr>
  </w:style>
  <w:style w:type="paragraph" w:styleId="SubtitleX">
    <w:name w:val="SubtitleX"/>
    <w:basedOn w:val="Normal"/>
    <w:pPr>
      <w:spacing w:after="280"/>
      <w:jc w:val="left"/>
    </w:pPr>
    <w:rPr>
      <w:color w:val="595959"/>
      <w:sz w:val="22"/>
      <w:szCs w:val="22"/>
    </w:rPr>
  </w:style>
  <w:style w:type="paragraph" w:styleId="Cell">
    <w:name w:val="Cell"/>
    <w:basedOn w:val="Normal"/>
    <w:pPr>
      <w:spacing w:after="40" w:line="240" w:lineRule="auto"/>
      <w:jc w:val="left"/>
    </w:pPr>
    <w:rPr>
      <w:sz w:val="19"/>
      <w:szCs w:val="19"/>
    </w:rPr>
  </w:style>
  <w:style w:type="paragraph" w:styleId="Tight">
    <w:name w:val="Tight"/>
    <w:basedOn w:val="Normal"/>
    <w:pPr>
      <w:spacing w:after="0" w:line="120" w:lineRule="auto"/>
    </w:pPr>
  </w:style>
  <w:style w:type="paragraph" w:styleId="Bullet">
    <w:name w:val="Bullet"/>
    <w:basedOn w:val="Normal"/>
    <w:pPr>
      <w:spacing w:after="60"/>
      <w:ind w:left="340" w:hanging="170"/>
      <w:jc w:val="left"/>
    </w:pPr>
  </w:style>
  <w:style w:type="paragraph" w:styleId="Heading1">
    <w:name w:val="heading 1"/>
    <w:basedOn w:val="Normal"/>
    <w:next w:val="Normal"/>
    <w:qFormat/>
    <w:pPr>
      <w:spacing w:before="340" w:after="160"/>
      <w:jc w:val="left"/>
      <w:outlineLvl w:val="0"/>
    </w:pPr>
    <w:rPr>
      <w:b/>
      <w:sz w:val="30"/>
      <w:szCs w:val="30"/>
      <w:color w:val="1F3864"/>
    </w:rPr>
  </w:style>
  <w:style w:type="paragraph" w:styleId="Heading2">
    <w:name w:val="heading 2"/>
    <w:basedOn w:val="Normal"/>
    <w:next w:val="Normal"/>
    <w:qFormat/>
    <w:pPr>
      <w:spacing w:before="280" w:after="140"/>
      <w:jc w:val="left"/>
      <w:outlineLvl w:val="1"/>
    </w:pPr>
    <w:rPr>
      <w:b/>
      <w:sz w:val="26"/>
      <w:szCs w:val="26"/>
      <w:color w:val="1F3864"/>
    </w:rPr>
  </w:style>
  <w:style w:type="paragraph" w:styleId="Heading3">
    <w:name w:val="heading 3"/>
    <w:basedOn w:val="Normal"/>
    <w:next w:val="Normal"/>
    <w:qFormat/>
    <w:pPr>
      <w:spacing w:before="240" w:after="120"/>
      <w:jc w:val="left"/>
      <w:outlineLvl w:val="2"/>
    </w:pPr>
    <w:rPr>
      <w:b/>
      <w:sz w:val="23"/>
      <w:szCs w:val="23"/>
      <w:color w:val="2E5496"/>
    </w:rPr>
  </w:style>
  <w:style w:type="paragraph" w:styleId="Heading4">
    <w:name w:val="heading 4"/>
    <w:basedOn w:val="Normal"/>
    <w:next w:val="Normal"/>
    <w:qFormat/>
    <w:pPr>
      <w:spacing w:before="200" w:after="100"/>
      <w:jc w:val="left"/>
      <w:outlineLvl w:val="3"/>
    </w:pPr>
    <w:rPr>
      <w:b/>
      <w:i/>
      <w:sz w:val="22"/>
      <w:szCs w:val="22"/>
      <w:color w:val="2E549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