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X"/>
      </w:pPr>
      <w:r>
        <w:t xml:space="preserve">Varredura das transcrições</w:t>
      </w:r>
    </w:p>
    <w:p>
      <w:pPr>
        <w:pStyle w:val="SubtitleX"/>
      </w:pPr>
      <w:r>
        <w:t xml:space="preserve">Lacunas e recomendações identificadas do zero a partir dos eventos do projeto · documento de trabalho interno · 25/09/2026</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545"/>
        <w:gridCol w:w="7525"/>
      </w:tblGrid>
      <w:tr>
        <w:trPr>
          <w:tblHeader/>
        </w:trPr>
        <w:tc>
          <w:tcPr>
            <w:tcW w:w="1545" w:type="dxa"/>
            <w:shd w:val="clear" w:color="auto" w:fill="F2F6FA"/>
            <w:vAlign w:val="top"/>
          </w:tcPr>
          <w:p>
            <w:pPr>
              <w:pStyle w:val="Cell"/>
            </w:pPr>
            <w:r>
              <w:rPr>
                <w:b/>
                <w:sz w:val="19"/>
                <w:szCs w:val="19"/>
              </w:rPr>
              <w:t xml:space="preserve">Item</w:t>
            </w:r>
          </w:p>
        </w:tc>
        <w:tc>
          <w:tcPr>
            <w:tcW w:w="7525" w:type="dxa"/>
            <w:shd w:val="clear" w:color="auto" w:fill="F2F6FA"/>
            <w:vAlign w:val="top"/>
          </w:tcPr>
          <w:p>
            <w:pPr>
              <w:pStyle w:val="Cell"/>
            </w:pPr>
            <w:r>
              <w:rPr>
                <w:b/>
                <w:sz w:val="19"/>
                <w:szCs w:val="19"/>
              </w:rPr>
              <w:t xml:space="preserve">Descrição</w:t>
            </w:r>
          </w:p>
        </w:tc>
      </w:tr>
      <w:tr>
        <w:tc>
          <w:tcPr>
            <w:tcW w:w="1545" w:type="dxa"/>
            <w:vAlign w:val="top"/>
          </w:tcPr>
          <w:p>
            <w:pPr>
              <w:pStyle w:val="Cell"/>
            </w:pPr>
            <w:r>
              <w:rPr>
                <w:sz w:val="19"/>
                <w:szCs w:val="19"/>
              </w:rPr>
              <w:t xml:space="preserve">Objeto</w:t>
            </w:r>
          </w:p>
        </w:tc>
        <w:tc>
          <w:tcPr>
            <w:tcW w:w="7525" w:type="dxa"/>
            <w:vAlign w:val="top"/>
          </w:tcPr>
          <w:p>
            <w:pPr>
              <w:pStyle w:val="Cell"/>
            </w:pPr>
            <w:r>
              <w:rPr>
                <w:sz w:val="19"/>
                <w:szCs w:val="19"/>
              </w:rPr>
              <w:t xml:space="preserve">Identificação de lacunas e recomendações a partir apenas das transcrições dos eventos, sem usar a estrutura da Agenda como referência</w:t>
            </w:r>
          </w:p>
        </w:tc>
      </w:tr>
      <w:tr>
        <w:tc>
          <w:tcPr>
            <w:tcW w:w="1545" w:type="dxa"/>
            <w:vAlign w:val="top"/>
          </w:tcPr>
          <w:p>
            <w:pPr>
              <w:pStyle w:val="Cell"/>
            </w:pPr>
            <w:r>
              <w:rPr>
                <w:sz w:val="19"/>
                <w:szCs w:val="19"/>
              </w:rPr>
              <w:t xml:space="preserve">Base</w:t>
            </w:r>
          </w:p>
        </w:tc>
        <w:tc>
          <w:tcPr>
            <w:tcW w:w="7525" w:type="dxa"/>
            <w:vAlign w:val="top"/>
          </w:tcPr>
          <w:p>
            <w:pPr>
              <w:pStyle w:val="Cell"/>
            </w:pPr>
            <w:r>
              <w:rPr>
                <w:sz w:val="19"/>
                <w:szCs w:val="19"/>
              </w:rPr>
              <w:t xml:space="preserve">Três webinários, Workshop Nacional, Workshop Regional (Manaus), Simpósio, formulário pós-Manaus e resumos das reuniões de validação de 31/07/2026</w:t>
            </w:r>
          </w:p>
        </w:tc>
      </w:tr>
      <w:tr>
        <w:tc>
          <w:tcPr>
            <w:tcW w:w="1545" w:type="dxa"/>
            <w:vAlign w:val="top"/>
          </w:tcPr>
          <w:p>
            <w:pPr>
              <w:pStyle w:val="Cell"/>
            </w:pPr>
            <w:r>
              <w:rPr>
                <w:sz w:val="19"/>
                <w:szCs w:val="19"/>
              </w:rPr>
              <w:t xml:space="preserve">Regra aplicada</w:t>
            </w:r>
          </w:p>
        </w:tc>
        <w:tc>
          <w:tcPr>
            <w:tcW w:w="7525" w:type="dxa"/>
            <w:vAlign w:val="top"/>
          </w:tcPr>
          <w:p>
            <w:pPr>
              <w:pStyle w:val="Cell"/>
            </w:pPr>
            <w:r>
              <w:rPr>
                <w:sz w:val="19"/>
                <w:szCs w:val="19"/>
              </w:rPr>
              <w:t xml:space="preserve">Recomendações incrementais, avaliadas pelas implicações políticas, jurídicas, institucionais e técnicas; "não dar um passo maior que a perna"</w:t>
            </w:r>
          </w:p>
        </w:tc>
      </w:tr>
      <w:tr>
        <w:tc>
          <w:tcPr>
            <w:tcW w:w="1545" w:type="dxa"/>
            <w:vAlign w:val="top"/>
          </w:tcPr>
          <w:p>
            <w:pPr>
              <w:pStyle w:val="Cell"/>
            </w:pPr>
            <w:r>
              <w:rPr>
                <w:sz w:val="19"/>
                <w:szCs w:val="19"/>
              </w:rPr>
              <w:t xml:space="preserve">Status</w:t>
            </w:r>
          </w:p>
        </w:tc>
        <w:tc>
          <w:tcPr>
            <w:tcW w:w="7525" w:type="dxa"/>
            <w:vAlign w:val="top"/>
          </w:tcPr>
          <w:p>
            <w:pPr>
              <w:pStyle w:val="Cell"/>
            </w:pPr>
            <w:r>
              <w:rPr>
                <w:sz w:val="19"/>
                <w:szCs w:val="19"/>
              </w:rPr>
              <w:t xml:space="preserve">Documento interno para checagem posterior. Nada foi inserido na Agenda. Números e afirmações marcados exigem conferência (Anexos A e B)</w:t>
            </w:r>
          </w:p>
        </w:tc>
      </w:tr>
    </w:tbl>
    <w:p>
      <w:pPr>
        <w:pStyle w:val="Tight"/>
      </w:pPr>
    </w:p>
    <w:p>
      <w:pPr>
        <w:pStyle w:val="Heading1"/>
      </w:pPr>
      <w:r>
        <w:t xml:space="preserve">Nota metodológica</w:t>
      </w:r>
    </w:p>
    <w:p>
      <w:pPr>
        <w:pStyle w:val="Heading2"/>
      </w:pPr>
      <w:r>
        <w:t xml:space="preserve">Fontes e regra de citação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121"/>
        <w:gridCol w:w="3993"/>
        <w:gridCol w:w="1978"/>
        <w:gridCol w:w="1978"/>
      </w:tblGrid>
      <w:tr>
        <w:trPr>
          <w:tblHeader/>
        </w:trPr>
        <w:tc>
          <w:tcPr>
            <w:tcW w:w="1121" w:type="dxa"/>
            <w:shd w:val="clear" w:color="auto" w:fill="F2F6FA"/>
            <w:vAlign w:val="top"/>
          </w:tcPr>
          <w:p>
            <w:pPr>
              <w:pStyle w:val="Cell"/>
            </w:pPr>
            <w:r>
              <w:rPr>
                <w:b/>
                <w:sz w:val="19"/>
                <w:szCs w:val="19"/>
              </w:rPr>
              <w:t xml:space="preserve">Sigla</w:t>
            </w:r>
          </w:p>
        </w:tc>
        <w:tc>
          <w:tcPr>
            <w:tcW w:w="3993" w:type="dxa"/>
            <w:shd w:val="clear" w:color="auto" w:fill="F2F6FA"/>
            <w:vAlign w:val="top"/>
          </w:tcPr>
          <w:p>
            <w:pPr>
              <w:pStyle w:val="Cell"/>
            </w:pPr>
            <w:r>
              <w:rPr>
                <w:b/>
                <w:sz w:val="19"/>
                <w:szCs w:val="19"/>
              </w:rPr>
              <w:t xml:space="preserve">Evento</w:t>
            </w:r>
          </w:p>
        </w:tc>
        <w:tc>
          <w:tcPr>
            <w:tcW w:w="1978" w:type="dxa"/>
            <w:shd w:val="clear" w:color="auto" w:fill="F2F6FA"/>
            <w:vAlign w:val="top"/>
          </w:tcPr>
          <w:p>
            <w:pPr>
              <w:pStyle w:val="Cell"/>
            </w:pPr>
            <w:r>
              <w:rPr>
                <w:b/>
                <w:sz w:val="19"/>
                <w:szCs w:val="19"/>
              </w:rPr>
              <w:t xml:space="preserve">Regime</w:t>
            </w:r>
          </w:p>
        </w:tc>
        <w:tc>
          <w:tcPr>
            <w:tcW w:w="1978" w:type="dxa"/>
            <w:shd w:val="clear" w:color="auto" w:fill="F2F6FA"/>
            <w:vAlign w:val="top"/>
          </w:tcPr>
          <w:p>
            <w:pPr>
              <w:pStyle w:val="Cell"/>
            </w:pPr>
            <w:r>
              <w:rPr>
                <w:b/>
                <w:sz w:val="19"/>
                <w:szCs w:val="19"/>
              </w:rPr>
              <w:t xml:space="preserve">Como é citado</w:t>
            </w:r>
          </w:p>
        </w:tc>
      </w:tr>
      <w:tr>
        <w:tc>
          <w:tcPr>
            <w:tcW w:w="1121" w:type="dxa"/>
            <w:vAlign w:val="top"/>
          </w:tcPr>
          <w:p>
            <w:pPr>
              <w:pStyle w:val="Cell"/>
            </w:pPr>
            <w:r>
              <w:rPr>
                <w:sz w:val="19"/>
                <w:szCs w:val="19"/>
              </w:rPr>
              <w:t xml:space="preserve">W1</w:t>
            </w:r>
          </w:p>
        </w:tc>
        <w:tc>
          <w:tcPr>
            <w:tcW w:w="3993" w:type="dxa"/>
            <w:vAlign w:val="top"/>
          </w:tcPr>
          <w:p>
            <w:pPr>
              <w:pStyle w:val="Cell"/>
            </w:pPr>
            <w:r>
              <w:rPr>
                <w:sz w:val="19"/>
                <w:szCs w:val="19"/>
              </w:rPr>
              <w:t xml:space="preserve">Webinar 1 — Forças Armadas e Cooperação Interagências (21/08/2025)</w:t>
            </w:r>
          </w:p>
        </w:tc>
        <w:tc>
          <w:tcPr>
            <w:tcW w:w="1978" w:type="dxa"/>
            <w:vAlign w:val="top"/>
          </w:tcPr>
          <w:p>
            <w:pPr>
              <w:pStyle w:val="Cell"/>
            </w:pPr>
            <w:r>
              <w:rPr>
                <w:sz w:val="19"/>
                <w:szCs w:val="19"/>
              </w:rPr>
              <w:t xml:space="preserve">Público</w:t>
            </w:r>
          </w:p>
        </w:tc>
        <w:tc>
          <w:tcPr>
            <w:tcW w:w="1978" w:type="dxa"/>
            <w:vAlign w:val="top"/>
          </w:tcPr>
          <w:p>
            <w:pPr>
              <w:pStyle w:val="Cell"/>
            </w:pPr>
            <w:r>
              <w:rPr>
                <w:sz w:val="19"/>
                <w:szCs w:val="19"/>
              </w:rPr>
              <w:t xml:space="preserve">Nome e minutagem</w:t>
            </w:r>
          </w:p>
        </w:tc>
      </w:tr>
      <w:tr>
        <w:tc>
          <w:tcPr>
            <w:tcW w:w="1121" w:type="dxa"/>
            <w:vAlign w:val="top"/>
          </w:tcPr>
          <w:p>
            <w:pPr>
              <w:pStyle w:val="Cell"/>
            </w:pPr>
            <w:r>
              <w:rPr>
                <w:sz w:val="19"/>
                <w:szCs w:val="19"/>
              </w:rPr>
              <w:t xml:space="preserve">W2</w:t>
            </w:r>
          </w:p>
        </w:tc>
        <w:tc>
          <w:tcPr>
            <w:tcW w:w="3993" w:type="dxa"/>
            <w:vAlign w:val="top"/>
          </w:tcPr>
          <w:p>
            <w:pPr>
              <w:pStyle w:val="Cell"/>
            </w:pPr>
            <w:r>
              <w:rPr>
                <w:sz w:val="19"/>
                <w:szCs w:val="19"/>
              </w:rPr>
              <w:t xml:space="preserve">Webinar 2 — Desenvolvimento Sustentável e Segurança Pública (23/09/2025)</w:t>
            </w:r>
          </w:p>
        </w:tc>
        <w:tc>
          <w:tcPr>
            <w:tcW w:w="1978" w:type="dxa"/>
            <w:vAlign w:val="top"/>
          </w:tcPr>
          <w:p>
            <w:pPr>
              <w:pStyle w:val="Cell"/>
            </w:pPr>
            <w:r>
              <w:rPr>
                <w:sz w:val="19"/>
                <w:szCs w:val="19"/>
              </w:rPr>
              <w:t xml:space="preserve">Público</w:t>
            </w:r>
          </w:p>
        </w:tc>
        <w:tc>
          <w:tcPr>
            <w:tcW w:w="1978" w:type="dxa"/>
            <w:vAlign w:val="top"/>
          </w:tcPr>
          <w:p>
            <w:pPr>
              <w:pStyle w:val="Cell"/>
            </w:pPr>
            <w:r>
              <w:rPr>
                <w:sz w:val="19"/>
                <w:szCs w:val="19"/>
              </w:rPr>
              <w:t xml:space="preserve">Nome e minutagem</w:t>
            </w:r>
          </w:p>
        </w:tc>
      </w:tr>
      <w:tr>
        <w:tc>
          <w:tcPr>
            <w:tcW w:w="1121" w:type="dxa"/>
            <w:vAlign w:val="top"/>
          </w:tcPr>
          <w:p>
            <w:pPr>
              <w:pStyle w:val="Cell"/>
            </w:pPr>
            <w:r>
              <w:rPr>
                <w:sz w:val="19"/>
                <w:szCs w:val="19"/>
              </w:rPr>
              <w:t xml:space="preserve">W3</w:t>
            </w:r>
          </w:p>
        </w:tc>
        <w:tc>
          <w:tcPr>
            <w:tcW w:w="3993" w:type="dxa"/>
            <w:vAlign w:val="top"/>
          </w:tcPr>
          <w:p>
            <w:pPr>
              <w:pStyle w:val="Cell"/>
            </w:pPr>
            <w:r>
              <w:rPr>
                <w:sz w:val="19"/>
                <w:szCs w:val="19"/>
              </w:rPr>
              <w:t xml:space="preserve">Webinar 3 — Atores e Capacidades Nacionais (24/03/2026)</w:t>
            </w:r>
          </w:p>
        </w:tc>
        <w:tc>
          <w:tcPr>
            <w:tcW w:w="1978" w:type="dxa"/>
            <w:vAlign w:val="top"/>
          </w:tcPr>
          <w:p>
            <w:pPr>
              <w:pStyle w:val="Cell"/>
            </w:pPr>
            <w:r>
              <w:rPr>
                <w:sz w:val="19"/>
                <w:szCs w:val="19"/>
              </w:rPr>
              <w:t xml:space="preserve">Público</w:t>
            </w:r>
          </w:p>
        </w:tc>
        <w:tc>
          <w:tcPr>
            <w:tcW w:w="1978" w:type="dxa"/>
            <w:vAlign w:val="top"/>
          </w:tcPr>
          <w:p>
            <w:pPr>
              <w:pStyle w:val="Cell"/>
            </w:pPr>
            <w:r>
              <w:rPr>
                <w:sz w:val="19"/>
                <w:szCs w:val="19"/>
              </w:rPr>
              <w:t xml:space="preserve">Nome e minutagem</w:t>
            </w:r>
          </w:p>
        </w:tc>
      </w:tr>
      <w:tr>
        <w:tc>
          <w:tcPr>
            <w:tcW w:w="1121" w:type="dxa"/>
            <w:vAlign w:val="top"/>
          </w:tcPr>
          <w:p>
            <w:pPr>
              <w:pStyle w:val="Cell"/>
            </w:pPr>
            <w:r>
              <w:rPr>
                <w:sz w:val="19"/>
                <w:szCs w:val="19"/>
              </w:rPr>
              <w:t xml:space="preserve">WN</w:t>
            </w:r>
          </w:p>
        </w:tc>
        <w:tc>
          <w:tcPr>
            <w:tcW w:w="3993" w:type="dxa"/>
            <w:vAlign w:val="top"/>
          </w:tcPr>
          <w:p>
            <w:pPr>
              <w:pStyle w:val="Cell"/>
            </w:pPr>
            <w:r>
              <w:rPr>
                <w:sz w:val="19"/>
                <w:szCs w:val="19"/>
              </w:rPr>
              <w:t xml:space="preserve">Workshop Nacional (out/2025): Palestras Magnas I e II e GT1 a GT4</w:t>
            </w:r>
          </w:p>
        </w:tc>
        <w:tc>
          <w:tcPr>
            <w:tcW w:w="1978" w:type="dxa"/>
            <w:vAlign w:val="top"/>
          </w:tcPr>
          <w:p>
            <w:pPr>
              <w:pStyle w:val="Cell"/>
            </w:pPr>
            <w:r>
              <w:rPr>
                <w:sz w:val="19"/>
                <w:szCs w:val="19"/>
              </w:rPr>
              <w:t xml:space="preserve">Chatham House</w:t>
            </w:r>
          </w:p>
        </w:tc>
        <w:tc>
          <w:tcPr>
            <w:tcW w:w="1978" w:type="dxa"/>
            <w:vAlign w:val="top"/>
          </w:tcPr>
          <w:p>
            <w:pPr>
              <w:pStyle w:val="Cell"/>
            </w:pPr>
            <w:r>
              <w:rPr>
                <w:sz w:val="19"/>
                <w:szCs w:val="19"/>
              </w:rPr>
              <w:t xml:space="preserve">Sessão e função, sem nome</w:t>
            </w:r>
          </w:p>
        </w:tc>
      </w:tr>
      <w:tr>
        <w:tc>
          <w:tcPr>
            <w:tcW w:w="1121" w:type="dxa"/>
            <w:vAlign w:val="top"/>
          </w:tcPr>
          <w:p>
            <w:pPr>
              <w:pStyle w:val="Cell"/>
            </w:pPr>
            <w:r>
              <w:rPr>
                <w:sz w:val="19"/>
                <w:szCs w:val="19"/>
              </w:rPr>
              <w:t xml:space="preserve">WR</w:t>
            </w:r>
          </w:p>
        </w:tc>
        <w:tc>
          <w:tcPr>
            <w:tcW w:w="3993" w:type="dxa"/>
            <w:vAlign w:val="top"/>
          </w:tcPr>
          <w:p>
            <w:pPr>
              <w:pStyle w:val="Cell"/>
            </w:pPr>
            <w:r>
              <w:rPr>
                <w:sz w:val="19"/>
                <w:szCs w:val="19"/>
              </w:rPr>
              <w:t xml:space="preserve">Workshop Regional, Manaus (maio/2026): Painéis P1 a P4 e encerramento</w:t>
            </w:r>
          </w:p>
        </w:tc>
        <w:tc>
          <w:tcPr>
            <w:tcW w:w="1978" w:type="dxa"/>
            <w:vAlign w:val="top"/>
          </w:tcPr>
          <w:p>
            <w:pPr>
              <w:pStyle w:val="Cell"/>
            </w:pPr>
            <w:r>
              <w:rPr>
                <w:sz w:val="19"/>
                <w:szCs w:val="19"/>
              </w:rPr>
              <w:t xml:space="preserve">Chatham House</w:t>
            </w:r>
          </w:p>
        </w:tc>
        <w:tc>
          <w:tcPr>
            <w:tcW w:w="1978" w:type="dxa"/>
            <w:vAlign w:val="top"/>
          </w:tcPr>
          <w:p>
            <w:pPr>
              <w:pStyle w:val="Cell"/>
            </w:pPr>
            <w:r>
              <w:rPr>
                <w:sz w:val="19"/>
                <w:szCs w:val="19"/>
              </w:rPr>
              <w:t xml:space="preserve">Sessão e função, sem nome</w:t>
            </w:r>
          </w:p>
        </w:tc>
      </w:tr>
      <w:tr>
        <w:tc>
          <w:tcPr>
            <w:tcW w:w="1121" w:type="dxa"/>
            <w:vAlign w:val="top"/>
          </w:tcPr>
          <w:p>
            <w:pPr>
              <w:pStyle w:val="Cell"/>
            </w:pPr>
            <w:r>
              <w:rPr>
                <w:sz w:val="19"/>
                <w:szCs w:val="19"/>
              </w:rPr>
              <w:t xml:space="preserve">SI</w:t>
            </w:r>
          </w:p>
        </w:tc>
        <w:tc>
          <w:tcPr>
            <w:tcW w:w="3993" w:type="dxa"/>
            <w:vAlign w:val="top"/>
          </w:tcPr>
          <w:p>
            <w:pPr>
              <w:pStyle w:val="Cell"/>
            </w:pPr>
            <w:r>
              <w:rPr>
                <w:sz w:val="19"/>
                <w:szCs w:val="19"/>
              </w:rPr>
              <w:t xml:space="preserve">Simpósio Internacional, Manaus (20/05/2026)</w:t>
            </w:r>
          </w:p>
        </w:tc>
        <w:tc>
          <w:tcPr>
            <w:tcW w:w="1978" w:type="dxa"/>
            <w:vAlign w:val="top"/>
          </w:tcPr>
          <w:p>
            <w:pPr>
              <w:pStyle w:val="Cell"/>
            </w:pPr>
            <w:r>
              <w:rPr>
                <w:sz w:val="19"/>
                <w:szCs w:val="19"/>
              </w:rPr>
              <w:t xml:space="preserve">Interno, regime a definir</w:t>
            </w:r>
          </w:p>
        </w:tc>
        <w:tc>
          <w:tcPr>
            <w:tcW w:w="1978" w:type="dxa"/>
            <w:vAlign w:val="top"/>
          </w:tcPr>
          <w:p>
            <w:pPr>
              <w:pStyle w:val="Cell"/>
            </w:pPr>
            <w:r>
              <w:rPr>
                <w:sz w:val="19"/>
                <w:szCs w:val="19"/>
              </w:rPr>
              <w:t xml:space="preserve">Instituição</w:t>
            </w:r>
          </w:p>
        </w:tc>
      </w:tr>
      <w:tr>
        <w:tc>
          <w:tcPr>
            <w:tcW w:w="1121" w:type="dxa"/>
            <w:vAlign w:val="top"/>
          </w:tcPr>
          <w:p>
            <w:pPr>
              <w:pStyle w:val="Cell"/>
            </w:pPr>
            <w:r>
              <w:rPr>
                <w:sz w:val="19"/>
                <w:szCs w:val="19"/>
              </w:rPr>
              <w:t xml:space="preserve">FM</w:t>
            </w:r>
          </w:p>
        </w:tc>
        <w:tc>
          <w:tcPr>
            <w:tcW w:w="3993" w:type="dxa"/>
            <w:vAlign w:val="top"/>
          </w:tcPr>
          <w:p>
            <w:pPr>
              <w:pStyle w:val="Cell"/>
            </w:pPr>
            <w:r>
              <w:rPr>
                <w:sz w:val="19"/>
                <w:szCs w:val="19"/>
              </w:rPr>
              <w:t xml:space="preserve">Formulário pós-workshop de Manaus (8 respondentes)</w:t>
            </w:r>
          </w:p>
        </w:tc>
        <w:tc>
          <w:tcPr>
            <w:tcW w:w="1978" w:type="dxa"/>
            <w:vAlign w:val="top"/>
          </w:tcPr>
          <w:p>
            <w:pPr>
              <w:pStyle w:val="Cell"/>
            </w:pPr>
            <w:r>
              <w:rPr>
                <w:sz w:val="19"/>
                <w:szCs w:val="19"/>
              </w:rPr>
              <w:t xml:space="preserve">Interno</w:t>
            </w:r>
          </w:p>
        </w:tc>
        <w:tc>
          <w:tcPr>
            <w:tcW w:w="1978" w:type="dxa"/>
            <w:vAlign w:val="top"/>
          </w:tcPr>
          <w:p>
            <w:pPr>
              <w:pStyle w:val="Cell"/>
            </w:pPr>
            <w:r>
              <w:rPr>
                <w:sz w:val="19"/>
                <w:szCs w:val="19"/>
              </w:rPr>
              <w:t xml:space="preserve">Instituição</w:t>
            </w:r>
          </w:p>
        </w:tc>
      </w:tr>
      <w:tr>
        <w:tc>
          <w:tcPr>
            <w:tcW w:w="1121" w:type="dxa"/>
            <w:vAlign w:val="top"/>
          </w:tcPr>
          <w:p>
            <w:pPr>
              <w:pStyle w:val="Cell"/>
            </w:pPr>
            <w:r>
              <w:rPr>
                <w:sz w:val="19"/>
                <w:szCs w:val="19"/>
              </w:rPr>
              <w:t xml:space="preserve">VL</w:t>
            </w:r>
          </w:p>
        </w:tc>
        <w:tc>
          <w:tcPr>
            <w:tcW w:w="3993" w:type="dxa"/>
            <w:vAlign w:val="top"/>
          </w:tcPr>
          <w:p>
            <w:pPr>
              <w:pStyle w:val="Cell"/>
            </w:pPr>
            <w:r>
              <w:rPr>
                <w:sz w:val="19"/>
                <w:szCs w:val="19"/>
              </w:rPr>
              <w:t xml:space="preserve">Reuniões de validação com o GSI e o CCPI (31/07/2026)</w:t>
            </w:r>
          </w:p>
        </w:tc>
        <w:tc>
          <w:tcPr>
            <w:tcW w:w="1978" w:type="dxa"/>
            <w:vAlign w:val="top"/>
          </w:tcPr>
          <w:p>
            <w:pPr>
              <w:pStyle w:val="Cell"/>
            </w:pPr>
            <w:r>
              <w:rPr>
                <w:sz w:val="19"/>
                <w:szCs w:val="19"/>
              </w:rPr>
              <w:t xml:space="preserve">Interno</w:t>
            </w:r>
          </w:p>
        </w:tc>
        <w:tc>
          <w:tcPr>
            <w:tcW w:w="1978" w:type="dxa"/>
            <w:vAlign w:val="top"/>
          </w:tcPr>
          <w:p>
            <w:pPr>
              <w:pStyle w:val="Cell"/>
            </w:pPr>
            <w:r>
              <w:rPr>
                <w:sz w:val="19"/>
                <w:szCs w:val="19"/>
              </w:rPr>
              <w:t xml:space="preserve">Instituição</w:t>
            </w:r>
          </w:p>
        </w:tc>
      </w:tr>
    </w:tbl>
    <w:p>
      <w:pPr>
        <w:pStyle w:val="Tight"/>
      </w:pPr>
    </w:p>
    <w:p>
      <w:r>
        <w:t xml:space="preserve">Os números marcados </w:t>
      </w:r>
      <w:r>
        <w:rPr>
          <w:b/>
        </w:rPr>
        <w:t xml:space="preserve">[a conferir]</w:t>
      </w:r>
      <w:r>
        <w:t xml:space="preserve"> foram ditos em fala e ainda não têm fonte primária. As afirmações marcadas </w:t>
      </w:r>
      <w:r>
        <w:rPr>
          <w:b/>
        </w:rPr>
        <w:t xml:space="preserve">[verificar]</w:t>
      </w:r>
      <w:r>
        <w:t xml:space="preserve"> foram acrescentadas nesta análise, a partir de conhecimento jurídico ou institucional, e não vêm das transcrições.</w:t>
      </w:r>
    </w:p>
    <w:p>
      <w:pPr>
        <w:pStyle w:val="Heading2"/>
      </w:pPr>
      <w:r>
        <w:t xml:space="preserve">Critério de agrupamento</w:t>
      </w:r>
    </w:p>
    <w:p>
      <w:r>
        <w:t xml:space="preserve">As lacunas foram agrupadas pelo ponto em que a resposta do Estado se rompe, e não por setor. Nas transcrições, o mesmo problema aparece na fala de militares, policiais, fiscais e pesquisadores; o que muda é o elo da cadeia em que ele ocorre. Resultam seis blocos e uma lacuna transversal:</w:t>
      </w:r>
    </w:p>
    <w:p>
      <w:pPr>
        <w:pStyle w:val="Bullet"/>
      </w:pPr>
      <w:r>
        <w:t xml:space="preserve">• </w:t>
      </w:r>
      <w:r>
        <w:rPr>
          <w:b/>
        </w:rPr>
        <w:t xml:space="preserve">A.</w:t>
      </w:r>
      <w:r>
        <w:t xml:space="preserve"> O Estado chega, mas não fica</w:t>
      </w:r>
    </w:p>
    <w:p>
      <w:pPr>
        <w:pStyle w:val="Bullet"/>
      </w:pPr>
      <w:r>
        <w:t xml:space="preserve">• </w:t>
      </w:r>
      <w:r>
        <w:rPr>
          <w:b/>
        </w:rPr>
        <w:t xml:space="preserve">B.</w:t>
      </w:r>
      <w:r>
        <w:t xml:space="preserve"> Os órgãos não funcionam juntos</w:t>
      </w:r>
    </w:p>
    <w:p>
      <w:pPr>
        <w:pStyle w:val="Bullet"/>
      </w:pPr>
      <w:r>
        <w:t xml:space="preserve">• </w:t>
      </w:r>
      <w:r>
        <w:rPr>
          <w:b/>
        </w:rPr>
        <w:t xml:space="preserve">C.</w:t>
      </w:r>
      <w:r>
        <w:t xml:space="preserve"> O lucro do ilícito fica intacto</w:t>
      </w:r>
    </w:p>
    <w:p>
      <w:pPr>
        <w:pStyle w:val="Bullet"/>
      </w:pPr>
      <w:r>
        <w:t xml:space="preserve">• </w:t>
      </w:r>
      <w:r>
        <w:rPr>
          <w:b/>
        </w:rPr>
        <w:t xml:space="preserve">D.</w:t>
      </w:r>
      <w:r>
        <w:t xml:space="preserve"> A punição não dissuade</w:t>
      </w:r>
    </w:p>
    <w:p>
      <w:pPr>
        <w:pStyle w:val="Bullet"/>
      </w:pPr>
      <w:r>
        <w:t xml:space="preserve">• </w:t>
      </w:r>
      <w:r>
        <w:rPr>
          <w:b/>
        </w:rPr>
        <w:t xml:space="preserve">E.</w:t>
      </w:r>
      <w:r>
        <w:t xml:space="preserve"> Quem mora no território fica de fora</w:t>
      </w:r>
    </w:p>
    <w:p>
      <w:pPr>
        <w:pStyle w:val="Bullet"/>
      </w:pPr>
      <w:r>
        <w:t xml:space="preserve">• </w:t>
      </w:r>
      <w:r>
        <w:rPr>
          <w:b/>
        </w:rPr>
        <w:t xml:space="preserve">F.</w:t>
      </w:r>
      <w:r>
        <w:t xml:space="preserve"> A cooperação regional é frágil</w:t>
      </w:r>
    </w:p>
    <w:p>
      <w:pPr>
        <w:pStyle w:val="Bullet"/>
      </w:pPr>
      <w:r>
        <w:t xml:space="preserve">• </w:t>
      </w:r>
      <w:r>
        <w:rPr>
          <w:b/>
        </w:rPr>
        <w:t xml:space="preserve">G.</w:t>
      </w:r>
      <w:r>
        <w:t xml:space="preserve"> Não se mede o que funciona (transversal)</w:t>
      </w:r>
    </w:p>
    <w:p>
      <w:pPr>
        <w:pStyle w:val="Heading2"/>
      </w:pPr>
      <w:r>
        <w:t xml:space="preserve">Critério de entrada</w:t>
      </w:r>
    </w:p>
    <w:p>
      <w:r>
        <w:t xml:space="preserve">Só foi registrado como lacuna o que aparece em pelo menos dois eventos independentes, ou um fato institucional específico relatado por quem opera. Cada lacuna indica em quantas fontes aparece.</w:t>
      </w:r>
    </w:p>
    <w:p>
      <w:pPr>
        <w:pStyle w:val="Heading2"/>
      </w:pPr>
      <w:r>
        <w:t xml:space="preserve">Régua das recomendações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189"/>
        <w:gridCol w:w="4482"/>
        <w:gridCol w:w="3399"/>
      </w:tblGrid>
      <w:tr>
        <w:trPr>
          <w:tblHeader/>
        </w:trPr>
        <w:tc>
          <w:tcPr>
            <w:tcW w:w="1189" w:type="dxa"/>
            <w:shd w:val="clear" w:color="auto" w:fill="F2F6FA"/>
            <w:vAlign w:val="top"/>
          </w:tcPr>
          <w:p>
            <w:pPr>
              <w:pStyle w:val="Cell"/>
            </w:pPr>
            <w:r>
              <w:rPr>
                <w:b/>
                <w:sz w:val="19"/>
                <w:szCs w:val="19"/>
              </w:rPr>
              <w:t xml:space="preserve">Degrau</w:t>
            </w:r>
          </w:p>
        </w:tc>
        <w:tc>
          <w:tcPr>
            <w:tcW w:w="4482" w:type="dxa"/>
            <w:shd w:val="clear" w:color="auto" w:fill="F2F6FA"/>
            <w:vAlign w:val="top"/>
          </w:tcPr>
          <w:p>
            <w:pPr>
              <w:pStyle w:val="Cell"/>
            </w:pPr>
            <w:r>
              <w:rPr>
                <w:b/>
                <w:sz w:val="19"/>
                <w:szCs w:val="19"/>
              </w:rPr>
              <w:t xml:space="preserve">Instrumento exigido</w:t>
            </w:r>
          </w:p>
        </w:tc>
        <w:tc>
          <w:tcPr>
            <w:tcW w:w="3399" w:type="dxa"/>
            <w:shd w:val="clear" w:color="auto" w:fill="F2F6FA"/>
            <w:vAlign w:val="top"/>
          </w:tcPr>
          <w:p>
            <w:pPr>
              <w:pStyle w:val="Cell"/>
            </w:pPr>
            <w:r>
              <w:rPr>
                <w:b/>
                <w:sz w:val="19"/>
                <w:szCs w:val="19"/>
              </w:rPr>
              <w:t xml:space="preserve">Do que depende</w:t>
            </w:r>
          </w:p>
        </w:tc>
      </w:tr>
      <w:tr>
        <w:tc>
          <w:tcPr>
            <w:tcW w:w="1189" w:type="dxa"/>
            <w:vAlign w:val="top"/>
          </w:tcPr>
          <w:p>
            <w:pPr>
              <w:pStyle w:val="Cell"/>
            </w:pPr>
            <w:r>
              <w:rPr>
                <w:sz w:val="19"/>
                <w:szCs w:val="19"/>
              </w:rPr>
              <w:t xml:space="preserve">D1</w:t>
            </w:r>
          </w:p>
        </w:tc>
        <w:tc>
          <w:tcPr>
            <w:tcW w:w="4482" w:type="dxa"/>
            <w:vAlign w:val="top"/>
          </w:tcPr>
          <w:p>
            <w:pPr>
              <w:pStyle w:val="Cell"/>
            </w:pPr>
            <w:r>
              <w:rPr>
                <w:sz w:val="19"/>
                <w:szCs w:val="19"/>
              </w:rPr>
              <w:t xml:space="preserve">Ato do próprio órgão, acordo de cooperação técnica (ACT) ou ajuste de edital</w:t>
            </w:r>
          </w:p>
        </w:tc>
        <w:tc>
          <w:tcPr>
            <w:tcW w:w="3399" w:type="dxa"/>
            <w:vAlign w:val="top"/>
          </w:tcPr>
          <w:p>
            <w:pPr>
              <w:pStyle w:val="Cell"/>
            </w:pPr>
            <w:r>
              <w:rPr>
                <w:sz w:val="19"/>
                <w:szCs w:val="19"/>
              </w:rPr>
              <w:t xml:space="preserve">De ninguém de fora do órgão ou dos órgãos signatários</w:t>
            </w:r>
          </w:p>
        </w:tc>
      </w:tr>
      <w:tr>
        <w:tc>
          <w:tcPr>
            <w:tcW w:w="1189" w:type="dxa"/>
            <w:vAlign w:val="top"/>
          </w:tcPr>
          <w:p>
            <w:pPr>
              <w:pStyle w:val="Cell"/>
            </w:pPr>
            <w:r>
              <w:rPr>
                <w:sz w:val="19"/>
                <w:szCs w:val="19"/>
              </w:rPr>
              <w:t xml:space="preserve">D2</w:t>
            </w:r>
          </w:p>
        </w:tc>
        <w:tc>
          <w:tcPr>
            <w:tcW w:w="4482" w:type="dxa"/>
            <w:vAlign w:val="top"/>
          </w:tcPr>
          <w:p>
            <w:pPr>
              <w:pStyle w:val="Cell"/>
            </w:pPr>
            <w:r>
              <w:rPr>
                <w:sz w:val="19"/>
                <w:szCs w:val="19"/>
              </w:rPr>
              <w:t xml:space="preserve">Decreto, ato interministerial ou decisão de colegiado</w:t>
            </w:r>
          </w:p>
        </w:tc>
        <w:tc>
          <w:tcPr>
            <w:tcW w:w="3399" w:type="dxa"/>
            <w:vAlign w:val="top"/>
          </w:tcPr>
          <w:p>
            <w:pPr>
              <w:pStyle w:val="Cell"/>
            </w:pPr>
            <w:r>
              <w:rPr>
                <w:sz w:val="19"/>
                <w:szCs w:val="19"/>
              </w:rPr>
              <w:t xml:space="preserve">Capital político do Executivo</w:t>
            </w:r>
          </w:p>
        </w:tc>
      </w:tr>
      <w:tr>
        <w:tc>
          <w:tcPr>
            <w:tcW w:w="1189" w:type="dxa"/>
            <w:vAlign w:val="top"/>
          </w:tcPr>
          <w:p>
            <w:pPr>
              <w:pStyle w:val="Cell"/>
            </w:pPr>
            <w:r>
              <w:rPr>
                <w:sz w:val="19"/>
                <w:szCs w:val="19"/>
              </w:rPr>
              <w:t xml:space="preserve">D3</w:t>
            </w:r>
          </w:p>
        </w:tc>
        <w:tc>
          <w:tcPr>
            <w:tcW w:w="4482" w:type="dxa"/>
            <w:vAlign w:val="top"/>
          </w:tcPr>
          <w:p>
            <w:pPr>
              <w:pStyle w:val="Cell"/>
            </w:pPr>
            <w:r>
              <w:rPr>
                <w:sz w:val="19"/>
                <w:szCs w:val="19"/>
              </w:rPr>
              <w:t xml:space="preserve">Lei, emenda constitucional ou tratado</w:t>
            </w:r>
          </w:p>
        </w:tc>
        <w:tc>
          <w:tcPr>
            <w:tcW w:w="3399" w:type="dxa"/>
            <w:vAlign w:val="top"/>
          </w:tcPr>
          <w:p>
            <w:pPr>
              <w:pStyle w:val="Cell"/>
            </w:pPr>
            <w:r>
              <w:rPr>
                <w:sz w:val="19"/>
                <w:szCs w:val="19"/>
              </w:rPr>
              <w:t xml:space="preserve">Congresso Nacional ou outros países</w:t>
            </w:r>
          </w:p>
        </w:tc>
      </w:tr>
    </w:tbl>
    <w:p>
      <w:pPr>
        <w:pStyle w:val="Tight"/>
      </w:pPr>
    </w:p>
    <w:p>
      <w:r>
        <w:t xml:space="preserve">Foram priorizadas recomendações D1 e D2. Quando a própria transcrição propõe algo D3, a proposta aparece em "Não recomendaria agora", com o motivo e o degrau intermediário disponível (ver também o Anexo C).</w:t>
      </w:r>
    </w:p>
    <w:p>
      <w:pPr>
        <w:pStyle w:val="Heading1"/>
      </w:pPr>
      <w:r>
        <w:t xml:space="preserve">Quadro-síntese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1170"/>
        <w:gridCol w:w="4683"/>
        <w:gridCol w:w="2223"/>
        <w:gridCol w:w="994"/>
      </w:tblGrid>
      <w:tr>
        <w:trPr>
          <w:tblHeader/>
        </w:trPr>
        <w:tc>
          <w:tcPr>
            <w:tcW w:w="1170" w:type="dxa"/>
            <w:shd w:val="clear" w:color="auto" w:fill="F2F6FA"/>
            <w:vAlign w:val="top"/>
          </w:tcPr>
          <w:p>
            <w:pPr>
              <w:pStyle w:val="Cell"/>
            </w:pPr>
            <w:r>
              <w:rPr>
                <w:b/>
                <w:sz w:val="19"/>
                <w:szCs w:val="19"/>
              </w:rPr>
              <w:t xml:space="preserve">Código</w:t>
            </w:r>
          </w:p>
        </w:tc>
        <w:tc>
          <w:tcPr>
            <w:tcW w:w="4683" w:type="dxa"/>
            <w:shd w:val="clear" w:color="auto" w:fill="F2F6FA"/>
            <w:vAlign w:val="top"/>
          </w:tcPr>
          <w:p>
            <w:pPr>
              <w:pStyle w:val="Cell"/>
            </w:pPr>
            <w:r>
              <w:rPr>
                <w:b/>
                <w:sz w:val="19"/>
                <w:szCs w:val="19"/>
              </w:rPr>
              <w:t xml:space="preserve">Lacuna</w:t>
            </w:r>
          </w:p>
        </w:tc>
        <w:tc>
          <w:tcPr>
            <w:tcW w:w="2223" w:type="dxa"/>
            <w:shd w:val="clear" w:color="auto" w:fill="F2F6FA"/>
            <w:vAlign w:val="top"/>
          </w:tcPr>
          <w:p>
            <w:pPr>
              <w:pStyle w:val="Cell"/>
            </w:pPr>
            <w:r>
              <w:rPr>
                <w:b/>
                <w:sz w:val="19"/>
                <w:szCs w:val="19"/>
              </w:rPr>
              <w:t xml:space="preserve">Fontes</w:t>
            </w:r>
          </w:p>
        </w:tc>
        <w:tc>
          <w:tcPr>
            <w:tcW w:w="994" w:type="dxa"/>
            <w:shd w:val="clear" w:color="auto" w:fill="F2F6FA"/>
            <w:vAlign w:val="top"/>
          </w:tcPr>
          <w:p>
            <w:pPr>
              <w:pStyle w:val="Cell"/>
            </w:pPr>
            <w:r>
              <w:rPr>
                <w:b/>
                <w:sz w:val="19"/>
                <w:szCs w:val="19"/>
              </w:rPr>
              <w:t xml:space="preserve">Nº</w:t>
            </w:r>
          </w:p>
        </w:tc>
      </w:tr>
      <w:tr>
        <w:tc>
          <w:tcPr>
            <w:tcW w:w="1170" w:type="dxa"/>
            <w:vAlign w:val="top"/>
          </w:tcPr>
          <w:p>
            <w:pPr>
              <w:pStyle w:val="Cell"/>
            </w:pPr>
            <w:r>
              <w:rPr>
                <w:sz w:val="19"/>
                <w:szCs w:val="19"/>
              </w:rPr>
              <w:t xml:space="preserve">A1</w:t>
            </w:r>
          </w:p>
        </w:tc>
        <w:tc>
          <w:tcPr>
            <w:tcW w:w="4683" w:type="dxa"/>
            <w:vAlign w:val="top"/>
          </w:tcPr>
          <w:p>
            <w:pPr>
              <w:pStyle w:val="Cell"/>
            </w:pPr>
            <w:r>
              <w:rPr>
                <w:sz w:val="19"/>
                <w:szCs w:val="19"/>
              </w:rPr>
              <w:t xml:space="preserve">Operações grandes e curtas não mudam o território</w:t>
            </w:r>
          </w:p>
        </w:tc>
        <w:tc>
          <w:tcPr>
            <w:tcW w:w="2223" w:type="dxa"/>
            <w:vAlign w:val="top"/>
          </w:tcPr>
          <w:p>
            <w:pPr>
              <w:pStyle w:val="Cell"/>
            </w:pPr>
            <w:r>
              <w:rPr>
                <w:sz w:val="19"/>
                <w:szCs w:val="19"/>
              </w:rPr>
              <w:t xml:space="preserve">W1, W3, WN, WR, SI, FM, VL</w:t>
            </w:r>
          </w:p>
        </w:tc>
        <w:tc>
          <w:tcPr>
            <w:tcW w:w="994" w:type="dxa"/>
            <w:vAlign w:val="top"/>
          </w:tcPr>
          <w:p>
            <w:pPr>
              <w:pStyle w:val="Cell"/>
            </w:pPr>
            <w:r>
              <w:rPr>
                <w:sz w:val="19"/>
                <w:szCs w:val="19"/>
              </w:rPr>
              <w:t xml:space="preserve">7</w:t>
            </w:r>
          </w:p>
        </w:tc>
      </w:tr>
      <w:tr>
        <w:tc>
          <w:tcPr>
            <w:tcW w:w="1170" w:type="dxa"/>
            <w:vAlign w:val="top"/>
          </w:tcPr>
          <w:p>
            <w:pPr>
              <w:pStyle w:val="Cell"/>
            </w:pPr>
            <w:r>
              <w:rPr>
                <w:sz w:val="19"/>
                <w:szCs w:val="19"/>
              </w:rPr>
              <w:t xml:space="preserve">A2</w:t>
            </w:r>
          </w:p>
        </w:tc>
        <w:tc>
          <w:tcPr>
            <w:tcW w:w="4683" w:type="dxa"/>
            <w:vAlign w:val="top"/>
          </w:tcPr>
          <w:p>
            <w:pPr>
              <w:pStyle w:val="Cell"/>
            </w:pPr>
            <w:r>
              <w:rPr>
                <w:sz w:val="19"/>
                <w:szCs w:val="19"/>
              </w:rPr>
              <w:t xml:space="preserve">Capacidade civil desproporcional ao território</w:t>
            </w:r>
          </w:p>
        </w:tc>
        <w:tc>
          <w:tcPr>
            <w:tcW w:w="2223" w:type="dxa"/>
            <w:vAlign w:val="top"/>
          </w:tcPr>
          <w:p>
            <w:pPr>
              <w:pStyle w:val="Cell"/>
            </w:pPr>
            <w:r>
              <w:rPr>
                <w:sz w:val="19"/>
                <w:szCs w:val="19"/>
              </w:rPr>
              <w:t xml:space="preserve">W1, WN, WR, FM, SI</w:t>
            </w:r>
          </w:p>
        </w:tc>
        <w:tc>
          <w:tcPr>
            <w:tcW w:w="994" w:type="dxa"/>
            <w:vAlign w:val="top"/>
          </w:tcPr>
          <w:p>
            <w:pPr>
              <w:pStyle w:val="Cell"/>
            </w:pPr>
            <w:r>
              <w:rPr>
                <w:sz w:val="19"/>
                <w:szCs w:val="19"/>
              </w:rPr>
              <w:t xml:space="preserve">5</w:t>
            </w:r>
          </w:p>
        </w:tc>
      </w:tr>
      <w:tr>
        <w:tc>
          <w:tcPr>
            <w:tcW w:w="1170" w:type="dxa"/>
            <w:vAlign w:val="top"/>
          </w:tcPr>
          <w:p>
            <w:pPr>
              <w:pStyle w:val="Cell"/>
            </w:pPr>
            <w:r>
              <w:rPr>
                <w:sz w:val="19"/>
                <w:szCs w:val="19"/>
              </w:rPr>
              <w:t xml:space="preserve">A3</w:t>
            </w:r>
          </w:p>
        </w:tc>
        <w:tc>
          <w:tcPr>
            <w:tcW w:w="4683" w:type="dxa"/>
            <w:vAlign w:val="top"/>
          </w:tcPr>
          <w:p>
            <w:pPr>
              <w:pStyle w:val="Cell"/>
            </w:pPr>
            <w:r>
              <w:rPr>
                <w:sz w:val="19"/>
                <w:szCs w:val="19"/>
              </w:rPr>
              <w:t xml:space="preserve">Servidor civil exposto em campo</w:t>
            </w:r>
          </w:p>
        </w:tc>
        <w:tc>
          <w:tcPr>
            <w:tcW w:w="2223" w:type="dxa"/>
            <w:vAlign w:val="top"/>
          </w:tcPr>
          <w:p>
            <w:pPr>
              <w:pStyle w:val="Cell"/>
            </w:pPr>
            <w:r>
              <w:rPr>
                <w:sz w:val="19"/>
                <w:szCs w:val="19"/>
              </w:rPr>
              <w:t xml:space="preserve">W3, WN, WR, FM</w:t>
            </w:r>
          </w:p>
        </w:tc>
        <w:tc>
          <w:tcPr>
            <w:tcW w:w="994" w:type="dxa"/>
            <w:vAlign w:val="top"/>
          </w:tcPr>
          <w:p>
            <w:pPr>
              <w:pStyle w:val="Cell"/>
            </w:pPr>
            <w:r>
              <w:rPr>
                <w:sz w:val="19"/>
                <w:szCs w:val="19"/>
              </w:rPr>
              <w:t xml:space="preserve">4</w:t>
            </w:r>
          </w:p>
        </w:tc>
      </w:tr>
      <w:tr>
        <w:tc>
          <w:tcPr>
            <w:tcW w:w="1170" w:type="dxa"/>
            <w:vAlign w:val="top"/>
          </w:tcPr>
          <w:p>
            <w:pPr>
              <w:pStyle w:val="Cell"/>
            </w:pPr>
            <w:r>
              <w:rPr>
                <w:sz w:val="19"/>
                <w:szCs w:val="19"/>
              </w:rPr>
              <w:t xml:space="preserve">A4</w:t>
            </w:r>
          </w:p>
        </w:tc>
        <w:tc>
          <w:tcPr>
            <w:tcW w:w="4683" w:type="dxa"/>
            <w:vAlign w:val="top"/>
          </w:tcPr>
          <w:p>
            <w:pPr>
              <w:pStyle w:val="Cell"/>
            </w:pPr>
            <w:r>
              <w:rPr>
                <w:sz w:val="19"/>
                <w:szCs w:val="19"/>
              </w:rPr>
              <w:t xml:space="preserve">A ponta local é o elo mais exposto à captura</w:t>
            </w:r>
          </w:p>
        </w:tc>
        <w:tc>
          <w:tcPr>
            <w:tcW w:w="2223" w:type="dxa"/>
            <w:vAlign w:val="top"/>
          </w:tcPr>
          <w:p>
            <w:pPr>
              <w:pStyle w:val="Cell"/>
            </w:pPr>
            <w:r>
              <w:rPr>
                <w:sz w:val="19"/>
                <w:szCs w:val="19"/>
              </w:rPr>
              <w:t xml:space="preserve">W1, W2, WN, FM</w:t>
            </w:r>
          </w:p>
        </w:tc>
        <w:tc>
          <w:tcPr>
            <w:tcW w:w="994" w:type="dxa"/>
            <w:vAlign w:val="top"/>
          </w:tcPr>
          <w:p>
            <w:pPr>
              <w:pStyle w:val="Cell"/>
            </w:pPr>
            <w:r>
              <w:rPr>
                <w:sz w:val="19"/>
                <w:szCs w:val="19"/>
              </w:rPr>
              <w:t xml:space="preserve">4</w:t>
            </w:r>
          </w:p>
        </w:tc>
      </w:tr>
      <w:tr>
        <w:tc>
          <w:tcPr>
            <w:tcW w:w="1170" w:type="dxa"/>
            <w:vAlign w:val="top"/>
          </w:tcPr>
          <w:p>
            <w:pPr>
              <w:pStyle w:val="Cell"/>
            </w:pPr>
            <w:r>
              <w:rPr>
                <w:sz w:val="19"/>
                <w:szCs w:val="19"/>
              </w:rPr>
              <w:t xml:space="preserve">B1</w:t>
            </w:r>
          </w:p>
        </w:tc>
        <w:tc>
          <w:tcPr>
            <w:tcW w:w="4683" w:type="dxa"/>
            <w:vAlign w:val="top"/>
          </w:tcPr>
          <w:p>
            <w:pPr>
              <w:pStyle w:val="Cell"/>
            </w:pPr>
            <w:r>
              <w:rPr>
                <w:sz w:val="19"/>
                <w:szCs w:val="19"/>
              </w:rPr>
              <w:t xml:space="preserve">Coordenação depende de pessoas; falta instância com ascendência no território</w:t>
            </w:r>
          </w:p>
        </w:tc>
        <w:tc>
          <w:tcPr>
            <w:tcW w:w="2223" w:type="dxa"/>
            <w:vAlign w:val="top"/>
          </w:tcPr>
          <w:p>
            <w:pPr>
              <w:pStyle w:val="Cell"/>
            </w:pPr>
            <w:r>
              <w:rPr>
                <w:sz w:val="19"/>
                <w:szCs w:val="19"/>
              </w:rPr>
              <w:t xml:space="preserve">W1, W2, W3, WN, WR, SI, FM, VL</w:t>
            </w:r>
          </w:p>
        </w:tc>
        <w:tc>
          <w:tcPr>
            <w:tcW w:w="994" w:type="dxa"/>
            <w:vAlign w:val="top"/>
          </w:tcPr>
          <w:p>
            <w:pPr>
              <w:pStyle w:val="Cell"/>
            </w:pPr>
            <w:r>
              <w:rPr>
                <w:sz w:val="19"/>
                <w:szCs w:val="19"/>
              </w:rPr>
              <w:t xml:space="preserve">8</w:t>
            </w:r>
          </w:p>
        </w:tc>
      </w:tr>
      <w:tr>
        <w:tc>
          <w:tcPr>
            <w:tcW w:w="1170" w:type="dxa"/>
            <w:vAlign w:val="top"/>
          </w:tcPr>
          <w:p>
            <w:pPr>
              <w:pStyle w:val="Cell"/>
            </w:pPr>
            <w:r>
              <w:rPr>
                <w:sz w:val="19"/>
                <w:szCs w:val="19"/>
              </w:rPr>
              <w:t xml:space="preserve">B2</w:t>
            </w:r>
          </w:p>
        </w:tc>
        <w:tc>
          <w:tcPr>
            <w:tcW w:w="4683" w:type="dxa"/>
            <w:vAlign w:val="top"/>
          </w:tcPr>
          <w:p>
            <w:pPr>
              <w:pStyle w:val="Cell"/>
            </w:pPr>
            <w:r>
              <w:rPr>
                <w:sz w:val="19"/>
                <w:szCs w:val="19"/>
              </w:rPr>
              <w:t xml:space="preserve">Dados e inteligência circulam por relação pessoal; o receptor não tem amparo de sigilo</w:t>
            </w:r>
          </w:p>
        </w:tc>
        <w:tc>
          <w:tcPr>
            <w:tcW w:w="2223" w:type="dxa"/>
            <w:vAlign w:val="top"/>
          </w:tcPr>
          <w:p>
            <w:pPr>
              <w:pStyle w:val="Cell"/>
            </w:pPr>
            <w:r>
              <w:rPr>
                <w:sz w:val="19"/>
                <w:szCs w:val="19"/>
              </w:rPr>
              <w:t xml:space="preserve">W1, WN, WR, SI, FM, VL, W2</w:t>
            </w:r>
          </w:p>
        </w:tc>
        <w:tc>
          <w:tcPr>
            <w:tcW w:w="994" w:type="dxa"/>
            <w:vAlign w:val="top"/>
          </w:tcPr>
          <w:p>
            <w:pPr>
              <w:pStyle w:val="Cell"/>
            </w:pPr>
            <w:r>
              <w:rPr>
                <w:sz w:val="19"/>
                <w:szCs w:val="19"/>
              </w:rPr>
              <w:t xml:space="preserve">7</w:t>
            </w:r>
          </w:p>
        </w:tc>
      </w:tr>
      <w:tr>
        <w:tc>
          <w:tcPr>
            <w:tcW w:w="1170" w:type="dxa"/>
            <w:vAlign w:val="top"/>
          </w:tcPr>
          <w:p>
            <w:pPr>
              <w:pStyle w:val="Cell"/>
            </w:pPr>
            <w:r>
              <w:rPr>
                <w:sz w:val="19"/>
                <w:szCs w:val="19"/>
              </w:rPr>
              <w:t xml:space="preserve">B3</w:t>
            </w:r>
          </w:p>
        </w:tc>
        <w:tc>
          <w:tcPr>
            <w:tcW w:w="4683" w:type="dxa"/>
            <w:vAlign w:val="top"/>
          </w:tcPr>
          <w:p>
            <w:pPr>
              <w:pStyle w:val="Cell"/>
            </w:pPr>
            <w:r>
              <w:rPr>
                <w:sz w:val="19"/>
                <w:szCs w:val="19"/>
              </w:rPr>
              <w:t xml:space="preserve">Orçamento fragmentado e disputa pelo crédito do resultado</w:t>
            </w:r>
          </w:p>
        </w:tc>
        <w:tc>
          <w:tcPr>
            <w:tcW w:w="2223" w:type="dxa"/>
            <w:vAlign w:val="top"/>
          </w:tcPr>
          <w:p>
            <w:pPr>
              <w:pStyle w:val="Cell"/>
            </w:pPr>
            <w:r>
              <w:rPr>
                <w:sz w:val="19"/>
                <w:szCs w:val="19"/>
              </w:rPr>
              <w:t xml:space="preserve">W2, WN, WR, FM, SI</w:t>
            </w:r>
          </w:p>
        </w:tc>
        <w:tc>
          <w:tcPr>
            <w:tcW w:w="994" w:type="dxa"/>
            <w:vAlign w:val="top"/>
          </w:tcPr>
          <w:p>
            <w:pPr>
              <w:pStyle w:val="Cell"/>
            </w:pPr>
            <w:r>
              <w:rPr>
                <w:sz w:val="19"/>
                <w:szCs w:val="19"/>
              </w:rPr>
              <w:t xml:space="preserve">5</w:t>
            </w:r>
          </w:p>
        </w:tc>
      </w:tr>
      <w:tr>
        <w:tc>
          <w:tcPr>
            <w:tcW w:w="1170" w:type="dxa"/>
            <w:vAlign w:val="top"/>
          </w:tcPr>
          <w:p>
            <w:pPr>
              <w:pStyle w:val="Cell"/>
            </w:pPr>
            <w:r>
              <w:rPr>
                <w:sz w:val="19"/>
                <w:szCs w:val="19"/>
              </w:rPr>
              <w:t xml:space="preserve">B4</w:t>
            </w:r>
          </w:p>
        </w:tc>
        <w:tc>
          <w:tcPr>
            <w:tcW w:w="4683" w:type="dxa"/>
            <w:vAlign w:val="top"/>
          </w:tcPr>
          <w:p>
            <w:pPr>
              <w:pStyle w:val="Cell"/>
            </w:pPr>
            <w:r>
              <w:rPr>
                <w:sz w:val="19"/>
                <w:szCs w:val="19"/>
              </w:rPr>
              <w:t xml:space="preserve">Competência comum sem divisão de trabalho</w:t>
            </w:r>
          </w:p>
        </w:tc>
        <w:tc>
          <w:tcPr>
            <w:tcW w:w="2223" w:type="dxa"/>
            <w:vAlign w:val="top"/>
          </w:tcPr>
          <w:p>
            <w:pPr>
              <w:pStyle w:val="Cell"/>
            </w:pPr>
            <w:r>
              <w:rPr>
                <w:sz w:val="19"/>
                <w:szCs w:val="19"/>
              </w:rPr>
              <w:t xml:space="preserve">W1, W3, WN, WR, FM</w:t>
            </w:r>
          </w:p>
        </w:tc>
        <w:tc>
          <w:tcPr>
            <w:tcW w:w="994" w:type="dxa"/>
            <w:vAlign w:val="top"/>
          </w:tcPr>
          <w:p>
            <w:pPr>
              <w:pStyle w:val="Cell"/>
            </w:pPr>
            <w:r>
              <w:rPr>
                <w:sz w:val="19"/>
                <w:szCs w:val="19"/>
              </w:rPr>
              <w:t xml:space="preserve">5</w:t>
            </w:r>
          </w:p>
        </w:tc>
      </w:tr>
      <w:tr>
        <w:tc>
          <w:tcPr>
            <w:tcW w:w="1170" w:type="dxa"/>
            <w:vAlign w:val="top"/>
          </w:tcPr>
          <w:p>
            <w:pPr>
              <w:pStyle w:val="Cell"/>
            </w:pPr>
            <w:r>
              <w:rPr>
                <w:sz w:val="19"/>
                <w:szCs w:val="19"/>
              </w:rPr>
              <w:t xml:space="preserve">C1</w:t>
            </w:r>
          </w:p>
        </w:tc>
        <w:tc>
          <w:tcPr>
            <w:tcW w:w="4683" w:type="dxa"/>
            <w:vAlign w:val="top"/>
          </w:tcPr>
          <w:p>
            <w:pPr>
              <w:pStyle w:val="Cell"/>
            </w:pPr>
            <w:r>
              <w:rPr>
                <w:sz w:val="19"/>
                <w:szCs w:val="19"/>
              </w:rPr>
              <w:t xml:space="preserve">A repressão atinge o primeiro elo; o financiador fica fora do alcance</w:t>
            </w:r>
          </w:p>
        </w:tc>
        <w:tc>
          <w:tcPr>
            <w:tcW w:w="2223" w:type="dxa"/>
            <w:vAlign w:val="top"/>
          </w:tcPr>
          <w:p>
            <w:pPr>
              <w:pStyle w:val="Cell"/>
            </w:pPr>
            <w:r>
              <w:rPr>
                <w:sz w:val="19"/>
                <w:szCs w:val="19"/>
              </w:rPr>
              <w:t xml:space="preserve">W1, W3, WN, WR, FM, SI</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C2</w:t>
            </w:r>
          </w:p>
        </w:tc>
        <w:tc>
          <w:tcPr>
            <w:tcW w:w="4683" w:type="dxa"/>
            <w:vAlign w:val="top"/>
          </w:tcPr>
          <w:p>
            <w:pPr>
              <w:pStyle w:val="Cell"/>
            </w:pPr>
            <w:r>
              <w:rPr>
                <w:sz w:val="19"/>
                <w:szCs w:val="19"/>
              </w:rPr>
              <w:t xml:space="preserve">O ouro ilegal ainda entra no mercado formal</w:t>
            </w:r>
          </w:p>
        </w:tc>
        <w:tc>
          <w:tcPr>
            <w:tcW w:w="2223" w:type="dxa"/>
            <w:vAlign w:val="top"/>
          </w:tcPr>
          <w:p>
            <w:pPr>
              <w:pStyle w:val="Cell"/>
            </w:pPr>
            <w:r>
              <w:rPr>
                <w:sz w:val="19"/>
                <w:szCs w:val="19"/>
              </w:rPr>
              <w:t xml:space="preserve">W1, W3, WN, WR, SI, W2</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C3</w:t>
            </w:r>
          </w:p>
        </w:tc>
        <w:tc>
          <w:tcPr>
            <w:tcW w:w="4683" w:type="dxa"/>
            <w:vAlign w:val="top"/>
          </w:tcPr>
          <w:p>
            <w:pPr>
              <w:pStyle w:val="Cell"/>
            </w:pPr>
            <w:r>
              <w:rPr>
                <w:sz w:val="19"/>
                <w:szCs w:val="19"/>
              </w:rPr>
              <w:t xml:space="preserve">Insumos do garimpo controláveis por reguladores, mas com controle episódico</w:t>
            </w:r>
          </w:p>
        </w:tc>
        <w:tc>
          <w:tcPr>
            <w:tcW w:w="2223" w:type="dxa"/>
            <w:vAlign w:val="top"/>
          </w:tcPr>
          <w:p>
            <w:pPr>
              <w:pStyle w:val="Cell"/>
            </w:pPr>
            <w:r>
              <w:rPr>
                <w:sz w:val="19"/>
                <w:szCs w:val="19"/>
              </w:rPr>
              <w:t xml:space="preserve">W1, W3, WN, WR, SI, W2</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C4</w:t>
            </w:r>
          </w:p>
        </w:tc>
        <w:tc>
          <w:tcPr>
            <w:tcW w:w="4683" w:type="dxa"/>
            <w:vAlign w:val="top"/>
          </w:tcPr>
          <w:p>
            <w:pPr>
              <w:pStyle w:val="Cell"/>
            </w:pPr>
            <w:r>
              <w:rPr>
                <w:sz w:val="19"/>
                <w:szCs w:val="19"/>
              </w:rPr>
              <w:t xml:space="preserve">Terra pública não destinada como ativo do crime; CAR como título</w:t>
            </w:r>
          </w:p>
        </w:tc>
        <w:tc>
          <w:tcPr>
            <w:tcW w:w="2223" w:type="dxa"/>
            <w:vAlign w:val="top"/>
          </w:tcPr>
          <w:p>
            <w:pPr>
              <w:pStyle w:val="Cell"/>
            </w:pPr>
            <w:r>
              <w:rPr>
                <w:sz w:val="19"/>
                <w:szCs w:val="19"/>
              </w:rPr>
              <w:t xml:space="preserve">W1, W3, WN, WR, VL, SI, FM</w:t>
            </w:r>
          </w:p>
        </w:tc>
        <w:tc>
          <w:tcPr>
            <w:tcW w:w="994" w:type="dxa"/>
            <w:vAlign w:val="top"/>
          </w:tcPr>
          <w:p>
            <w:pPr>
              <w:pStyle w:val="Cell"/>
            </w:pPr>
            <w:r>
              <w:rPr>
                <w:sz w:val="19"/>
                <w:szCs w:val="19"/>
              </w:rPr>
              <w:t xml:space="preserve">7</w:t>
            </w:r>
          </w:p>
        </w:tc>
      </w:tr>
      <w:tr>
        <w:tc>
          <w:tcPr>
            <w:tcW w:w="1170" w:type="dxa"/>
            <w:vAlign w:val="top"/>
          </w:tcPr>
          <w:p>
            <w:pPr>
              <w:pStyle w:val="Cell"/>
            </w:pPr>
            <w:r>
              <w:rPr>
                <w:sz w:val="19"/>
                <w:szCs w:val="19"/>
              </w:rPr>
              <w:t xml:space="preserve">C5</w:t>
            </w:r>
          </w:p>
        </w:tc>
        <w:tc>
          <w:tcPr>
            <w:tcW w:w="4683" w:type="dxa"/>
            <w:vAlign w:val="top"/>
          </w:tcPr>
          <w:p>
            <w:pPr>
              <w:pStyle w:val="Cell"/>
            </w:pPr>
            <w:r>
              <w:rPr>
                <w:sz w:val="19"/>
                <w:szCs w:val="19"/>
              </w:rPr>
              <w:t xml:space="preserve">Gado, madeira e pescado: o ilícito dentro do lícito</w:t>
            </w:r>
          </w:p>
        </w:tc>
        <w:tc>
          <w:tcPr>
            <w:tcW w:w="2223" w:type="dxa"/>
            <w:vAlign w:val="top"/>
          </w:tcPr>
          <w:p>
            <w:pPr>
              <w:pStyle w:val="Cell"/>
            </w:pPr>
            <w:r>
              <w:rPr>
                <w:sz w:val="19"/>
                <w:szCs w:val="19"/>
              </w:rPr>
              <w:t xml:space="preserve">W1, WN, WR, SI, VL</w:t>
            </w:r>
          </w:p>
        </w:tc>
        <w:tc>
          <w:tcPr>
            <w:tcW w:w="994" w:type="dxa"/>
            <w:vAlign w:val="top"/>
          </w:tcPr>
          <w:p>
            <w:pPr>
              <w:pStyle w:val="Cell"/>
            </w:pPr>
            <w:r>
              <w:rPr>
                <w:sz w:val="19"/>
                <w:szCs w:val="19"/>
              </w:rPr>
              <w:t xml:space="preserve">5</w:t>
            </w:r>
          </w:p>
        </w:tc>
      </w:tr>
      <w:tr>
        <w:tc>
          <w:tcPr>
            <w:tcW w:w="1170" w:type="dxa"/>
            <w:vAlign w:val="top"/>
          </w:tcPr>
          <w:p>
            <w:pPr>
              <w:pStyle w:val="Cell"/>
            </w:pPr>
            <w:r>
              <w:rPr>
                <w:sz w:val="19"/>
                <w:szCs w:val="19"/>
              </w:rPr>
              <w:t xml:space="preserve">C6</w:t>
            </w:r>
          </w:p>
        </w:tc>
        <w:tc>
          <w:tcPr>
            <w:tcW w:w="4683" w:type="dxa"/>
            <w:vAlign w:val="top"/>
          </w:tcPr>
          <w:p>
            <w:pPr>
              <w:pStyle w:val="Cell"/>
            </w:pPr>
            <w:r>
              <w:rPr>
                <w:sz w:val="19"/>
                <w:szCs w:val="19"/>
              </w:rPr>
              <w:t xml:space="preserve">Biopirataria e fauna fora do radar da fronteira</w:t>
            </w:r>
          </w:p>
        </w:tc>
        <w:tc>
          <w:tcPr>
            <w:tcW w:w="2223" w:type="dxa"/>
            <w:vAlign w:val="top"/>
          </w:tcPr>
          <w:p>
            <w:pPr>
              <w:pStyle w:val="Cell"/>
            </w:pPr>
            <w:r>
              <w:rPr>
                <w:sz w:val="19"/>
                <w:szCs w:val="19"/>
              </w:rPr>
              <w:t xml:space="preserve">WN, WR, SI</w:t>
            </w:r>
          </w:p>
        </w:tc>
        <w:tc>
          <w:tcPr>
            <w:tcW w:w="994" w:type="dxa"/>
            <w:vAlign w:val="top"/>
          </w:tcPr>
          <w:p>
            <w:pPr>
              <w:pStyle w:val="Cell"/>
            </w:pPr>
            <w:r>
              <w:rPr>
                <w:sz w:val="19"/>
                <w:szCs w:val="19"/>
              </w:rPr>
              <w:t xml:space="preserve">3</w:t>
            </w:r>
          </w:p>
        </w:tc>
      </w:tr>
      <w:tr>
        <w:tc>
          <w:tcPr>
            <w:tcW w:w="1170" w:type="dxa"/>
            <w:vAlign w:val="top"/>
          </w:tcPr>
          <w:p>
            <w:pPr>
              <w:pStyle w:val="Cell"/>
            </w:pPr>
            <w:r>
              <w:rPr>
                <w:sz w:val="19"/>
                <w:szCs w:val="19"/>
              </w:rPr>
              <w:t xml:space="preserve">D1</w:t>
            </w:r>
          </w:p>
        </w:tc>
        <w:tc>
          <w:tcPr>
            <w:tcW w:w="4683" w:type="dxa"/>
            <w:vAlign w:val="top"/>
          </w:tcPr>
          <w:p>
            <w:pPr>
              <w:pStyle w:val="Cell"/>
            </w:pPr>
            <w:r>
              <w:rPr>
                <w:sz w:val="19"/>
                <w:szCs w:val="19"/>
              </w:rPr>
              <w:t xml:space="preserve">Pena baixa, prova frágil, processo longo, bens devolvidos</w:t>
            </w:r>
          </w:p>
        </w:tc>
        <w:tc>
          <w:tcPr>
            <w:tcW w:w="2223" w:type="dxa"/>
            <w:vAlign w:val="top"/>
          </w:tcPr>
          <w:p>
            <w:pPr>
              <w:pStyle w:val="Cell"/>
            </w:pPr>
            <w:r>
              <w:rPr>
                <w:sz w:val="19"/>
                <w:szCs w:val="19"/>
              </w:rPr>
              <w:t xml:space="preserve">W1, W3, WN, WR, VL, SI</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E1</w:t>
            </w:r>
          </w:p>
        </w:tc>
        <w:tc>
          <w:tcPr>
            <w:tcW w:w="4683" w:type="dxa"/>
            <w:vAlign w:val="top"/>
          </w:tcPr>
          <w:p>
            <w:pPr>
              <w:pStyle w:val="Cell"/>
            </w:pPr>
            <w:r>
              <w:rPr>
                <w:sz w:val="19"/>
                <w:szCs w:val="19"/>
              </w:rPr>
              <w:t xml:space="preserve">Sem economia lícita competitiva, a repressão produz retorno ao ilícito</w:t>
            </w:r>
          </w:p>
        </w:tc>
        <w:tc>
          <w:tcPr>
            <w:tcW w:w="2223" w:type="dxa"/>
            <w:vAlign w:val="top"/>
          </w:tcPr>
          <w:p>
            <w:pPr>
              <w:pStyle w:val="Cell"/>
            </w:pPr>
            <w:r>
              <w:rPr>
                <w:sz w:val="19"/>
                <w:szCs w:val="19"/>
              </w:rPr>
              <w:t xml:space="preserve">todas</w:t>
            </w:r>
          </w:p>
        </w:tc>
        <w:tc>
          <w:tcPr>
            <w:tcW w:w="994" w:type="dxa"/>
            <w:vAlign w:val="top"/>
          </w:tcPr>
          <w:p>
            <w:pPr>
              <w:pStyle w:val="Cell"/>
            </w:pPr>
            <w:r>
              <w:rPr>
                <w:sz w:val="19"/>
                <w:szCs w:val="19"/>
              </w:rPr>
              <w:t xml:space="preserve">8</w:t>
            </w:r>
          </w:p>
        </w:tc>
      </w:tr>
      <w:tr>
        <w:tc>
          <w:tcPr>
            <w:tcW w:w="1170" w:type="dxa"/>
            <w:vAlign w:val="top"/>
          </w:tcPr>
          <w:p>
            <w:pPr>
              <w:pStyle w:val="Cell"/>
            </w:pPr>
            <w:r>
              <w:rPr>
                <w:sz w:val="19"/>
                <w:szCs w:val="19"/>
              </w:rPr>
              <w:t xml:space="preserve">E2</w:t>
            </w:r>
          </w:p>
        </w:tc>
        <w:tc>
          <w:tcPr>
            <w:tcW w:w="4683" w:type="dxa"/>
            <w:vAlign w:val="top"/>
          </w:tcPr>
          <w:p>
            <w:pPr>
              <w:pStyle w:val="Cell"/>
            </w:pPr>
            <w:r>
              <w:rPr>
                <w:sz w:val="19"/>
                <w:szCs w:val="19"/>
              </w:rPr>
              <w:t xml:space="preserve">Recrutamento e exploração de pessoas tratados como efeito colateral</w:t>
            </w:r>
          </w:p>
        </w:tc>
        <w:tc>
          <w:tcPr>
            <w:tcW w:w="2223" w:type="dxa"/>
            <w:vAlign w:val="top"/>
          </w:tcPr>
          <w:p>
            <w:pPr>
              <w:pStyle w:val="Cell"/>
            </w:pPr>
            <w:r>
              <w:rPr>
                <w:sz w:val="19"/>
                <w:szCs w:val="19"/>
              </w:rPr>
              <w:t xml:space="preserve">W1, W3, WN, WR, SI, FM</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E3</w:t>
            </w:r>
          </w:p>
        </w:tc>
        <w:tc>
          <w:tcPr>
            <w:tcW w:w="4683" w:type="dxa"/>
            <w:vAlign w:val="top"/>
          </w:tcPr>
          <w:p>
            <w:pPr>
              <w:pStyle w:val="Cell"/>
            </w:pPr>
            <w:r>
              <w:rPr>
                <w:sz w:val="19"/>
                <w:szCs w:val="19"/>
              </w:rPr>
              <w:t xml:space="preserve">Novas cadeias lícitas sem proteção contra captura</w:t>
            </w:r>
          </w:p>
        </w:tc>
        <w:tc>
          <w:tcPr>
            <w:tcW w:w="2223" w:type="dxa"/>
            <w:vAlign w:val="top"/>
          </w:tcPr>
          <w:p>
            <w:pPr>
              <w:pStyle w:val="Cell"/>
            </w:pPr>
            <w:r>
              <w:rPr>
                <w:sz w:val="19"/>
                <w:szCs w:val="19"/>
              </w:rPr>
              <w:t xml:space="preserve">W2, WN, WR</w:t>
            </w:r>
          </w:p>
        </w:tc>
        <w:tc>
          <w:tcPr>
            <w:tcW w:w="994" w:type="dxa"/>
            <w:vAlign w:val="top"/>
          </w:tcPr>
          <w:p>
            <w:pPr>
              <w:pStyle w:val="Cell"/>
            </w:pPr>
            <w:r>
              <w:rPr>
                <w:sz w:val="19"/>
                <w:szCs w:val="19"/>
              </w:rPr>
              <w:t xml:space="preserve">3</w:t>
            </w:r>
          </w:p>
        </w:tc>
      </w:tr>
      <w:tr>
        <w:tc>
          <w:tcPr>
            <w:tcW w:w="1170" w:type="dxa"/>
            <w:vAlign w:val="top"/>
          </w:tcPr>
          <w:p>
            <w:pPr>
              <w:pStyle w:val="Cell"/>
            </w:pPr>
            <w:r>
              <w:rPr>
                <w:sz w:val="19"/>
                <w:szCs w:val="19"/>
              </w:rPr>
              <w:t xml:space="preserve">E4</w:t>
            </w:r>
          </w:p>
        </w:tc>
        <w:tc>
          <w:tcPr>
            <w:tcW w:w="4683" w:type="dxa"/>
            <w:vAlign w:val="top"/>
          </w:tcPr>
          <w:p>
            <w:pPr>
              <w:pStyle w:val="Cell"/>
            </w:pPr>
            <w:r>
              <w:rPr>
                <w:sz w:val="19"/>
                <w:szCs w:val="19"/>
              </w:rPr>
              <w:t xml:space="preserve">Comunidades como objeto, não como parte da segurança</w:t>
            </w:r>
          </w:p>
        </w:tc>
        <w:tc>
          <w:tcPr>
            <w:tcW w:w="2223" w:type="dxa"/>
            <w:vAlign w:val="top"/>
          </w:tcPr>
          <w:p>
            <w:pPr>
              <w:pStyle w:val="Cell"/>
            </w:pPr>
            <w:r>
              <w:rPr>
                <w:sz w:val="19"/>
                <w:szCs w:val="19"/>
              </w:rPr>
              <w:t xml:space="preserve">W2, W3, WN, WR, FM, SI</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E5</w:t>
            </w:r>
          </w:p>
        </w:tc>
        <w:tc>
          <w:tcPr>
            <w:tcW w:w="4683" w:type="dxa"/>
            <w:vAlign w:val="top"/>
          </w:tcPr>
          <w:p>
            <w:pPr>
              <w:pStyle w:val="Cell"/>
            </w:pPr>
            <w:r>
              <w:rPr>
                <w:sz w:val="19"/>
                <w:szCs w:val="19"/>
              </w:rPr>
              <w:t xml:space="preserve">Grandes obras sem avaliação do risco de captura territorial</w:t>
            </w:r>
          </w:p>
        </w:tc>
        <w:tc>
          <w:tcPr>
            <w:tcW w:w="2223" w:type="dxa"/>
            <w:vAlign w:val="top"/>
          </w:tcPr>
          <w:p>
            <w:pPr>
              <w:pStyle w:val="Cell"/>
            </w:pPr>
            <w:r>
              <w:rPr>
                <w:sz w:val="19"/>
                <w:szCs w:val="19"/>
              </w:rPr>
              <w:t xml:space="preserve">W1, WR, VL</w:t>
            </w:r>
          </w:p>
        </w:tc>
        <w:tc>
          <w:tcPr>
            <w:tcW w:w="994" w:type="dxa"/>
            <w:vAlign w:val="top"/>
          </w:tcPr>
          <w:p>
            <w:pPr>
              <w:pStyle w:val="Cell"/>
            </w:pPr>
            <w:r>
              <w:rPr>
                <w:sz w:val="19"/>
                <w:szCs w:val="19"/>
              </w:rPr>
              <w:t xml:space="preserve">3</w:t>
            </w:r>
          </w:p>
        </w:tc>
      </w:tr>
      <w:tr>
        <w:tc>
          <w:tcPr>
            <w:tcW w:w="1170" w:type="dxa"/>
            <w:vAlign w:val="top"/>
          </w:tcPr>
          <w:p>
            <w:pPr>
              <w:pStyle w:val="Cell"/>
            </w:pPr>
            <w:r>
              <w:rPr>
                <w:sz w:val="19"/>
                <w:szCs w:val="19"/>
              </w:rPr>
              <w:t xml:space="preserve">F1</w:t>
            </w:r>
          </w:p>
        </w:tc>
        <w:tc>
          <w:tcPr>
            <w:tcW w:w="4683" w:type="dxa"/>
            <w:vAlign w:val="top"/>
          </w:tcPr>
          <w:p>
            <w:pPr>
              <w:pStyle w:val="Cell"/>
            </w:pPr>
            <w:r>
              <w:rPr>
                <w:sz w:val="19"/>
                <w:szCs w:val="19"/>
              </w:rPr>
              <w:t xml:space="preserve">Cooperação entre instituições equivalentes; problemas entre instituições diferentes</w:t>
            </w:r>
          </w:p>
        </w:tc>
        <w:tc>
          <w:tcPr>
            <w:tcW w:w="2223" w:type="dxa"/>
            <w:vAlign w:val="top"/>
          </w:tcPr>
          <w:p>
            <w:pPr>
              <w:pStyle w:val="Cell"/>
            </w:pPr>
            <w:r>
              <w:rPr>
                <w:sz w:val="19"/>
                <w:szCs w:val="19"/>
              </w:rPr>
              <w:t xml:space="preserve">W1, WR, SI, FM, W3</w:t>
            </w:r>
          </w:p>
        </w:tc>
        <w:tc>
          <w:tcPr>
            <w:tcW w:w="994" w:type="dxa"/>
            <w:vAlign w:val="top"/>
          </w:tcPr>
          <w:p>
            <w:pPr>
              <w:pStyle w:val="Cell"/>
            </w:pPr>
            <w:r>
              <w:rPr>
                <w:sz w:val="19"/>
                <w:szCs w:val="19"/>
              </w:rPr>
              <w:t xml:space="preserve">5</w:t>
            </w:r>
          </w:p>
        </w:tc>
      </w:tr>
      <w:tr>
        <w:tc>
          <w:tcPr>
            <w:tcW w:w="1170" w:type="dxa"/>
            <w:vAlign w:val="top"/>
          </w:tcPr>
          <w:p>
            <w:pPr>
              <w:pStyle w:val="Cell"/>
            </w:pPr>
            <w:r>
              <w:rPr>
                <w:sz w:val="19"/>
                <w:szCs w:val="19"/>
              </w:rPr>
              <w:t xml:space="preserve">F2</w:t>
            </w:r>
          </w:p>
        </w:tc>
        <w:tc>
          <w:tcPr>
            <w:tcW w:w="4683" w:type="dxa"/>
            <w:vAlign w:val="top"/>
          </w:tcPr>
          <w:p>
            <w:pPr>
              <w:pStyle w:val="Cell"/>
            </w:pPr>
            <w:r>
              <w:rPr>
                <w:sz w:val="19"/>
                <w:szCs w:val="19"/>
              </w:rPr>
              <w:t xml:space="preserve">Base jurídica da operação transfronteiriça incompleta</w:t>
            </w:r>
          </w:p>
        </w:tc>
        <w:tc>
          <w:tcPr>
            <w:tcW w:w="2223" w:type="dxa"/>
            <w:vAlign w:val="top"/>
          </w:tcPr>
          <w:p>
            <w:pPr>
              <w:pStyle w:val="Cell"/>
            </w:pPr>
            <w:r>
              <w:rPr>
                <w:sz w:val="19"/>
                <w:szCs w:val="19"/>
              </w:rPr>
              <w:t xml:space="preserve">W1, W3, WR, VL</w:t>
            </w:r>
          </w:p>
        </w:tc>
        <w:tc>
          <w:tcPr>
            <w:tcW w:w="994" w:type="dxa"/>
            <w:vAlign w:val="top"/>
          </w:tcPr>
          <w:p>
            <w:pPr>
              <w:pStyle w:val="Cell"/>
            </w:pPr>
            <w:r>
              <w:rPr>
                <w:sz w:val="19"/>
                <w:szCs w:val="19"/>
              </w:rPr>
              <w:t xml:space="preserve">4</w:t>
            </w:r>
          </w:p>
        </w:tc>
      </w:tr>
      <w:tr>
        <w:tc>
          <w:tcPr>
            <w:tcW w:w="1170" w:type="dxa"/>
            <w:vAlign w:val="top"/>
          </w:tcPr>
          <w:p>
            <w:pPr>
              <w:pStyle w:val="Cell"/>
            </w:pPr>
            <w:r>
              <w:rPr>
                <w:sz w:val="19"/>
                <w:szCs w:val="19"/>
              </w:rPr>
              <w:t xml:space="preserve">F3</w:t>
            </w:r>
          </w:p>
        </w:tc>
        <w:tc>
          <w:tcPr>
            <w:tcW w:w="4683" w:type="dxa"/>
            <w:vAlign w:val="top"/>
          </w:tcPr>
          <w:p>
            <w:pPr>
              <w:pStyle w:val="Cell"/>
            </w:pPr>
            <w:r>
              <w:rPr>
                <w:sz w:val="19"/>
                <w:szCs w:val="19"/>
              </w:rPr>
              <w:t xml:space="preserve">Mecanismos regionais dependentes de governos e de dinheiro com prazo</w:t>
            </w:r>
          </w:p>
        </w:tc>
        <w:tc>
          <w:tcPr>
            <w:tcW w:w="2223" w:type="dxa"/>
            <w:vAlign w:val="top"/>
          </w:tcPr>
          <w:p>
            <w:pPr>
              <w:pStyle w:val="Cell"/>
            </w:pPr>
            <w:r>
              <w:rPr>
                <w:sz w:val="19"/>
                <w:szCs w:val="19"/>
              </w:rPr>
              <w:t xml:space="preserve">W2, WR, SI, FM, W3, VL</w:t>
            </w:r>
          </w:p>
        </w:tc>
        <w:tc>
          <w:tcPr>
            <w:tcW w:w="994" w:type="dxa"/>
            <w:vAlign w:val="top"/>
          </w:tcPr>
          <w:p>
            <w:pPr>
              <w:pStyle w:val="Cell"/>
            </w:pPr>
            <w:r>
              <w:rPr>
                <w:sz w:val="19"/>
                <w:szCs w:val="19"/>
              </w:rPr>
              <w:t xml:space="preserve">6</w:t>
            </w:r>
          </w:p>
        </w:tc>
      </w:tr>
      <w:tr>
        <w:tc>
          <w:tcPr>
            <w:tcW w:w="1170" w:type="dxa"/>
            <w:vAlign w:val="top"/>
          </w:tcPr>
          <w:p>
            <w:pPr>
              <w:pStyle w:val="Cell"/>
            </w:pPr>
            <w:r>
              <w:rPr>
                <w:sz w:val="19"/>
                <w:szCs w:val="19"/>
              </w:rPr>
              <w:t xml:space="preserve">G1</w:t>
            </w:r>
          </w:p>
        </w:tc>
        <w:tc>
          <w:tcPr>
            <w:tcW w:w="4683" w:type="dxa"/>
            <w:vAlign w:val="top"/>
          </w:tcPr>
          <w:p>
            <w:pPr>
              <w:pStyle w:val="Cell"/>
            </w:pPr>
            <w:r>
              <w:rPr>
                <w:sz w:val="19"/>
                <w:szCs w:val="19"/>
              </w:rPr>
              <w:t xml:space="preserve">Faltam dados para saber o que funciona</w:t>
            </w:r>
          </w:p>
        </w:tc>
        <w:tc>
          <w:tcPr>
            <w:tcW w:w="2223" w:type="dxa"/>
            <w:vAlign w:val="top"/>
          </w:tcPr>
          <w:p>
            <w:pPr>
              <w:pStyle w:val="Cell"/>
            </w:pPr>
            <w:r>
              <w:rPr>
                <w:sz w:val="19"/>
                <w:szCs w:val="19"/>
              </w:rPr>
              <w:t xml:space="preserve">W1, W2, WN, WR, SI, FM, VL</w:t>
            </w:r>
          </w:p>
        </w:tc>
        <w:tc>
          <w:tcPr>
            <w:tcW w:w="994" w:type="dxa"/>
            <w:vAlign w:val="top"/>
          </w:tcPr>
          <w:p>
            <w:pPr>
              <w:pStyle w:val="Cell"/>
            </w:pPr>
            <w:r>
              <w:rPr>
                <w:sz w:val="19"/>
                <w:szCs w:val="19"/>
              </w:rPr>
              <w:t xml:space="preserve">7</w:t>
            </w:r>
          </w:p>
        </w:tc>
      </w:tr>
    </w:tbl>
    <w:p>
      <w:pPr>
        <w:pStyle w:val="Tight"/>
      </w:pPr>
    </w:p>
    <w:p>
      <w:pPr>
        <w:pStyle w:val="Heading1"/>
      </w:pPr>
      <w:r>
        <w:t xml:space="preserve">Bloco A — O Estado chega, mas não fica</w:t>
      </w:r>
    </w:p>
    <w:p>
      <w:pPr>
        <w:pStyle w:val="Heading2"/>
      </w:pPr>
      <w:r>
        <w:t xml:space="preserve">A1. Operações grandes e curtas não mudam o território</w:t>
      </w:r>
    </w:p>
    <w:p>
      <w:r>
        <w:rPr>
          <w:b/>
        </w:rPr>
        <w:t xml:space="preserve">Evidências</w:t>
      </w:r>
    </w:p>
    <w:p>
      <w:pPr>
        <w:pStyle w:val="Bullet"/>
      </w:pPr>
      <w:r>
        <w:t xml:space="preserve">• "O crime sabe que a operação dura uma semana, recua e volta" [W1, Nilton Tubino 41:50].</w:t>
      </w:r>
    </w:p>
    <w:p>
      <w:pPr>
        <w:pStyle w:val="Bullet"/>
      </w:pPr>
      <w:r>
        <w:t xml:space="preserve">• A draga destruída é reposta em três dias e "já está no custo" [WR-P1, pesquisadora de instituto de segurança pública].</w:t>
      </w:r>
    </w:p>
    <w:p>
      <w:pPr>
        <w:pStyle w:val="Bullet"/>
      </w:pPr>
      <w:r>
        <w:t xml:space="preserve">• As apreensões representam uma fração pequena do estimado e viram custo operacional para o crime [WN, Palestra Magna I, comandante de área do Exército].</w:t>
      </w:r>
    </w:p>
    <w:p>
      <w:pPr>
        <w:pStyle w:val="Bullet"/>
      </w:pPr>
      <w:r>
        <w:t xml:space="preserve">• Um comando aéreo afirma não ser possível manter operação desse porte em toda a região, por falta de aeronaves, pessoal, pistas e recursos, e diz não ver resposta para a questão [WR-P3].</w:t>
      </w:r>
    </w:p>
    <w:p>
      <w:pPr>
        <w:pStyle w:val="Bullet"/>
      </w:pPr>
      <w:r>
        <w:t xml:space="preserve">• "As operações são brilhantes, mas são temporárias; depois volta tudo ao normal" [WR-P3, moderação acadêmica].</w:t>
      </w:r>
    </w:p>
    <w:p>
      <w:pPr>
        <w:pStyle w:val="Bullet"/>
      </w:pPr>
      <w:r>
        <w:t xml:space="preserve">• No formulário, 5 dos 8 respondentes citaram a continuidade das ações [FM].</w:t>
      </w:r>
    </w:p>
    <w:p>
      <w:pPr>
        <w:pStyle w:val="Bullet"/>
      </w:pPr>
      <w:r>
        <w:t xml:space="preserve">• Contraexemplo: a Casa de Governo em Roraima, com ações permanentes, reduziu o garimpo ativo na Terra Indígena Yanomami em −98% [W1 42:40; W3, Gen. Roberto Angrizani 1:16:32] ou −99,8% [WR-P2] [a conferir].</w:t>
      </w:r>
    </w:p>
    <w:p>
      <w:pPr>
        <w:pStyle w:val="Bullet"/>
      </w:pPr>
      <w:r>
        <w:t xml:space="preserve">• Parte da presença já é contínua: a Ágata Escudo, nos pelotões de fronteira, opera o ano inteiro [W1, Gen. Ricardo Peixoto 12:40–13:10; SI, Comando Militar da Amazônia].</w:t>
      </w:r>
    </w:p>
    <w:p>
      <w:r>
        <w:rPr>
          <w:b/>
        </w:rPr>
        <w:t xml:space="preserve">Leitura.</w:t>
      </w:r>
      <w:r>
        <w:t xml:space="preserve"> As falas não pedem tropa permanente em todo lugar. Pedem duas coisas mais baratas: planejamento contínuo e uma fase civil depois da operação.</w:t>
      </w:r>
    </w:p>
    <w:p>
      <w:r>
        <w:rPr>
          <w:b/>
        </w:rPr>
        <w:t xml:space="preserve">Recomendações</w:t>
      </w:r>
    </w:p>
    <w:p>
      <w:r>
        <w:rPr>
          <w:b/>
        </w:rPr>
        <w:t xml:space="preserve">A1.a — Planejamento e inteligência contínuos entre as operações (D1).</w:t>
      </w:r>
    </w:p>
    <w:p>
      <w:pPr>
        <w:pStyle w:val="Bullet"/>
      </w:pPr>
      <w:r>
        <w:t xml:space="preserve">• O que é: manter o planejamento conjunto ativo o ano inteiro, com as agências civis participando junto às Forças, e acionar a execução em campo apenas sobre alvos definidos.</w:t>
      </w:r>
    </w:p>
    <w:p>
      <w:pPr>
        <w:pStyle w:val="Bullet"/>
      </w:pPr>
      <w:r>
        <w:t xml:space="preserve">• Origem: proposta de um comando aéreo, que afirma já tê-la levado ao Ministério da Defesa [WR-P3]. Há um embrião em funcionamento: as reuniões trimestrais de planejamento da Ágata com órgãos de segurança, sanitários, aduaneiros e migratórios [WN-GT4].</w:t>
      </w:r>
    </w:p>
    <w:p>
      <w:pPr>
        <w:pStyle w:val="Bullet"/>
      </w:pPr>
      <w:r>
        <w:t xml:space="preserve">• Implicações: decisão interna do Ministério da Defesa e do Estado-Maior Conjunto, sem norma nova. O limite está nas agências civis, que têm pouco pessoal para ceder e, segundo as Forças, já participam menos do que o desejado [WR-P3]. Há também a questão do sigilo do lado civil (ver B2).</w:t>
      </w:r>
    </w:p>
    <w:p>
      <w:pPr>
        <w:pStyle w:val="Bullet"/>
      </w:pPr>
      <w:r>
        <w:t xml:space="preserve">• Viabilidade: alta. Os insumos de inteligência, vigilância e reconhecimento (COMAE, Censipam) já são produzidos o ano todo.</w:t>
      </w:r>
    </w:p>
    <w:p>
      <w:r>
        <w:rPr>
          <w:b/>
        </w:rPr>
        <w:t xml:space="preserve">A1.b — Fase de consolidação definida no planejamento das operações conjuntas (D1→D2).</w:t>
      </w:r>
    </w:p>
    <w:p>
      <w:pPr>
        <w:pStyle w:val="Bullet"/>
      </w:pPr>
      <w:r>
        <w:t xml:space="preserve">• O que é: cada operação de grande porte com participação civil sai do planejamento com um órgão nomeado para cada frente do pós-operação (fiscalização remota, regularização, assistência, programas sociais).</w:t>
      </w:r>
    </w:p>
    <w:p>
      <w:pPr>
        <w:pStyle w:val="Bullet"/>
      </w:pPr>
      <w:r>
        <w:t xml:space="preserve">• Origem: a "gestão de território" como presença institucional que não depende de operação [WR-P3, gestor de unidades de conservação federais]. A delegação colombiana propõe inverter a proporção entre esforço militar e esforço político-administrativo na fase de estabilização [WR-P3].</w:t>
      </w:r>
    </w:p>
    <w:p>
      <w:pPr>
        <w:pStyle w:val="Bullet"/>
      </w:pPr>
      <w:r>
        <w:t xml:space="preserve">• Implicações: nenhum órgão se compromete com recurso que não tem. O primeiro passo é mapear o que pode ser acionado sem dinheiro novo: Bolsa Verde, busca ativa do CadÚnico, ações cívico-sociais [W2 25:31; WR-P3].</w:t>
      </w:r>
    </w:p>
    <w:p>
      <w:pPr>
        <w:pStyle w:val="Bullet"/>
      </w:pPr>
      <w:r>
        <w:t xml:space="preserve">• Viabilidade: média.</w:t>
      </w:r>
    </w:p>
    <w:p>
      <w:r>
        <w:rPr>
          <w:b/>
        </w:rPr>
        <w:t xml:space="preserve">A1.c — Uma lista única de prioridade territorial (D2).</w:t>
      </w:r>
    </w:p>
    <w:p>
      <w:pPr>
        <w:pStyle w:val="Bullet"/>
      </w:pPr>
      <w:r>
        <w:t xml:space="preserve">• O que é: a mesma lista de municípios e áreas passa a orientar operações, fiscalização e programas.</w:t>
      </w:r>
    </w:p>
    <w:p>
      <w:pPr>
        <w:pStyle w:val="Bullet"/>
      </w:pPr>
      <w:r>
        <w:t xml:space="preserve">• Justificativa: o efetivo nunca estará em todo lugar [WR-P1, coordenação de centro de cooperação policial], e o problema é concentrado: 2% dos imóveis respondem por dois terços do desmatamento, e 12 atores concentram 61% do ouro com indício de ilegalidade [WN, Palestra Magna II] [a conferir].</w:t>
      </w:r>
    </w:p>
    <w:p>
      <w:pPr>
        <w:pStyle w:val="Bullet"/>
      </w:pPr>
      <w:r>
        <w:t xml:space="preserve">• Implicações: exige que um ministério aceite a lista de outro.</w:t>
      </w:r>
    </w:p>
    <w:p>
      <w:pPr>
        <w:pStyle w:val="Bullet"/>
      </w:pPr>
      <w:r>
        <w:t xml:space="preserve">• Viabilidade: média.</w:t>
      </w:r>
    </w:p>
    <w:p>
      <w:r>
        <w:rPr>
          <w:b/>
        </w:rPr>
        <w:t xml:space="preserve">Não recomendaria agora:</w:t>
      </w:r>
      <w:r>
        <w:t xml:space="preserve"> fixar "presença permanente em toda a Amazônia" como meta. As próprias Forças dizem que é inalcançável.</w:t>
      </w:r>
    </w:p>
    <w:p>
      <w:pPr>
        <w:pStyle w:val="Heading2"/>
      </w:pPr>
      <w:r>
        <w:t xml:space="preserve">A2. Capacidade civil desproporcional ao território; o concurso não resolve sozinho</w:t>
      </w:r>
    </w:p>
    <w:p>
      <w:r>
        <w:rPr>
          <w:b/>
        </w:rPr>
        <w:t xml:space="preserve">Evidências</w:t>
      </w:r>
    </w:p>
    <w:p>
      <w:pPr>
        <w:pStyle w:val="Bullet"/>
      </w:pPr>
      <w:r>
        <w:t xml:space="preserve">• O corpo técnico do Ibama envelhece, o concurso não repõe, e sem rodízio não há operação de médio prazo [W1, Carolina Bastos 1:00:05]. Todas as agências têm déficit de pessoal, agravado na Amazônia pela dificuldade de manter servidores lotados [W1, Carolina Bastos 27:40].</w:t>
      </w:r>
    </w:p>
    <w:p>
      <w:pPr>
        <w:pStyle w:val="Bullet"/>
      </w:pPr>
      <w:r>
        <w:t xml:space="preserve">• Um órgão ambiental federal dispõe de 7 aeronaves e cerca de 800 agentes para o país inteiro [WR-P3] [a conferir].</w:t>
      </w:r>
    </w:p>
    <w:p>
      <w:pPr>
        <w:pStyle w:val="Bullet"/>
      </w:pPr>
      <w:r>
        <w:t xml:space="preserve">• A coordenação regional da Funai tem 6 servidores para 35 municípios [WR-P1].</w:t>
      </w:r>
    </w:p>
    <w:p>
      <w:pPr>
        <w:pStyle w:val="Bullet"/>
      </w:pPr>
      <w:r>
        <w:t xml:space="preserve">• Relato de segunda mão: a fiscalização da ANM em toda a Amazônia estaria a cargo de cinco servidores [WN-GT2] [a conferir].</w:t>
      </w:r>
    </w:p>
    <w:p>
      <w:pPr>
        <w:pStyle w:val="Bullet"/>
      </w:pPr>
      <w:r>
        <w:t xml:space="preserve">• "Concurso não vai salvar o mundo" [WR-P3, gestor de unidades de conservação federais].</w:t>
      </w:r>
    </w:p>
    <w:p>
      <w:pPr>
        <w:pStyle w:val="Bullet"/>
      </w:pPr>
      <w:r>
        <w:t xml:space="preserve">• Os meios não servem ao terreno: os rádios alcançam 2 a 3 km; o Starlink é paliativo e pode ser escutado pelo dono do serviço; as viaturas são compradas "pensando o Brasil asfaltado" [WR-P3, coordenação federal em Roraima; WR-P3, comando aéreo].</w:t>
      </w:r>
    </w:p>
    <w:p>
      <w:pPr>
        <w:pStyle w:val="Bullet"/>
      </w:pPr>
      <w:r>
        <w:t xml:space="preserve">• Descontinuidade civil: "o garimpeiro não tira férias" [WN-GT2].</w:t>
      </w:r>
    </w:p>
    <w:p>
      <w:r>
        <w:rPr>
          <w:b/>
        </w:rPr>
        <w:t xml:space="preserve">Recomendações</w:t>
      </w:r>
    </w:p>
    <w:p>
      <w:r>
        <w:rPr>
          <w:b/>
        </w:rPr>
        <w:t xml:space="preserve">A2.a — Formalizar por ACT as combinações de competência que já funcionam (D1).</w:t>
      </w:r>
    </w:p>
    <w:p>
      <w:pPr>
        <w:pStyle w:val="Bullet"/>
      </w:pPr>
      <w:r>
        <w:t xml:space="preserve">• Exemplos relatados:</w:t>
      </w:r>
    </w:p>
    <w:p>
      <w:pPr>
        <w:pStyle w:val="Bullet"/>
      </w:pPr>
      <w:r>
        <w:t xml:space="preserve">• apoio logístico militar a equipes civis;</w:t>
      </w:r>
    </w:p>
    <w:p>
      <w:pPr>
        <w:pStyle w:val="Bullet"/>
      </w:pPr>
      <w:r>
        <w:t xml:space="preserve">• órgão ambiental autorizado a destruir bens apreendidos na operação, sem precisar acionar juiz [WR-P3];</w:t>
      </w:r>
    </w:p>
    <w:p>
      <w:pPr>
        <w:pStyle w:val="Bullet"/>
      </w:pPr>
      <w:r>
        <w:t xml:space="preserve">• criação de unidade de conservação sobre a reserva legal de assentamentos, em acordo com o INCRA, para levar poder de polícia à área [WR-P3];</w:t>
      </w:r>
    </w:p>
    <w:p>
      <w:pPr>
        <w:pStyle w:val="Bullet"/>
      </w:pPr>
      <w:r>
        <w:t xml:space="preserve">• o órgão de fiscalização define o que precisa saber e o pelotão de fronteira levanta o dado [WN-GT1].</w:t>
      </w:r>
    </w:p>
    <w:p>
      <w:pPr>
        <w:pStyle w:val="Bullet"/>
      </w:pPr>
      <w:r>
        <w:t xml:space="preserve">• Base legal do apoio militar: já existe (LC 97/1999, arts. 16-A e 17-A) [verificar].</w:t>
      </w:r>
    </w:p>
    <w:p>
      <w:pPr>
        <w:pStyle w:val="Bullet"/>
      </w:pPr>
      <w:r>
        <w:t xml:space="preserve">• Viabilidade: alta.</w:t>
      </w:r>
    </w:p>
    <w:p>
      <w:r>
        <w:rPr>
          <w:b/>
        </w:rPr>
        <w:t xml:space="preserve">A2.b — Doutrina e treinamento comuns para as equipes especializadas das várias instituições (D1).</w:t>
      </w:r>
    </w:p>
    <w:p>
      <w:pPr>
        <w:pStyle w:val="Bullet"/>
      </w:pPr>
      <w:r>
        <w:t xml:space="preserve">• Origem: o Ibama trocou operações longas por equipes pequenas, sigilosas e mais efetivas, e observa que grupos especiais de instituições diferentes se entendem com facilidade [WR-P3].</w:t>
      </w:r>
    </w:p>
    <w:p>
      <w:pPr>
        <w:pStyle w:val="Bullet"/>
      </w:pPr>
      <w:r>
        <w:t xml:space="preserve">• Como fazer: usar o curso interagências da Escola Superior de Defesa (mais de 250 formados) [WN-GT4] e a academia do centro de cooperação policial [WR-P1].</w:t>
      </w:r>
    </w:p>
    <w:p>
      <w:pPr>
        <w:pStyle w:val="Bullet"/>
      </w:pPr>
      <w:r>
        <w:t xml:space="preserve">• Viabilidade: alta, com custo baixo.</w:t>
      </w:r>
    </w:p>
    <w:p>
      <w:r>
        <w:rPr>
          <w:b/>
        </w:rPr>
        <w:t xml:space="preserve">A2.c — Especificação amazônica nas compras de órgãos civis (D1).</w:t>
      </w:r>
    </w:p>
    <w:p>
      <w:pPr>
        <w:pStyle w:val="Bullet"/>
      </w:pPr>
      <w:r>
        <w:t xml:space="preserve">• O que é: exigir comunicação de longo alcance com camada de criptografia e viaturas adequadas ao terreno; avaliar se a comunicação militar existente pode atender equipes civis em operações conjuntas.</w:t>
      </w:r>
    </w:p>
    <w:p>
      <w:pPr>
        <w:pStyle w:val="Bullet"/>
      </w:pPr>
      <w:r>
        <w:t xml:space="preserve">• Implicações: técnica e orçamentária. A questão de soberania é a dependência de provedor privado estrangeiro.</w:t>
      </w:r>
    </w:p>
    <w:p>
      <w:pPr>
        <w:pStyle w:val="Bullet"/>
      </w:pPr>
      <w:r>
        <w:t xml:space="preserve">• Viabilidade: média.</w:t>
      </w:r>
    </w:p>
    <w:p>
      <w:pPr>
        <w:pStyle w:val="Heading2"/>
      </w:pPr>
      <w:r>
        <w:t xml:space="preserve">A3. O servidor civil em campo está exposto; a proteção se resume ao colete</w:t>
      </w:r>
    </w:p>
    <w:p>
      <w:r>
        <w:rPr>
          <w:b/>
        </w:rPr>
        <w:t xml:space="preserve">Evidências</w:t>
      </w:r>
    </w:p>
    <w:p>
      <w:pPr>
        <w:pStyle w:val="Bullet"/>
      </w:pPr>
      <w:r>
        <w:t xml:space="preserve">• Há dois processos por homicídio doloso contra agentes em operações, e uma área em Rondônia onde Ibama e ICMBio não tinham segurança para entrar [W3, André Porreca 14:00–14:26].</w:t>
      </w:r>
    </w:p>
    <w:p>
      <w:pPr>
        <w:pStyle w:val="Bullet"/>
      </w:pPr>
      <w:r>
        <w:t xml:space="preserve">• Servidores moram em casas comuns, trabalham em escritórios com três pessoas e pedem remoção por mandado de segurança, o que agrava o déficit [WN-GT1].</w:t>
      </w:r>
    </w:p>
    <w:p>
      <w:pPr>
        <w:pStyle w:val="Bullet"/>
      </w:pPr>
      <w:r>
        <w:t xml:space="preserve">• Agentes são "recebidos a bala" [WN, Palestra Magna II].</w:t>
      </w:r>
    </w:p>
    <w:p>
      <w:pPr>
        <w:pStyle w:val="Bullet"/>
      </w:pPr>
      <w:r>
        <w:t xml:space="preserve">• Um órgão envia servidores "apenas com um colete" [FM, Funai] e fica "à mercê" das forças de segurança [WR-P1].</w:t>
      </w:r>
    </w:p>
    <w:p>
      <w:r>
        <w:rPr>
          <w:b/>
        </w:rPr>
        <w:t xml:space="preserve">Recomendações</w:t>
      </w:r>
    </w:p>
    <w:p>
      <w:r>
        <w:rPr>
          <w:b/>
        </w:rPr>
        <w:t xml:space="preserve">A3.a — Protocolo de avaliação de risco e de escolta antes de ações em áreas de conflito (D1).</w:t>
      </w:r>
    </w:p>
    <w:p>
      <w:pPr>
        <w:pStyle w:val="Bullet"/>
      </w:pPr>
      <w:r>
        <w:t xml:space="preserve">• Base existente: parecer da procuradoria da Funai sobre atuação policial em terras indígenas e ACT entre MPI, MJSP e Funai [WR-P1]. Falta transformá-los em rotina operacional, com definição de quem provê a segurança em cada caso.</w:t>
      </w:r>
    </w:p>
    <w:p>
      <w:pPr>
        <w:pStyle w:val="Bullet"/>
      </w:pPr>
      <w:r>
        <w:t xml:space="preserve">• Viabilidade: alta.</w:t>
      </w:r>
    </w:p>
    <w:p>
      <w:r>
        <w:rPr>
          <w:b/>
        </w:rPr>
        <w:t xml:space="preserve">A3.b — Proteção fora da operação (D1→D3).</w:t>
      </w:r>
    </w:p>
    <w:p>
      <w:pPr>
        <w:pStyle w:val="Bullet"/>
      </w:pPr>
      <w:r>
        <w:t xml:space="preserve">• Primeiro passo: residência funcional ou moradia coletiva protegida nos municípios de maior risco [WN-GT1].</w:t>
      </w:r>
    </w:p>
    <w:p>
      <w:pPr>
        <w:pStyle w:val="Bullet"/>
      </w:pPr>
      <w:r>
        <w:t xml:space="preserve">• Segundo passo: verificar se a indenização de fronteira (Lei 12.855/2013) alcança as carreiras ambientais e indigenistas [verificar]. Se não alcançar, a extensão exige lei, com custo fiscal e reação de outras carreiras.</w:t>
      </w:r>
    </w:p>
    <w:p>
      <w:pPr>
        <w:pStyle w:val="Bullet"/>
      </w:pPr>
      <w:r>
        <w:t xml:space="preserve">• Viabilidade: média para a moradia; baixa para a lei.</w:t>
      </w:r>
    </w:p>
    <w:p>
      <w:pPr>
        <w:pStyle w:val="Heading2"/>
      </w:pPr>
      <w:r>
        <w:t xml:space="preserve">A4. A ponta local é o elo mais exposto à captura</w:t>
      </w:r>
    </w:p>
    <w:p>
      <w:r>
        <w:rPr>
          <w:b/>
        </w:rPr>
        <w:t xml:space="preserve">Evidências</w:t>
      </w:r>
    </w:p>
    <w:p>
      <w:pPr>
        <w:pStyle w:val="Bullet"/>
      </w:pPr>
      <w:r>
        <w:t xml:space="preserve">• A prefeitura é o ente mais sujeito à captura; os órgãos federais trocam de pessoal, enquanto prefeitura, PM e Funai permanecem [W2, Renato Sérgio de Lima 1:05:00].</w:t>
      </w:r>
    </w:p>
    <w:p>
      <w:pPr>
        <w:pStyle w:val="Bullet"/>
      </w:pPr>
      <w:r>
        <w:t xml:space="preserve">• "R$ 3.000 soltam um líder de facção"; o policial não confia no colega da ponta [WN-GT4].</w:t>
      </w:r>
    </w:p>
    <w:p>
      <w:pPr>
        <w:pStyle w:val="Bullet"/>
      </w:pPr>
      <w:r>
        <w:t xml:space="preserve">• Cooptação de autoridades e lideranças locais [WN, Palestra Magna I; FM, MPF]; investigação de prefeito em Itaituba [W1].</w:t>
      </w:r>
    </w:p>
    <w:p>
      <w:pPr>
        <w:pStyle w:val="Bullet"/>
      </w:pPr>
      <w:r>
        <w:t xml:space="preserve">• </w:t>
      </w:r>
      <w:r>
        <w:rPr>
          <w:b/>
        </w:rPr>
        <w:t xml:space="preserve">Cuidado com a evidência:</w:t>
      </w:r>
      <w:r>
        <w:t xml:space="preserve"> o exemplo de Tabatinga dado no WR (órgãos federais em prédio da prefeitura) foi contestado na hora. O prédio do MPF é próprio, e o órgão recusou servidores cedidos [WR-P2, procurador da República]. A preocupação se sustenta; o exemplo, não.</w:t>
      </w:r>
    </w:p>
    <w:p>
      <w:r>
        <w:rPr>
          <w:b/>
        </w:rPr>
        <w:t xml:space="preserve">Recomendação</w:t>
      </w:r>
    </w:p>
    <w:p>
      <w:r>
        <w:rPr>
          <w:b/>
        </w:rPr>
        <w:t xml:space="preserve">A4.a — Levantar as dependências logísticas locais dos órgãos federais de fiscalização e controle (D1).</w:t>
      </w:r>
    </w:p>
    <w:p>
      <w:pPr>
        <w:pStyle w:val="Bullet"/>
      </w:pPr>
      <w:r>
        <w:t xml:space="preserve">• O que é: mapear imóveis cedidos, servidores cedidos e veículos emprestados nos municípios de fronteira e de garimpo; depois, regra de independência para os de maior risco. A prática do MPF serve de referência.</w:t>
      </w:r>
    </w:p>
    <w:p>
      <w:pPr>
        <w:pStyle w:val="Bullet"/>
      </w:pPr>
      <w:r>
        <w:t xml:space="preserve">• Viabilidade: alta para o levantamento; média para a regra, que custa aluguel e pessoal.</w:t>
      </w:r>
    </w:p>
    <w:p>
      <w:pPr>
        <w:pStyle w:val="Heading1"/>
      </w:pPr>
      <w:r>
        <w:t xml:space="preserve">Bloco B — Os órgãos não funcionam juntos</w:t>
      </w:r>
    </w:p>
    <w:p>
      <w:pPr>
        <w:pStyle w:val="Heading2"/>
      </w:pPr>
      <w:r>
        <w:t xml:space="preserve">B1. A coordenação depende de pessoas; falta instância com ascendência sobre os ministérios no território</w:t>
      </w:r>
    </w:p>
    <w:p>
      <w:r>
        <w:rPr>
          <w:b/>
        </w:rPr>
        <w:t xml:space="preserve">Evidências</w:t>
      </w:r>
    </w:p>
    <w:p>
      <w:pPr>
        <w:pStyle w:val="Bullet"/>
      </w:pPr>
      <w:r>
        <w:t xml:space="preserve">• "Coordenação não é integração": os órgãos já são formalmente integrados, mas falta coordenação territorial com metas comuns e liderança da Casa Civil, papel cumprido pela Casa de Governo [W2, Renato Sérgio de Lima 1:32:50–1:38:35].</w:t>
      </w:r>
    </w:p>
    <w:p>
      <w:pPr>
        <w:pStyle w:val="Bullet"/>
      </w:pPr>
      <w:r>
        <w:t xml:space="preserve">• O PPCDAm "não conversa com o Plano AMAS", e a desconexão é estrutural, não conjuntural [W2, Renato Sérgio de Lima 1:01:30]. </w:t>
      </w:r>
      <w:r>
        <w:rPr>
          <w:i/>
        </w:rPr>
        <w:t xml:space="preserve">Acrescentado nesta versão; não constava da entrega no chat.</w:t>
      </w:r>
    </w:p>
    <w:p>
      <w:pPr>
        <w:pStyle w:val="Bullet"/>
      </w:pPr>
      <w:r>
        <w:t xml:space="preserve">• "Sem organismo supra, fica dependente da vontade de quem está na liderança" [W3, Gen. Roberto Angrizani 1:17:40].</w:t>
      </w:r>
    </w:p>
    <w:p>
      <w:pPr>
        <w:pStyle w:val="Bullet"/>
      </w:pPr>
      <w:r>
        <w:t xml:space="preserve">• O PPCDAm funcionou quando deixou de ser tarefa de um órgão e virou problema do governo inteiro, centrado na Casa Civil [WN, Palestra Magna II].</w:t>
      </w:r>
    </w:p>
    <w:p>
      <w:pPr>
        <w:pStyle w:val="Bullet"/>
      </w:pPr>
      <w:r>
        <w:t xml:space="preserve">• Houve avanço no nível estratégico, mas falta o nível político, que traz orçamento; a Casa Civil tem ascendência que nenhum ministério tem [WN-GT4].</w:t>
      </w:r>
    </w:p>
    <w:p>
      <w:pPr>
        <w:pStyle w:val="Bullet"/>
      </w:pPr>
      <w:r>
        <w:t xml:space="preserve">• Ibama e ICMBio nunca integraram o colegiado do PPIF; "falta fagulha política" [WN-GT1].</w:t>
      </w:r>
    </w:p>
    <w:p>
      <w:pPr>
        <w:pStyle w:val="Bullet"/>
      </w:pPr>
      <w:r>
        <w:t xml:space="preserve">• Quando as pessoas trocam de função, a memória institucional se perde [VL, GSI].</w:t>
      </w:r>
    </w:p>
    <w:p>
      <w:pPr>
        <w:pStyle w:val="Bullet"/>
      </w:pPr>
      <w:r>
        <w:t xml:space="preserve">• O MPF recomenda replicar a Casa de Governo [WR-P2; FM, MPF].</w:t>
      </w:r>
    </w:p>
    <w:p>
      <w:pPr>
        <w:pStyle w:val="Bullet"/>
      </w:pPr>
      <w:r>
        <w:t xml:space="preserve">• "Várias pérolas soltas precisam de um cordão" [WR-P3, planejamento estratégico do Exército].</w:t>
      </w:r>
    </w:p>
    <w:p>
      <w:r>
        <w:rPr>
          <w:b/>
        </w:rPr>
        <w:t xml:space="preserve">Recomendações</w:t>
      </w:r>
    </w:p>
    <w:p>
      <w:r>
        <w:rPr>
          <w:b/>
        </w:rPr>
        <w:t xml:space="preserve">B1.a — Sistematizar o modelo da Casa de Governo (D1).</w:t>
      </w:r>
    </w:p>
    <w:p>
      <w:pPr>
        <w:pStyle w:val="Bullet"/>
      </w:pPr>
      <w:r>
        <w:t xml:space="preserve">• O que é: documentar base normativa, composição (os relatos divergem entre 13 e 20 ministérios [W3; WR-P2] [a conferir]), rotinas, custo e papel das agências reguladoras.</w:t>
      </w:r>
    </w:p>
    <w:p>
      <w:pPr>
        <w:pStyle w:val="Bullet"/>
      </w:pPr>
      <w:r>
        <w:t xml:space="preserve">• Por quê: hoje é uma experiência, não um instrumento disponível para uso.</w:t>
      </w:r>
    </w:p>
    <w:p>
      <w:pPr>
        <w:pStyle w:val="Bullet"/>
      </w:pPr>
      <w:r>
        <w:t xml:space="preserve">• Viabilidade: alta.</w:t>
      </w:r>
    </w:p>
    <w:p>
      <w:r>
        <w:rPr>
          <w:b/>
        </w:rPr>
        <w:t xml:space="preserve">B1.b — Critérios para ativar uma unidade de coordenação territorial (D2).</w:t>
      </w:r>
    </w:p>
    <w:p>
      <w:pPr>
        <w:pStyle w:val="Bullet"/>
      </w:pPr>
      <w:r>
        <w:t xml:space="preserve">• O que é: definir quando uma unidade nesse modelo é criada (ordem judicial de desintrusão, crise sanitária, indicadores de invasão) e quem a convoca.</w:t>
      </w:r>
    </w:p>
    <w:p>
      <w:pPr>
        <w:pStyle w:val="Bullet"/>
      </w:pPr>
      <w:r>
        <w:t xml:space="preserve">• Implicações: a Casa de Governo nasceu de emergência reconhecida e de pressão judicial, e não pode ser replicada em toda parte. O critério de ativação importa mais que a replicação.</w:t>
      </w:r>
    </w:p>
    <w:p>
      <w:pPr>
        <w:pStyle w:val="Bullet"/>
      </w:pPr>
      <w:r>
        <w:t xml:space="preserve">• Viabilidade: média.</w:t>
      </w:r>
    </w:p>
    <w:p>
      <w:r>
        <w:rPr>
          <w:b/>
        </w:rPr>
        <w:t xml:space="preserve">B1.c — Ritmo mínimo de coordenação onde não há unidade territorial (D1).</w:t>
      </w:r>
    </w:p>
    <w:p>
      <w:pPr>
        <w:pStyle w:val="Bullet"/>
      </w:pPr>
      <w:r>
        <w:t xml:space="preserve">• Precedente: o calendário trimestral da Ágata permitiu ao Ministério da Agricultura planejar ações antes, durante e depois da operação militar [WN-GT4].</w:t>
      </w:r>
    </w:p>
    <w:p>
      <w:r>
        <w:rPr>
          <w:b/>
        </w:rPr>
        <w:t xml:space="preserve">Não recomendaria agora:</w:t>
      </w:r>
      <w:r>
        <w:t xml:space="preserve"> uma grande estratégia nacional de 20 a 30 anos [WN, Palestra Magna I; WR-P3]. Na validação, o GSI considerou politicamente sensível uma "estratégia nacional de segurança" e viável uma política de princípios macro, desdobrada em subprogramas [VL].</w:t>
      </w:r>
    </w:p>
    <w:p>
      <w:pPr>
        <w:pStyle w:val="Heading2"/>
      </w:pPr>
      <w:r>
        <w:t xml:space="preserve">B2. Dados e inteligência circulam por relação pessoal; quem recebe não tem amparo de sigilo</w:t>
      </w:r>
    </w:p>
    <w:p>
      <w:r>
        <w:rPr>
          <w:b/>
        </w:rPr>
        <w:t xml:space="preserve">Evidências</w:t>
      </w:r>
    </w:p>
    <w:p>
      <w:pPr>
        <w:pStyle w:val="Bullet"/>
      </w:pPr>
      <w:r>
        <w:t xml:space="preserve">• O SINESP, previsto em lei de 2012, ainda não integra os estados; pedir dado ao Exército exige ofício físico; "só conexões interpessoais" [WN-GT4].</w:t>
      </w:r>
    </w:p>
    <w:p>
      <w:pPr>
        <w:pStyle w:val="Bullet"/>
      </w:pPr>
      <w:r>
        <w:t xml:space="preserve">• A fiscalização remota do Ibama depende de INPE, Censipam, órgãos estaduais, INCRA, CAR, PF, guias de trânsito animal (GTA) e Banco Central [W1, Carolina Bastos 21:00–24:20].</w:t>
      </w:r>
    </w:p>
    <w:p>
      <w:pPr>
        <w:pStyle w:val="Bullet"/>
      </w:pPr>
      <w:r>
        <w:t xml:space="preserve">• O dado sobre o ouro existe, mas falta convertê-lo em informação operacional [WN-GT2].</w:t>
      </w:r>
    </w:p>
    <w:p>
      <w:pPr>
        <w:pStyle w:val="Bullet"/>
      </w:pPr>
      <w:r>
        <w:t xml:space="preserve">• Um gestor de UC tinha informação sobre facções melhor que a de qualquer outro órgão, e ela foi desprezada [WN-GT4].</w:t>
      </w:r>
    </w:p>
    <w:p>
      <w:pPr>
        <w:pStyle w:val="Bullet"/>
      </w:pPr>
      <w:r>
        <w:t xml:space="preserve">• Não há protocolo que imponha dever de sigilo ao servidor civil que recebe inteligência; somam-se o elemento surpresa e a classificação da informação [VL, GSI].</w:t>
      </w:r>
    </w:p>
    <w:p>
      <w:pPr>
        <w:pStyle w:val="Bullet"/>
      </w:pPr>
      <w:r>
        <w:t xml:space="preserve">• Todos os órgãos têm setor de inteligência; a informação precisa chegar à ponta [W1, Nilton Tubino 1:14:00].</w:t>
      </w:r>
    </w:p>
    <w:p>
      <w:r>
        <w:rPr>
          <w:b/>
        </w:rPr>
        <w:t xml:space="preserve">Leitura.</w:t>
      </w:r>
      <w:r>
        <w:t xml:space="preserve"> São dois problemas distintos, que pedem instrumentos distintos.</w:t>
      </w:r>
    </w:p>
    <w:p>
      <w:r>
        <w:rPr>
          <w:b/>
        </w:rPr>
        <w:t xml:space="preserve">Recomendações</w:t>
      </w:r>
    </w:p>
    <w:p>
      <w:r>
        <w:rPr>
          <w:b/>
        </w:rPr>
        <w:t xml:space="preserve">B2.a — Dados não sigilosos: compartilhar bases tratadas, não relatórios (D1).</w:t>
      </w:r>
    </w:p>
    <w:p>
      <w:pPr>
        <w:pStyle w:val="Bullet"/>
      </w:pPr>
      <w:r>
        <w:t xml:space="preserve">• O que é: CAR, SIGEF, GTA, autorizações e imagens circulam por ACT e integração de sistemas, no modelo do Brasil MAIS, contrato de imagens acessível a centenas de instituições [SI, Polícia Federal; WN-GT4].</w:t>
      </w:r>
    </w:p>
    <w:p>
      <w:pPr>
        <w:pStyle w:val="Bullet"/>
      </w:pPr>
      <w:r>
        <w:t xml:space="preserve">• Implicações: a LGPD autoriza o órgão público a tratar dados para executar política pública, sem depender de lei de inteligência [verificar].</w:t>
      </w:r>
    </w:p>
    <w:p>
      <w:pPr>
        <w:pStyle w:val="Bullet"/>
      </w:pPr>
      <w:r>
        <w:t xml:space="preserve">• Viabilidade: alta.</w:t>
      </w:r>
    </w:p>
    <w:p>
      <w:r>
        <w:rPr>
          <w:b/>
        </w:rPr>
        <w:t xml:space="preserve">B2.b — Inteligência classificada: credenciar quem recebe (D1/D2).</w:t>
      </w:r>
    </w:p>
    <w:p>
      <w:pPr>
        <w:pStyle w:val="Bullet"/>
      </w:pPr>
      <w:r>
        <w:t xml:space="preserve">• O que é: um núcleo pequeno de servidores credenciados em cada órgão ambiental e indigenista, pelo procedimento já existente (Decreto 7.845/2012) [verificar], com formação dada pela ABIN; compartilhamento diferenciado por fase da operação.</w:t>
      </w:r>
    </w:p>
    <w:p>
      <w:pPr>
        <w:pStyle w:val="Bullet"/>
      </w:pPr>
      <w:r>
        <w:t xml:space="preserve">• Por quê: responde diretamente à objeção do GSI.</w:t>
      </w:r>
    </w:p>
    <w:p>
      <w:pPr>
        <w:pStyle w:val="Bullet"/>
      </w:pPr>
      <w:r>
        <w:t xml:space="preserve">• Viabilidade: média-alta.</w:t>
      </w:r>
    </w:p>
    <w:p>
      <w:r>
        <w:rPr>
          <w:b/>
        </w:rPr>
        <w:t xml:space="preserve">B2.c — Canal direto entre órgão de fiscalização e comando de área para pedir inteligência (D1).</w:t>
      </w:r>
    </w:p>
    <w:p>
      <w:pPr>
        <w:pStyle w:val="Bullet"/>
      </w:pPr>
      <w:r>
        <w:t xml:space="preserve">• A prática já existe [WN-GT1] e tem amparo na LC 97.</w:t>
      </w:r>
    </w:p>
    <w:p>
      <w:r>
        <w:rPr>
          <w:b/>
        </w:rPr>
        <w:t xml:space="preserve">Não recomendaria agora:</w:t>
      </w:r>
      <w:r>
        <w:t xml:space="preserve"> condicionar o compartilhamento à inclusão da inteligência na Constituição [WN-GT4]. Depende do Congresso, e B2.a a B2.c avançam sem isso.</w:t>
      </w:r>
    </w:p>
    <w:p>
      <w:pPr>
        <w:pStyle w:val="Heading2"/>
      </w:pPr>
      <w:r>
        <w:t xml:space="preserve">B3. O orçamento é fragmentado, e a disputa pelo crédito do resultado trava a cooperação</w:t>
      </w:r>
    </w:p>
    <w:p>
      <w:r>
        <w:rPr>
          <w:b/>
        </w:rPr>
        <w:t xml:space="preserve">Evidências</w:t>
      </w:r>
    </w:p>
    <w:p>
      <w:pPr>
        <w:pStyle w:val="Bullet"/>
      </w:pPr>
      <w:r>
        <w:t xml:space="preserve">• O planejamento técnico e orçamentário anual é feito separadamente por governos, ministérios e instituições [FM, ICMBio].</w:t>
      </w:r>
    </w:p>
    <w:p>
      <w:pPr>
        <w:pStyle w:val="Bullet"/>
      </w:pPr>
      <w:r>
        <w:t xml:space="preserve">• Cada órgão disputa o crédito do resultado. A força integrada de combate ao crime organizado (FICCO) de Roraima funcionou enquanto havia dinheiro para diárias; quando acabou, o resultado caiu [WN-GT4].</w:t>
      </w:r>
    </w:p>
    <w:p>
      <w:pPr>
        <w:pStyle w:val="Bullet"/>
      </w:pPr>
      <w:r>
        <w:t xml:space="preserve">• O custo amazônico é diferente [W2 1:22:33]; a logística de segurança custaria 25 vezes a de uma grande cidade, em função do diesel [WR-P2] [a conferir].</w:t>
      </w:r>
    </w:p>
    <w:p>
      <w:pPr>
        <w:pStyle w:val="Bullet"/>
      </w:pPr>
      <w:r>
        <w:t xml:space="preserve">• As execuções são "caríssimas" e os recursos próprios, limitados [WR-P3].</w:t>
      </w:r>
    </w:p>
    <w:p>
      <w:pPr>
        <w:pStyle w:val="Bullet"/>
      </w:pPr>
      <w:r>
        <w:t xml:space="preserve">• Orçamento isolado não reduziu o garimpo; a queda veio com desenho operacional integrado [FM, UNESP] [verificar séries].</w:t>
      </w:r>
    </w:p>
    <w:p>
      <w:r>
        <w:rPr>
          <w:b/>
        </w:rPr>
        <w:t xml:space="preserve">Recomendações</w:t>
      </w:r>
    </w:p>
    <w:p>
      <w:r>
        <w:rPr>
          <w:b/>
        </w:rPr>
        <w:t xml:space="preserve">B3.a — Custeio de operações integradas nas transferências que já existem (D1/D2).</w:t>
      </w:r>
    </w:p>
    <w:p>
      <w:pPr>
        <w:pStyle w:val="Bullet"/>
      </w:pPr>
      <w:r>
        <w:t xml:space="preserve">• O que é: avaliar incluir operações ambientais integradas nos critérios do Fundo Nacional de Segurança Pública (Lei 13.756/2018) [verificar] e nas chamadas do Fundo Amazônia.</w:t>
      </w:r>
    </w:p>
    <w:p>
      <w:pPr>
        <w:pStyle w:val="Bullet"/>
      </w:pPr>
      <w:r>
        <w:t xml:space="preserve">• Por quê: o gargalo relatado é custeio (diárias, combustível), não investimento.</w:t>
      </w:r>
    </w:p>
    <w:p>
      <w:pPr>
        <w:pStyle w:val="Bullet"/>
      </w:pPr>
      <w:r>
        <w:t xml:space="preserve">• Viabilidade: média.</w:t>
      </w:r>
    </w:p>
    <w:p>
      <w:r>
        <w:rPr>
          <w:b/>
        </w:rPr>
        <w:t xml:space="preserve">B3.b — Crédito compartilhado (D1).</w:t>
      </w:r>
      <w:r>
        <w:t xml:space="preserve"> Resultados de operações conjuntas divulgados de forma consolidada, em nome de todos os participantes. Custo zero.</w:t>
      </w:r>
    </w:p>
    <w:p>
      <w:r>
        <w:rPr>
          <w:b/>
        </w:rPr>
        <w:t xml:space="preserve">B3.c — Estudo de custo logístico amazônico (D1).</w:t>
      </w:r>
      <w:r>
        <w:t xml:space="preserve"> Pedir coeficiente regional de custo sem o número em mãos é D2 sem chance.</w:t>
      </w:r>
    </w:p>
    <w:p>
      <w:pPr>
        <w:pStyle w:val="Heading2"/>
      </w:pPr>
      <w:r>
        <w:t xml:space="preserve">B4. A competência comum sem divisão de trabalho gera sobreposição e vazios</w:t>
      </w:r>
    </w:p>
    <w:p>
      <w:r>
        <w:rPr>
          <w:b/>
        </w:rPr>
        <w:t xml:space="preserve">Evidências</w:t>
      </w:r>
    </w:p>
    <w:p>
      <w:pPr>
        <w:pStyle w:val="Bullet"/>
      </w:pPr>
      <w:r>
        <w:t xml:space="preserve">• A competência comum entre órgãos ambientais gera sobreposição, e a cultura institucional pesa [W1, Carolina Bastos 27:55].</w:t>
      </w:r>
    </w:p>
    <w:p>
      <w:pPr>
        <w:pStyle w:val="Bullet"/>
      </w:pPr>
      <w:r>
        <w:t xml:space="preserve">• O órgão estadual não tem agenda com o federal; a Funai não consegue coordenar com PF e Ibama; a Colômbia centralizou as operações contra mineração no ministério do Ambiente [W3, André Porreca 1:08:40–1:09:27].</w:t>
      </w:r>
    </w:p>
    <w:p>
      <w:pPr>
        <w:pStyle w:val="Bullet"/>
      </w:pPr>
      <w:r>
        <w:t xml:space="preserve">• A PM está em todos os 144 municípios do Pará [a conferir], mas sem formação ambiental; pede-se revisão das competências fragmentadas [WR-P1, ligação de polícia militar estadual].</w:t>
      </w:r>
    </w:p>
    <w:p>
      <w:pPr>
        <w:pStyle w:val="Bullet"/>
      </w:pPr>
      <w:r>
        <w:t xml:space="preserve">• Faltam normas padronizadas entre polícias e órgãos ambientais [FM, SSP-AC].</w:t>
      </w:r>
    </w:p>
    <w:p>
      <w:pPr>
        <w:pStyle w:val="Bullet"/>
      </w:pPr>
      <w:r>
        <w:t xml:space="preserve">• A secretaria ambiental do Pará faz operações permanentes, com inteligência própria integrada à segurança estadual [WN-GT2].</w:t>
      </w:r>
    </w:p>
    <w:p>
      <w:pPr>
        <w:pStyle w:val="Bullet"/>
      </w:pPr>
      <w:r>
        <w:t xml:space="preserve">• Protocolos comuns entre agências reduzem custo e conflito [W3, Rebeca Lima 1:11:25].</w:t>
      </w:r>
    </w:p>
    <w:p>
      <w:r>
        <w:rPr>
          <w:b/>
        </w:rPr>
        <w:t xml:space="preserve">Recomendações</w:t>
      </w:r>
    </w:p>
    <w:p>
      <w:r>
        <w:rPr>
          <w:b/>
        </w:rPr>
        <w:t xml:space="preserve">B4.a — Pactuar a divisão da fiscalização nas comissões tripartites estaduais (D1).</w:t>
      </w:r>
    </w:p>
    <w:p>
      <w:pPr>
        <w:pStyle w:val="Bullet"/>
      </w:pPr>
      <w:r>
        <w:t xml:space="preserve">• Instrumentos: as comissões, os ACTs e a delegação de execução já estão previstos na LC 140/2011 [verificar].</w:t>
      </w:r>
    </w:p>
    <w:p>
      <w:pPr>
        <w:pStyle w:val="Bullet"/>
      </w:pPr>
      <w:r>
        <w:t xml:space="preserve">• O que falta: a LC 140 resolve o conflito entre autos de infração (prevalece o do órgão licenciador); falta a divisão preventiva de quem fiscaliza o quê.</w:t>
      </w:r>
    </w:p>
    <w:p>
      <w:pPr>
        <w:pStyle w:val="Bullet"/>
      </w:pPr>
      <w:r>
        <w:t xml:space="preserve">• Viabilidade: alta, desigual entre estados.</w:t>
      </w:r>
    </w:p>
    <w:p>
      <w:r>
        <w:rPr>
          <w:b/>
        </w:rPr>
        <w:t xml:space="preserve">B4.b — Formação ambiental na grade regular das academias de polícia militar (D1).</w:t>
      </w:r>
      <w:r>
        <w:t xml:space="preserve"> A capacitação com a SENASP e o Consórcio de Governadores já está em curso [WR-P1].</w:t>
      </w:r>
    </w:p>
    <w:p>
      <w:pPr>
        <w:pStyle w:val="Heading1"/>
      </w:pPr>
      <w:r>
        <w:t xml:space="preserve">Bloco C — O lucro do ilícito fica intacto</w:t>
      </w:r>
    </w:p>
    <w:p>
      <w:pPr>
        <w:pStyle w:val="Heading2"/>
      </w:pPr>
      <w:r>
        <w:t xml:space="preserve">C1. A repressão atinge o primeiro elo; o financiador fica fora do alcance</w:t>
      </w:r>
    </w:p>
    <w:p>
      <w:r>
        <w:rPr>
          <w:b/>
        </w:rPr>
        <w:t xml:space="preserve">Evidências</w:t>
      </w:r>
    </w:p>
    <w:p>
      <w:pPr>
        <w:pStyle w:val="Bullet"/>
      </w:pPr>
      <w:r>
        <w:t xml:space="preserve">• "Não adianta sem chegar a quem financia" [W1 40:50]; os beneficiários do ouro estão no Sudeste, e o preso na ponta é "quase escravo" [W1, Helena Maués 1:06:10].</w:t>
      </w:r>
    </w:p>
    <w:p>
      <w:pPr>
        <w:pStyle w:val="Bullet"/>
      </w:pPr>
      <w:r>
        <w:t xml:space="preserve">• Os beneficiários muitas vezes estão fora da Amazônia e do país [W3, André Porreca 17:30].</w:t>
      </w:r>
    </w:p>
    <w:p>
      <w:pPr>
        <w:pStyle w:val="Bullet"/>
      </w:pPr>
      <w:r>
        <w:t xml:space="preserve">• O alvo deve ser o beneficiário, não o ribeirinho da draga [WR-P1, coordenação de centro de cooperação policial]; é preciso "ir pelas cabeças" e bloquear financiadores [WR-P3, delegação colombiana].</w:t>
      </w:r>
    </w:p>
    <w:p>
      <w:pPr>
        <w:pStyle w:val="Bullet"/>
      </w:pPr>
      <w:r>
        <w:t xml:space="preserve">• O desmatamento em blocos acima de 100 ha esconde dinheiro fora do alcance do COAF [WN, Palestra Magna II]; desmatar 100 ha custa cerca de R$ 200 mil [W3 1:30:06] [a conferir].</w:t>
      </w:r>
    </w:p>
    <w:p>
      <w:pPr>
        <w:pStyle w:val="Bullet"/>
      </w:pPr>
      <w:r>
        <w:t xml:space="preserve">• Proposta de "força-tarefa de asfixia financeira" [FM, SSP-MA].</w:t>
      </w:r>
    </w:p>
    <w:p>
      <w:r>
        <w:rPr>
          <w:b/>
        </w:rPr>
        <w:t xml:space="preserve">Recomendações</w:t>
      </w:r>
    </w:p>
    <w:p>
      <w:r>
        <w:rPr>
          <w:b/>
        </w:rPr>
        <w:t xml:space="preserve">C1.a — Investigação patrimonial paralela como padrão nas operações ambientais de grande porte (D1).</w:t>
      </w:r>
      <w:r>
        <w:t xml:space="preserve"> Incluir desde o planejamento o enquadramento em lavagem e organização criminosa (ver D1). Viabilidade: alta.</w:t>
      </w:r>
    </w:p>
    <w:p>
      <w:r>
        <w:rPr>
          <w:b/>
        </w:rPr>
        <w:t xml:space="preserve">C1.b — Transformar a Operação Caixa Forte em rotina (D1).</w:t>
      </w:r>
    </w:p>
    <w:p>
      <w:pPr>
        <w:pStyle w:val="Bullet"/>
      </w:pPr>
      <w:r>
        <w:t xml:space="preserve">• Precedente: com dados do Banco Central, o Ibama autuou 9 instituições financeiras por crédito a áreas embargadas [W1, Carolina Bastos 24:20].</w:t>
      </w:r>
    </w:p>
    <w:p>
      <w:pPr>
        <w:pStyle w:val="Bullet"/>
      </w:pPr>
      <w:r>
        <w:t xml:space="preserve">• Como fazer: ACT entre Ibama e Banco Central, com dado agregado por área para não esbarrar no sigilo bancário.</w:t>
      </w:r>
    </w:p>
    <w:p>
      <w:pPr>
        <w:pStyle w:val="Bullet"/>
      </w:pPr>
      <w:r>
        <w:t xml:space="preserve">• Viabilidade: alta.</w:t>
      </w:r>
    </w:p>
    <w:p>
      <w:r>
        <w:rPr>
          <w:b/>
        </w:rPr>
        <w:t xml:space="preserve">C1.c — Propor à ENCCLA uma ação sobre lavagem ligada a crimes ambientais na Amazônia (D1).</w:t>
      </w:r>
      <w:r>
        <w:t xml:space="preserve"> A ENCCLA foi citada como modelo de planejamento interagências [WN-GT4]; qualquer órgão membro pode propor ação no ciclo anual.</w:t>
      </w:r>
    </w:p>
    <w:p>
      <w:pPr>
        <w:pStyle w:val="Heading2"/>
      </w:pPr>
      <w:r>
        <w:t xml:space="preserve">C2. O ouro ilegal ainda entra no mercado formal</w:t>
      </w:r>
    </w:p>
    <w:p>
      <w:r>
        <w:rPr>
          <w:b/>
        </w:rPr>
        <w:t xml:space="preserve">Evidências</w:t>
      </w:r>
    </w:p>
    <w:p>
      <w:pPr>
        <w:pStyle w:val="Bullet"/>
      </w:pPr>
      <w:r>
        <w:t xml:space="preserve">• Depois do fim da presunção de boa-fé e da nota fiscal eletrônica, o mercado se reorganizou para o contrabando [W1 1:12:40].</w:t>
      </w:r>
    </w:p>
    <w:p>
      <w:pPr>
        <w:pStyle w:val="Bullet"/>
      </w:pPr>
      <w:r>
        <w:t xml:space="preserve">• Notas frias atribuem o ouro a áreas com título minerário [W3, André Porreca 16:25].</w:t>
      </w:r>
    </w:p>
    <w:p>
      <w:pPr>
        <w:pStyle w:val="Bullet"/>
      </w:pPr>
      <w:r>
        <w:t xml:space="preserve">• Queda de cerca de 70% no IOF-ouro; exportação de ouro como "sucata"; ouro apreendido devolvido durante o processo; compradores internacionais sem diligência própria [WN-GT2] [a conferir].</w:t>
      </w:r>
    </w:p>
    <w:p>
      <w:pPr>
        <w:pStyle w:val="Bullet"/>
      </w:pPr>
      <w:r>
        <w:t xml:space="preserve">• Um terço do ouro com indício de ilegalidade; 71% comprado por três DTVMs [WN, Palestra Magna II] [a conferir].</w:t>
      </w:r>
    </w:p>
    <w:p>
      <w:pPr>
        <w:pStyle w:val="Bullet"/>
      </w:pPr>
      <w:r>
        <w:t xml:space="preserve">• Uma resolução da ANM permitia que o infrator recomprasse em leilão o bem apreendido; foi revogada por recomendação do MPF [W3, André Porreca 1:02:28].</w:t>
      </w:r>
    </w:p>
    <w:p>
      <w:pPr>
        <w:pStyle w:val="Bullet"/>
      </w:pPr>
      <w:r>
        <w:t xml:space="preserve">• O banco de perfis do Ouro Alvo precisa de mais amostras [WN-GT2]; a PF monta uma "biblioteca do ouro da América do Sul" [SI, Polícia Federal]; reguladores de compra de ouro de cinco países discutem critérios mínimos [WR-P1].</w:t>
      </w:r>
    </w:p>
    <w:p>
      <w:r>
        <w:rPr>
          <w:b/>
        </w:rPr>
        <w:t xml:space="preserve">Recomendações</w:t>
      </w:r>
    </w:p>
    <w:p>
      <w:r>
        <w:rPr>
          <w:b/>
        </w:rPr>
        <w:t xml:space="preserve">C2.a — Exigir comprovação de origem para exportar ouro nas classificações aduaneiras de sucata e resíduo (D1).</w:t>
      </w:r>
    </w:p>
    <w:p>
      <w:pPr>
        <w:pStyle w:val="Bullet"/>
      </w:pPr>
      <w:r>
        <w:t xml:space="preserve">• Quem: Receita Federal e Secretaria de Comércio Exterior.</w:t>
      </w:r>
    </w:p>
    <w:p>
      <w:pPr>
        <w:pStyle w:val="Bullet"/>
      </w:pPr>
      <w:r>
        <w:t xml:space="preserve">• Implicações: o regulamento precisa distinguir o setor legítimo de reciclagem de joias.</w:t>
      </w:r>
    </w:p>
    <w:p>
      <w:pPr>
        <w:pStyle w:val="Bullet"/>
      </w:pPr>
      <w:r>
        <w:t xml:space="preserve">• Viabilidade: alta [verificar números].</w:t>
      </w:r>
    </w:p>
    <w:p>
      <w:r>
        <w:rPr>
          <w:b/>
        </w:rPr>
        <w:t xml:space="preserve">C2.b — Amostrar todo ouro apreendido para o banco do Ouro Alvo (D1).</w:t>
      </w:r>
      <w:r>
        <w:t xml:space="preserve"> A amostra também subsidia a decisão judicial sobre a devolução. Há apoio de cooperação internacional [WR-P2; WN-GT2]. Viabilidade: alta.</w:t>
      </w:r>
    </w:p>
    <w:p>
      <w:r>
        <w:rPr>
          <w:b/>
        </w:rPr>
        <w:t xml:space="preserve">C2.c — Participação formal do Brasil na rede regional de reguladores de compra de ouro (D1).</w:t>
      </w:r>
      <w:r>
        <w:t xml:space="preserve"> Banco Central, ANM e Receita, com equivalência de critérios mínimos, sem tratado.</w:t>
      </w:r>
    </w:p>
    <w:p>
      <w:r>
        <w:rPr>
          <w:b/>
        </w:rPr>
        <w:t xml:space="preserve">Não recomendaria:</w:t>
      </w:r>
      <w:r>
        <w:t xml:space="preserve"> mexer na Lei Kandir para tributar a exportação de ouro [WN-GT2]. A não incidência de ICMS na exportação está na Constituição (art. 155, §2º, X, "a"), e o ouro como ativo financeiro só se sujeita ao IOF (art. 153, §5º) [verificar]. Seria necessária emenda constitucional.</w:t>
      </w:r>
    </w:p>
    <w:p>
      <w:pPr>
        <w:pStyle w:val="Heading2"/>
      </w:pPr>
      <w:r>
        <w:t xml:space="preserve">C3. Combustível, mercúrio, conectividade e pistas são controláveis, mas o controle foi episódico</w:t>
      </w:r>
    </w:p>
    <w:p>
      <w:r>
        <w:rPr>
          <w:b/>
        </w:rPr>
        <w:t xml:space="preserve">Evidências</w:t>
      </w:r>
    </w:p>
    <w:p>
      <w:pPr>
        <w:pStyle w:val="Bullet"/>
      </w:pPr>
      <w:r>
        <w:t xml:space="preserve">• ANP, ANAC, ANTT e Anatel foram incorporadas à coordenação para "estrangular a logística" do garimpo, novidade depois replicada [W1, Nilton Tubino 38:30–39:20]; "se o óleo não chegar, o motor não funciona" [WR-P2, coordenação federal em Roraima].</w:t>
      </w:r>
    </w:p>
    <w:p>
      <w:pPr>
        <w:pStyle w:val="Bullet"/>
      </w:pPr>
      <w:r>
        <w:t xml:space="preserve">• Uma ação civil pública obrigou a ANP a fiscalizar o abastecimento de garimpos em Rondônia e Roraima [W3, André Porreca 13:30].</w:t>
      </w:r>
    </w:p>
    <w:p>
      <w:pPr>
        <w:pStyle w:val="Bullet"/>
      </w:pPr>
      <w:r>
        <w:t xml:space="preserve">• Acordo do MPF com o Starlink para identificar usuários em garimpos [W3, André Porreca 15:06]; plataformas digitais deixaram de vender mercúrio [W3 15:40].</w:t>
      </w:r>
    </w:p>
    <w:p>
      <w:pPr>
        <w:pStyle w:val="Bullet"/>
      </w:pPr>
      <w:r>
        <w:t xml:space="preserve">• O mercúrio não é produzido no Brasil, logo todo o que chega ao garimpo é contrabando; dois decretos de 1989 admitem exceção por licenciamento, e órgãos estaduais entendem que podem autorizar [W3, André Porreca 1:03:48–1:05:05]; entra por ar, rio e mar [WN-GT2].</w:t>
      </w:r>
    </w:p>
    <w:p>
      <w:pPr>
        <w:pStyle w:val="Bullet"/>
      </w:pPr>
      <w:r>
        <w:t xml:space="preserve">• Pistas de pouso do garimpo servem também ao narcotráfico [W1 44:30; WN, Palestra Magna I].</w:t>
      </w:r>
    </w:p>
    <w:p>
      <w:pPr>
        <w:pStyle w:val="Bullet"/>
      </w:pPr>
      <w:r>
        <w:t xml:space="preserve">• A delegação colombiana propõe que a cooperação regional priorize o controle de combustível, químicos, maquinário e explosivos [WR-P3]; a cadeia do diesel está capturada na última milha [WR-P2].</w:t>
      </w:r>
    </w:p>
    <w:p>
      <w:r>
        <w:rPr>
          <w:b/>
        </w:rPr>
        <w:t xml:space="preserve">Recomendações</w:t>
      </w:r>
    </w:p>
    <w:p>
      <w:r>
        <w:rPr>
          <w:b/>
        </w:rPr>
        <w:t xml:space="preserve">C3.a — Municípios de garimpo e de rota nos planos anuais de fiscalização dos reguladores (D1).</w:t>
      </w:r>
    </w:p>
    <w:p>
      <w:pPr>
        <w:pStyle w:val="Bullet"/>
      </w:pPr>
      <w:r>
        <w:t xml:space="preserve">• Divisão: ANP fiscaliza revendas e transportadores de combustível; ANAC, pistas e aeronaves; Anatel, terminais de satélite, estendendo o modelo do acordo com o Starlink aos demais provedores.</w:t>
      </w:r>
    </w:p>
    <w:p>
      <w:pPr>
        <w:pStyle w:val="Bullet"/>
      </w:pPr>
      <w:r>
        <w:t xml:space="preserve">• Implicações: as agências são autônomas e respondem aos seus colegiados, mas o que funcionou em Roraima vira rotina sem norma nova. A ação civil pública mostra que a pressão institucional funciona.</w:t>
      </w:r>
    </w:p>
    <w:p>
      <w:pPr>
        <w:pStyle w:val="Bullet"/>
      </w:pPr>
      <w:r>
        <w:t xml:space="preserve">• Viabilidade: alta.</w:t>
      </w:r>
    </w:p>
    <w:p>
      <w:r>
        <w:rPr>
          <w:b/>
        </w:rPr>
        <w:t xml:space="preserve">C3.b — Esclarecer a interpretação dos decretos de mercúrio de 1989 (D2).</w:t>
      </w:r>
    </w:p>
    <w:p>
      <w:pPr>
        <w:pStyle w:val="Bullet"/>
      </w:pPr>
      <w:r>
        <w:t xml:space="preserve">• Primeiro passo: nota interpretativa da AGU e do MMA aos estados, na linha da nota técnica que o MPF já enviou à Casa Civil e ao MMA [W3].</w:t>
      </w:r>
    </w:p>
    <w:p>
      <w:pPr>
        <w:pStyle w:val="Bullet"/>
      </w:pPr>
      <w:r>
        <w:t xml:space="preserve">• Segundo passo: decreto que elimine a exceção.</w:t>
      </w:r>
    </w:p>
    <w:p>
      <w:pPr>
        <w:pStyle w:val="Bullet"/>
      </w:pPr>
      <w:r>
        <w:t xml:space="preserve">• Implicações: resistência de estados e do setor garimpeiro; o Amazonas já alterou sua norma [W3], o que mostra que é possível.</w:t>
      </w:r>
    </w:p>
    <w:p>
      <w:pPr>
        <w:pStyle w:val="Bullet"/>
      </w:pPr>
      <w:r>
        <w:t xml:space="preserve">• Viabilidade: média.</w:t>
      </w:r>
    </w:p>
    <w:p>
      <w:r>
        <w:rPr>
          <w:b/>
        </w:rPr>
        <w:t xml:space="preserve">Registraria como agenda, sem recomendar agora:</w:t>
      </w:r>
      <w:r>
        <w:t xml:space="preserve"> transição energética do transporte fluvial como medida de segurança [WR-P2]. Hoje caberia, no máximo, como estudo piloto em uma calha.</w:t>
      </w:r>
    </w:p>
    <w:p>
      <w:pPr>
        <w:pStyle w:val="Heading2"/>
      </w:pPr>
      <w:r>
        <w:t xml:space="preserve">C4. A terra pública não destinada é o ativo que o crime capitaliza; o CAR vira título</w:t>
      </w:r>
    </w:p>
    <w:p>
      <w:r>
        <w:rPr>
          <w:b/>
        </w:rPr>
        <w:t xml:space="preserve">Evidências</w:t>
      </w:r>
    </w:p>
    <w:p>
      <w:pPr>
        <w:pStyle w:val="Bullet"/>
      </w:pPr>
      <w:r>
        <w:t xml:space="preserve">• A maior parte do desmatamento ocorre em terra pública não destinada; há fraude de matrículas até em quilombo titulado; o SIGEF não conversa com os órgãos fundiários estaduais [W1, Helena Maués 49:00–52:30].</w:t>
      </w:r>
    </w:p>
    <w:p>
      <w:pPr>
        <w:pStyle w:val="Bullet"/>
      </w:pPr>
      <w:r>
        <w:t xml:space="preserve">• São 50 milhões de hectares de florestas públicas não destinadas, 73% no Amazonas; 44% dos cadastros sobrepostos a essas florestas são de áreas maiores que 1.500 ha, e cerca de 70% deles tiveram desmatamento e fogo [W3, Rebeca Lima 21:50–28:20] [a conferir].</w:t>
      </w:r>
    </w:p>
    <w:p>
      <w:pPr>
        <w:pStyle w:val="Bullet"/>
      </w:pPr>
      <w:r>
        <w:t xml:space="preserve">• 78% da área vira pasto de baixa produtividade, "boi de ocupação" à espera de mudança legal [W3, Rebeca Lima 33:30].</w:t>
      </w:r>
    </w:p>
    <w:p>
      <w:pPr>
        <w:pStyle w:val="Bullet"/>
      </w:pPr>
      <w:r>
        <w:t xml:space="preserve">• "O problema não é tecnologia": falta conectar monitoramento com governança fundiária, fiscalização e Justiça [W3, Rebeca Lima 36:00].</w:t>
      </w:r>
    </w:p>
    <w:p>
      <w:pPr>
        <w:pStyle w:val="Bullet"/>
      </w:pPr>
      <w:r>
        <w:t xml:space="preserve">• O CAR sobreposto é uma "bomba-relógio", e há tensão entre cancelar e integrar [WN-GT1].</w:t>
      </w:r>
    </w:p>
    <w:p>
      <w:pPr>
        <w:pStyle w:val="Bullet"/>
      </w:pPr>
      <w:r>
        <w:t xml:space="preserve">• Sinalizar redução de UC atrai invasão; assentamentos estão sem censo há dez anos [WN, Palestra Magna II].</w:t>
      </w:r>
    </w:p>
    <w:p>
      <w:pPr>
        <w:pStyle w:val="Bullet"/>
      </w:pPr>
      <w:r>
        <w:t xml:space="preserve">• Na BR-319 há grilagem e loteamento, e o INCRA está ausente das discussões [WR-P3].</w:t>
      </w:r>
    </w:p>
    <w:p>
      <w:pPr>
        <w:pStyle w:val="Bullet"/>
      </w:pPr>
      <w:r>
        <w:t xml:space="preserve">• Validação: bloqueio de CAR sobreposto a florestas públicas e inversão do ônus da prova na tipificação da grilagem [VL, CCPI].</w:t>
      </w:r>
    </w:p>
    <w:p>
      <w:r>
        <w:rPr>
          <w:b/>
        </w:rPr>
        <w:t xml:space="preserve">Recomendações</w:t>
      </w:r>
    </w:p>
    <w:p>
      <w:r>
        <w:rPr>
          <w:b/>
        </w:rPr>
        <w:t xml:space="preserve">C4.a — Suspensão cautelar dos efeitos do CAR sobreposto a floresta pública federal (D1/D2).</w:t>
      </w:r>
    </w:p>
    <w:p>
      <w:pPr>
        <w:pStyle w:val="Bullet"/>
      </w:pPr>
      <w:r>
        <w:t xml:space="preserve">• O que é: o cadastro sobreposto deixa de valer para crédito, GTA e licenças. O cancelamento definitivo continua exigindo processo com contraditório; a suspensão resolve a tensão entre cancelar e integrar, porque o cadastro permanece na base e perde o uso como título.</w:t>
      </w:r>
    </w:p>
    <w:p>
      <w:pPr>
        <w:pStyle w:val="Bullet"/>
      </w:pPr>
      <w:r>
        <w:t xml:space="preserve">• Implicações: a análise do CAR é estadual; a União age sobre as terras dela.</w:t>
      </w:r>
    </w:p>
    <w:p>
      <w:pPr>
        <w:pStyle w:val="Bullet"/>
      </w:pPr>
      <w:r>
        <w:t xml:space="preserve">• Viabilidade: média-alta.</w:t>
      </w:r>
    </w:p>
    <w:p>
      <w:r>
        <w:rPr>
          <w:b/>
        </w:rPr>
        <w:t xml:space="preserve">C4.b — Critério de pressão para ordenar a fila de destinação (D1).</w:t>
      </w:r>
      <w:r>
        <w:t xml:space="preserve"> Priorizar as glebas com CAR sobreposto e desmatamento recente; nas florestas públicas estaduais do Amazonas, o pedido é ao estado. Não exige lei.</w:t>
      </w:r>
    </w:p>
    <w:p>
      <w:r>
        <w:rPr>
          <w:b/>
        </w:rPr>
        <w:t xml:space="preserve">C4.c — Camada fundiária na emissão de GTA, começando por um estado disposto (D1 estadual).</w:t>
      </w:r>
      <w:r>
        <w:t xml:space="preserve"> A GTA é estadual, e o piloto evita depender de todos.</w:t>
      </w:r>
    </w:p>
    <w:p>
      <w:r>
        <w:rPr>
          <w:b/>
        </w:rPr>
        <w:t xml:space="preserve">Não recomendaria como está:</w:t>
      </w:r>
      <w:r>
        <w:t xml:space="preserve"> tipificar a grilagem com inversão do ônus da prova, por analogia com a lavagem [VL, CCPI]. No processo penal, a inversão esbarra na presunção de inocência (CF, art. 5º, LVII). A analogia com a lavagem vale para bens (quem pede a liberação prova a origem lícita — Lei 9.613/1998, art. 4º, §2º) [verificar], e não para a culpa. O viável é a inversão na esfera administrativa: cabe ao declarante do CAR demonstrar a posse legítima para manter os efeitos do cadastro. A tipificação em si é D3, com resistência conhecida no Congresso.</w:t>
      </w:r>
    </w:p>
    <w:p>
      <w:pPr>
        <w:pStyle w:val="Heading2"/>
      </w:pPr>
      <w:r>
        <w:t xml:space="preserve">C5. Gado, madeira e pescado: o ilícito circula dentro do lícito, e quem compra não responde</w:t>
      </w:r>
    </w:p>
    <w:p>
      <w:r>
        <w:rPr>
          <w:b/>
        </w:rPr>
        <w:t xml:space="preserve">Evidências</w:t>
      </w:r>
    </w:p>
    <w:p>
      <w:pPr>
        <w:pStyle w:val="Bullet"/>
      </w:pPr>
      <w:r>
        <w:t xml:space="preserve">• 83% das áreas embargadas seguem produzindo, logo alguém compra; a restrição de crédito rural a desmatadores funcionou [WN, Palestra Magna II] [a conferir].</w:t>
      </w:r>
    </w:p>
    <w:p>
      <w:pPr>
        <w:pStyle w:val="Bullet"/>
      </w:pPr>
      <w:r>
        <w:t xml:space="preserve">• A rastreabilidade bovina é o próximo desafio [W1, Nilton Tubino 1:29:42], com a GTA como dado-chave [W1, Carolina Bastos 23:20].</w:t>
      </w:r>
    </w:p>
    <w:p>
      <w:pPr>
        <w:pStyle w:val="Bullet"/>
      </w:pPr>
      <w:r>
        <w:t xml:space="preserve">• A droga viaja escondida em carga de madeira legal [WN, Palestra Magna I]; a madeira passa por estradas, postos e portos mapeados: "alguma coisa está muito errada" [WN-GT3].</w:t>
      </w:r>
    </w:p>
    <w:p>
      <w:pPr>
        <w:pStyle w:val="Bullet"/>
      </w:pPr>
      <w:r>
        <w:t xml:space="preserve">• O fiscal não consegue identificar espécie de madeira ou de peixe ornamental no meio de lote legal [WN-GT3]; há ferramentas: xiloteca do INPA com mais de 10 mil registros [WR-P4] [a conferir], rastreio isotópico de madeira [WR-P1], amostragem negativa de origem [SI, Polícia Federal].</w:t>
      </w:r>
    </w:p>
    <w:p>
      <w:pPr>
        <w:pStyle w:val="Bullet"/>
      </w:pPr>
      <w:r>
        <w:t xml:space="preserve">• O peixe ornamental sai por Colômbia e Peru, aproveitando diferenças normativas [WR-P4].</w:t>
      </w:r>
    </w:p>
    <w:p>
      <w:r>
        <w:rPr>
          <w:b/>
        </w:rPr>
        <w:t xml:space="preserve">Recomendações</w:t>
      </w:r>
    </w:p>
    <w:p>
      <w:r>
        <w:rPr>
          <w:b/>
        </w:rPr>
        <w:t xml:space="preserve">C5.a — Usar a regra que já pune quem compra de área embargada (D1).</w:t>
      </w:r>
      <w:r>
        <w:t xml:space="preserve"> O art. 54 do Decreto 6.514/2008 já prevê a infração de adquirir, transportar ou comercializar produto de área embargada [verificar redação]. O que falta é o dado de trânsito (GTA) chegar ao Ibama de forma sistemática (ver B2.a). Viabilidade: alta.</w:t>
      </w:r>
    </w:p>
    <w:p>
      <w:r>
        <w:rPr>
          <w:b/>
        </w:rPr>
        <w:t xml:space="preserve">C5.b — Serviço de identificação rápida de espécies para o fiscal em campo (D1).</w:t>
      </w:r>
      <w:r>
        <w:t xml:space="preserve"> ACT entre PF, INPA e Ibama para uso de coleções de referência e laboratórios (DNA e isótopos) já existentes, antes de criar rede nova.</w:t>
      </w:r>
    </w:p>
    <w:p>
      <w:pPr>
        <w:pStyle w:val="Heading2"/>
      </w:pPr>
      <w:r>
        <w:t xml:space="preserve">C6. Biopirataria e tráfico de fauna estão fora do radar da fronteira</w:t>
      </w:r>
    </w:p>
    <w:p>
      <w:r>
        <w:rPr>
          <w:b/>
        </w:rPr>
        <w:t xml:space="preserve">Evidências</w:t>
      </w:r>
    </w:p>
    <w:p>
      <w:pPr>
        <w:pStyle w:val="Bullet"/>
      </w:pPr>
      <w:r>
        <w:t xml:space="preserve">• Na fronteira seca de Roraima, cada agência olha o seu, e ninguém inspeciona material biológico; os cursos de fronteira focam drogas e armas; não há tipo penal aplicável ao biopirata, "solto em 15 minutos"; o projeto de lei sobre tráfico de animais silvestres está parado [WN-GT3].</w:t>
      </w:r>
    </w:p>
    <w:p>
      <w:pPr>
        <w:pStyle w:val="Bullet"/>
      </w:pPr>
      <w:r>
        <w:t xml:space="preserve">• Pesquisadores alegam desconhecer a Lei 13.123; houve operação com mais de 50 empresas autuadas por não repartir benefícios [WR-P4, órgão ambiental federal] [a conferir].</w:t>
      </w:r>
    </w:p>
    <w:p>
      <w:pPr>
        <w:pStyle w:val="Bullet"/>
      </w:pPr>
      <w:r>
        <w:t xml:space="preserve">• Núcleos de inovação conhecem as regras, o pesquisador de bancada não; a multa não muda comportamento [WR-P4, instituto de pesquisa federal].</w:t>
      </w:r>
    </w:p>
    <w:p>
      <w:pPr>
        <w:pStyle w:val="Bullet"/>
      </w:pPr>
      <w:r>
        <w:t xml:space="preserve">• O polo farmacêutico de Manaus não usa princípio ativo amazônico [WR-P4]; a patente leva cerca de um ano no Brasil [WN-GT3]; cupuaçu e pau-rosa sofreram tentativas de apropriação no exterior [SI, ICMBio].</w:t>
      </w:r>
    </w:p>
    <w:p>
      <w:r>
        <w:rPr>
          <w:b/>
        </w:rPr>
        <w:t xml:space="preserve">Recomendações</w:t>
      </w:r>
    </w:p>
    <w:p>
      <w:r>
        <w:rPr>
          <w:b/>
        </w:rPr>
        <w:t xml:space="preserve">C6.a — Material biológico nos roteiros de inspeção e nos cursos de fronteira já existentes (D1).</w:t>
      </w:r>
      <w:r>
        <w:t xml:space="preserve"> Vigiagro, Receita e cursos interagências. Custo baixo.</w:t>
      </w:r>
    </w:p>
    <w:p>
      <w:r>
        <w:rPr>
          <w:b/>
        </w:rPr>
        <w:t xml:space="preserve">C6.b — Programa de conformidade para pesquisadores, com orientação antes da autuação (D1).</w:t>
      </w:r>
      <w:r>
        <w:t xml:space="preserve"> Ibama, CGen e núcleos de inovação das universidades. O próprio Ibama perguntou como contribuir além de multar [WR-P4].</w:t>
      </w:r>
    </w:p>
    <w:p>
      <w:r>
        <w:rPr>
          <w:b/>
        </w:rPr>
        <w:t xml:space="preserve">Horizonte (D3):</w:t>
      </w:r>
      <w:r>
        <w:t xml:space="preserve"> penas para o tráfico de fauna, apoiando o projeto de lei existente em vez de propor um novo.</w:t>
      </w:r>
    </w:p>
    <w:p>
      <w:pPr>
        <w:pStyle w:val="Heading1"/>
      </w:pPr>
      <w:r>
        <w:t xml:space="preserve">Bloco D — A punição não dissuade</w:t>
      </w:r>
    </w:p>
    <w:p>
      <w:pPr>
        <w:pStyle w:val="Heading2"/>
      </w:pPr>
      <w:r>
        <w:t xml:space="preserve">D1. Pena baixa, prova frágil, processo longo e bens devolvidos</w:t>
      </w:r>
    </w:p>
    <w:p>
      <w:r>
        <w:rPr>
          <w:b/>
        </w:rPr>
        <w:t xml:space="preserve">Evidências</w:t>
      </w:r>
    </w:p>
    <w:p>
      <w:pPr>
        <w:pStyle w:val="Bullet"/>
      </w:pPr>
      <w:r>
        <w:t xml:space="preserve">• A legislação branda gera impunidade [W1, Carolina Bastos 28:25].</w:t>
      </w:r>
    </w:p>
    <w:p>
      <w:pPr>
        <w:pStyle w:val="Bullet"/>
      </w:pPr>
      <w:r>
        <w:t xml:space="preserve">• Desintrusões dependem de processos de 20 a 30 anos, e recursos suspendem operações mesmo com decisão do STF [W1 33:10].</w:t>
      </w:r>
    </w:p>
    <w:p>
      <w:pPr>
        <w:pStyle w:val="Bullet"/>
      </w:pPr>
      <w:r>
        <w:t xml:space="preserve">• Falta prova robusta para manter o preso; o ouro apreendido é devolvido [WN-GT2].</w:t>
      </w:r>
    </w:p>
    <w:p>
      <w:pPr>
        <w:pStyle w:val="Bullet"/>
      </w:pPr>
      <w:r>
        <w:t xml:space="preserve">• Multas em larga escala não são pagas [WN, Palestra Magna I].</w:t>
      </w:r>
    </w:p>
    <w:p>
      <w:pPr>
        <w:pStyle w:val="Bullet"/>
      </w:pPr>
      <w:r>
        <w:t xml:space="preserve">• A pena é baixa no mundo todo; as polícias europeias investigam crime ambiental sempre junto com organização criminosa e lavagem [VL, CCPI; WR-P1].</w:t>
      </w:r>
    </w:p>
    <w:p>
      <w:pPr>
        <w:pStyle w:val="Bullet"/>
      </w:pPr>
      <w:r>
        <w:t xml:space="preserve">• Tripla responsabilização (penal, administrativa, civil) e investigação documental [WR-P1, pesquisadora].</w:t>
      </w:r>
    </w:p>
    <w:p>
      <w:pPr>
        <w:pStyle w:val="Bullet"/>
      </w:pPr>
      <w:r>
        <w:t xml:space="preserve">• Metodologia de valoração do dano climático reconhecida pelo CNJ [W3, Rebeca Lima 39:02].</w:t>
      </w:r>
    </w:p>
    <w:p>
      <w:r>
        <w:rPr>
          <w:b/>
        </w:rPr>
        <w:t xml:space="preserve">Recomendações</w:t>
      </w:r>
    </w:p>
    <w:p>
      <w:r>
        <w:rPr>
          <w:b/>
        </w:rPr>
        <w:t xml:space="preserve">D1.a — Enquadramento conjunto como padrão (D1).</w:t>
      </w:r>
      <w:r>
        <w:t xml:space="preserve"> Crime ambiental investigado e denunciado com organização criminosa (Lei 12.850/2013) e lavagem (Lei 9.613/1998) sempre que houver elementos. As penas maiores já existem; o que muda é a prática. Pode vir de orientação da PF e das câmaras do MPF. Viabilidade: alta.</w:t>
      </w:r>
    </w:p>
    <w:p>
      <w:r>
        <w:rPr>
          <w:b/>
        </w:rPr>
        <w:t xml:space="preserve">D1.b — Difundir a valoração do dano climático nas ações civis públicas (D1).</w:t>
      </w:r>
      <w:r>
        <w:t xml:space="preserve"> Viabilidade: alta.</w:t>
      </w:r>
    </w:p>
    <w:p>
      <w:r>
        <w:rPr>
          <w:b/>
        </w:rPr>
        <w:t xml:space="preserve">Horizonte (D3):</w:t>
      </w:r>
      <w:r>
        <w:t xml:space="preserve"> endurecer as penas da Lei 9.605/1998. Se entrar, deve ser como alinhamento a norma europeia com prazo até 2026 [verificar instrumento], e não como endurecimento isolado, que enfrenta lobby conhecido [VL, CCPI].</w:t>
      </w:r>
    </w:p>
    <w:p>
      <w:pPr>
        <w:pStyle w:val="Heading1"/>
      </w:pPr>
      <w:r>
        <w:t xml:space="preserve">Bloco E — Quem mora no território fica de fora</w:t>
      </w:r>
    </w:p>
    <w:p>
      <w:pPr>
        <w:pStyle w:val="Heading2"/>
      </w:pPr>
      <w:r>
        <w:t xml:space="preserve">E1. Sem economia lícita competitiva, a repressão produz retorno ao ilícito</w:t>
      </w:r>
    </w:p>
    <w:p>
      <w:r>
        <w:rPr>
          <w:b/>
        </w:rPr>
        <w:t xml:space="preserve">Evidências</w:t>
      </w:r>
    </w:p>
    <w:p>
      <w:pPr>
        <w:pStyle w:val="Bullet"/>
      </w:pPr>
      <w:r>
        <w:t xml:space="preserve">• "Economia satélite": quando a atividade legal vira ilegal, o comércio local passa a gravitar em torno do ilícito; "não se resolve com repressão" [WN, Palestra Magna I].</w:t>
      </w:r>
    </w:p>
    <w:p>
      <w:pPr>
        <w:pStyle w:val="Bullet"/>
      </w:pPr>
      <w:r>
        <w:t xml:space="preserve">• A economia local inteira gira no ilícito, então a alternativa precisa de volume comparável [WR-P1].</w:t>
      </w:r>
    </w:p>
    <w:p>
      <w:pPr>
        <w:pStyle w:val="Bullet"/>
      </w:pPr>
      <w:r>
        <w:t xml:space="preserve">• Há localidades com mais pessoas trabalhando para o crime do que com carteira assinada [W3, Gen. Roberto Angrizani 50:33]; a riqueza do garimpo não fica no lugar [W1 1:02:30].</w:t>
      </w:r>
    </w:p>
    <w:p>
      <w:pPr>
        <w:pStyle w:val="Bullet"/>
      </w:pPr>
      <w:r>
        <w:t xml:space="preserve">• Pelo Índice de Progresso Social, 18 dos 20 piores municípios estão na Amazônia [WR-P4] [a conferir].</w:t>
      </w:r>
    </w:p>
    <w:p>
      <w:pPr>
        <w:pStyle w:val="Bullet"/>
      </w:pPr>
      <w:r>
        <w:t xml:space="preserve">• Seis dos oito respondentes do formulário, polícias inclusive, responderam com desenvolvimento econômico a uma pergunta sobre crime [FM].</w:t>
      </w:r>
    </w:p>
    <w:p>
      <w:pPr>
        <w:pStyle w:val="Bullet"/>
      </w:pPr>
      <w:r>
        <w:t xml:space="preserve">• A Estratégia de Bioeconomia não dialoga com o programa federal contra o crime organizado [WR-P4, moderação do CSC]; a Senad tem edital aberto de bioeconomia em áreas de alta incidência criminal [WR-P4] [verificar].</w:t>
      </w:r>
    </w:p>
    <w:p>
      <w:pPr>
        <w:pStyle w:val="Bullet"/>
      </w:pPr>
      <w:r>
        <w:t xml:space="preserve">• A mudança do clima reduz o custo de oportunidade do crime [SI, universidade venezuelana]; a seca torna o ribeirinho "alvo fácil" [WR-P4, secretaria estadual de segurança]; houve fábrica de castanha sem castanha no ano [WN-GT2].</w:t>
      </w:r>
    </w:p>
    <w:p>
      <w:pPr>
        <w:pStyle w:val="Bullet"/>
      </w:pPr>
      <w:r>
        <w:t xml:space="preserve">• Sociobioeconomia de alto valor como "economia repelente" [W2, Ismael Nobre 38:13–50:49].</w:t>
      </w:r>
    </w:p>
    <w:p>
      <w:r>
        <w:rPr>
          <w:b/>
        </w:rPr>
        <w:t xml:space="preserve">Recomendações</w:t>
      </w:r>
    </w:p>
    <w:p>
      <w:r>
        <w:rPr>
          <w:b/>
        </w:rPr>
        <w:t xml:space="preserve">E1.a — Priorizar nas chamadas de desenvolvimento alternativo as áreas recém-operadas (D1).</w:t>
      </w:r>
      <w:r>
        <w:t xml:space="preserve"> Vale para editais da Senad e linhas de sociobioeconomia, com a mesma lista de A1.c. Viabilidade: alta.</w:t>
      </w:r>
    </w:p>
    <w:p>
      <w:r>
        <w:rPr>
          <w:b/>
        </w:rPr>
        <w:t xml:space="preserve">E1.b — Referência cruzada formal entre o programa federal contra o crime organizado e o plano de bioeconomia na Amazônia (D2).</w:t>
      </w:r>
      <w:r>
        <w:t xml:space="preserve"> Na validação, o CCPI relatou que a implementação do programa ainda não está clara na Senad [VL], o que é janela, e não obstáculo. Viabilidade: média.</w:t>
      </w:r>
    </w:p>
    <w:p>
      <w:r>
        <w:rPr>
          <w:b/>
        </w:rPr>
        <w:t xml:space="preserve">E1.c — Proteção social rápida em emergência climática, via CadÚnico (D1/D2).</w:t>
      </w:r>
      <w:r>
        <w:t xml:space="preserve"> Viabilidade: média.</w:t>
      </w:r>
    </w:p>
    <w:p>
      <w:r>
        <w:rPr>
          <w:b/>
        </w:rPr>
        <w:t xml:space="preserve">Cuidado:</w:t>
      </w:r>
      <w:r>
        <w:t xml:space="preserve"> a própria fala técnica diz que a bioeconomia "não vai salvar a Amazônia como um todo", e a primeira biofábrica "está ficando muito cara" [WR-P4]. Avaliar os pilotos antes de propor escala.</w:t>
      </w:r>
    </w:p>
    <w:p>
      <w:pPr>
        <w:pStyle w:val="Heading2"/>
      </w:pPr>
      <w:r>
        <w:t xml:space="preserve">E2. Recrutamento e exploração de pessoas são tratados como efeito colateral</w:t>
      </w:r>
    </w:p>
    <w:p>
      <w:r>
        <w:rPr>
          <w:b/>
        </w:rPr>
        <w:t xml:space="preserve">Evidências</w:t>
      </w:r>
    </w:p>
    <w:p>
      <w:pPr>
        <w:pStyle w:val="Bullet"/>
      </w:pPr>
      <w:r>
        <w:t xml:space="preserve">• Tráfico de pessoas e trabalho escravo associados ao garimpo [W1, Helena Maués 47:00 e 1:05:04]; trabalho escravo entre os crimes conexos [W3, André Porreca 13:30].</w:t>
      </w:r>
    </w:p>
    <w:p>
      <w:pPr>
        <w:pStyle w:val="Bullet"/>
      </w:pPr>
      <w:r>
        <w:t xml:space="preserve">• Recrutamento por redes sociais para cozinha e exploração sexual; o trabalhador não se vê como escravo — dívida, documentos retidos, pagamento em ouro [WN-GT2].</w:t>
      </w:r>
    </w:p>
    <w:p>
      <w:pPr>
        <w:pStyle w:val="Bullet"/>
      </w:pPr>
      <w:r>
        <w:t xml:space="preserve">• Recrutamento de menores pelos grupos armados [WR-P3, delegação colombiana]; perfil etário de 20 a 24 anos [WR-P1, moderação acadêmica]; crianças vendendo droga em comunidade indígena do Alto Solimões [WR-P4, Funai].</w:t>
      </w:r>
    </w:p>
    <w:p>
      <w:pPr>
        <w:pStyle w:val="Bullet"/>
      </w:pPr>
      <w:r>
        <w:t xml:space="preserve">• Recrutamento forçado de quem perdeu meios de subsistência por impactos climáticos [SI, universidade venezuelana].</w:t>
      </w:r>
    </w:p>
    <w:p>
      <w:pPr>
        <w:pStyle w:val="Bullet"/>
      </w:pPr>
      <w:r>
        <w:t xml:space="preserve">• Alternativas econômicas protegem a população do recrutamento [FM, ICMBio].</w:t>
      </w:r>
    </w:p>
    <w:p>
      <w:r>
        <w:rPr>
          <w:b/>
        </w:rPr>
        <w:t xml:space="preserve">Recomendações</w:t>
      </w:r>
    </w:p>
    <w:p>
      <w:r>
        <w:rPr>
          <w:b/>
        </w:rPr>
        <w:t xml:space="preserve">E2.a — Auditoria do trabalho e investigação de tráfico de pessoas como padrão nas operações contra o garimpo (D1).</w:t>
      </w:r>
      <w:r>
        <w:t xml:space="preserve"> Tratar a ponta como possível vítima também produz o testemunho que leva ao financiador (ver C1). Viabilidade: alta.</w:t>
      </w:r>
    </w:p>
    <w:p>
      <w:r>
        <w:rPr>
          <w:b/>
        </w:rPr>
        <w:t xml:space="preserve">E2.b — Estender às ofertas de trabalho em garimpo o modelo de atuação com plataformas que tirou o mercúrio de venda (D1, MPF e MPT).</w:t>
      </w:r>
    </w:p>
    <w:p>
      <w:pPr>
        <w:pStyle w:val="Heading2"/>
      </w:pPr>
      <w:r>
        <w:t xml:space="preserve">E3. As novas cadeias lícitas não têm proteção contra a captura</w:t>
      </w:r>
    </w:p>
    <w:p>
      <w:r>
        <w:rPr>
          <w:b/>
        </w:rPr>
        <w:t xml:space="preserve">Evidências</w:t>
      </w:r>
    </w:p>
    <w:p>
      <w:pPr>
        <w:pStyle w:val="Bullet"/>
      </w:pPr>
      <w:r>
        <w:t xml:space="preserve">• A sociobioeconomia será capturada quando der lucro; o açaí hoje não interessa porque não é rentável [W2, Renato Sérgio de Lima 1:00:23].</w:t>
      </w:r>
    </w:p>
    <w:p>
      <w:pPr>
        <w:pStyle w:val="Bullet"/>
      </w:pPr>
      <w:r>
        <w:t xml:space="preserve">• A captura de cadeias ocorre por financiamento, logística, documentação falsa, mercados receptores e lavagem [WR-P4, instituto de pesquisa federal].</w:t>
      </w:r>
    </w:p>
    <w:p>
      <w:pPr>
        <w:pStyle w:val="Bullet"/>
      </w:pPr>
      <w:r>
        <w:t xml:space="preserve">• Rastreabilidade eletrônica nativa e pagamento rastreável como blindagem [W2, Ismael Nobre 1:29:20].</w:t>
      </w:r>
    </w:p>
    <w:p>
      <w:pPr>
        <w:pStyle w:val="Bullet"/>
      </w:pPr>
      <w:r>
        <w:t xml:space="preserve">• No crédito de carbono, quem ganha é o intermediário, porque o proprietário não entende o contrato [WR-P4, secretaria estadual de segurança]; há "grilagem verde" para projetos de carbono [WN, Palestra Magna II].</w:t>
      </w:r>
    </w:p>
    <w:p>
      <w:r>
        <w:rPr>
          <w:b/>
        </w:rPr>
        <w:t xml:space="preserve">Recomendações</w:t>
      </w:r>
    </w:p>
    <w:p>
      <w:r>
        <w:rPr>
          <w:b/>
        </w:rPr>
        <w:t xml:space="preserve">E3.a — Rastreabilidade e pagamento digital como condição dos projetos financiados com recurso público (D1).</w:t>
      </w:r>
      <w:r>
        <w:t xml:space="preserve"> Vale para Fundo Amazônia, BNDES e Senad. Implicações: exige inclusão bancária mínima, que o Pix facilita. Viabilidade: alta.</w:t>
      </w:r>
    </w:p>
    <w:p>
      <w:r>
        <w:rPr>
          <w:b/>
        </w:rPr>
        <w:t xml:space="preserve">E3.b — Modelo de contrato e orientação às comunidades em projetos de carbono (D1/D2).</w:t>
      </w:r>
      <w:r>
        <w:t xml:space="preserve"> Janela: regulamentação da Lei 15.042/2024 [verificar dispositivos sobre comunidades]; primeiro passo com Defensoria, MPF e Funai.</w:t>
      </w:r>
    </w:p>
    <w:p>
      <w:pPr>
        <w:pStyle w:val="Heading2"/>
      </w:pPr>
      <w:r>
        <w:t xml:space="preserve">E4. Comunidades como objeto, e não como parte da segurança; quem informa fica exposto</w:t>
      </w:r>
    </w:p>
    <w:p>
      <w:r>
        <w:rPr>
          <w:b/>
        </w:rPr>
        <w:t xml:space="preserve">Evidências</w:t>
      </w:r>
    </w:p>
    <w:p>
      <w:pPr>
        <w:pStyle w:val="Bullet"/>
      </w:pPr>
      <w:r>
        <w:t xml:space="preserve">• Segurança "para eles" é diferente de segurança "com eles" [WR-P3, moderação acadêmica].</w:t>
      </w:r>
    </w:p>
    <w:p>
      <w:pPr>
        <w:pStyle w:val="Bullet"/>
      </w:pPr>
      <w:r>
        <w:t xml:space="preserve">• As comunidades passam informação de qualidade, mas não podem aparecer [WR-P3, gestor de unidades de conservação federais].</w:t>
      </w:r>
    </w:p>
    <w:p>
      <w:pPr>
        <w:pStyle w:val="Bullet"/>
      </w:pPr>
      <w:r>
        <w:t xml:space="preserve">• A guarda de fronteira estadual, em diálogo com lideranças indígenas, fez grande apreensão de cocaína [WR-P2, Funai].</w:t>
      </w:r>
    </w:p>
    <w:p>
      <w:pPr>
        <w:pStyle w:val="Bullet"/>
      </w:pPr>
      <w:r>
        <w:t xml:space="preserve">• As sete boas práticas mapeadas por uma organização de pesquisa têm escuta do território [WR-P2]; o Exército promove o Diálogo de Manaus com povos originários [WR-P3].</w:t>
      </w:r>
    </w:p>
    <w:p>
      <w:pPr>
        <w:pStyle w:val="Bullet"/>
      </w:pPr>
      <w:r>
        <w:t xml:space="preserve">• Programas de proteção a defensores precisam de outras estratégias [W2, Edel Moraes 30:11]; falta proteção a quem denuncia [WN-GT1].</w:t>
      </w:r>
    </w:p>
    <w:p>
      <w:pPr>
        <w:pStyle w:val="Bullet"/>
      </w:pPr>
      <w:r>
        <w:t xml:space="preserve">• O modelo urbano de segurança não serve a territórios tradicionais [W2, Edel Moraes 24:10].</w:t>
      </w:r>
    </w:p>
    <w:p>
      <w:pPr>
        <w:pStyle w:val="Bullet"/>
      </w:pPr>
      <w:r>
        <w:t xml:space="preserve">• A autoproteção indígena pode proteger ou dificultar a ação do Estado [WR-P2].</w:t>
      </w:r>
    </w:p>
    <w:p>
      <w:pPr>
        <w:pStyle w:val="Bullet"/>
      </w:pPr>
      <w:r>
        <w:t xml:space="preserve">• Convenção 169 e audiência pública [W3 1:24:22]; patrulhamento comunitário e alerta cidadão [FM, SSP-MA].</w:t>
      </w:r>
    </w:p>
    <w:p>
      <w:r>
        <w:rPr>
          <w:b/>
        </w:rPr>
        <w:t xml:space="preserve">Recomendações</w:t>
      </w:r>
    </w:p>
    <w:p>
      <w:r>
        <w:rPr>
          <w:b/>
        </w:rPr>
        <w:t xml:space="preserve">E4.a — Protocolo para receber e proteger a informação comunitária (D1).</w:t>
      </w:r>
      <w:r>
        <w:t xml:space="preserve"> Gestores territoriais (ICMBio, Funai), com anonimização da fonte e rota definida até a inteligência. Viabilidade: alta.</w:t>
      </w:r>
    </w:p>
    <w:p>
      <w:r>
        <w:rPr>
          <w:b/>
        </w:rPr>
        <w:t xml:space="preserve">E4.b — Ouvir as lideranças na fase de consolidação, não na fase tática (D1).</w:t>
      </w:r>
      <w:r>
        <w:t xml:space="preserve"> A operação depende de surpresa e não se submete a consulta prévia; o pós-operação afeta o modo de vida e deve seguir os protocolos de consulta de cada povo.</w:t>
      </w:r>
    </w:p>
    <w:p>
      <w:r>
        <w:rPr>
          <w:b/>
        </w:rPr>
        <w:t xml:space="preserve">Horizonte (D3):</w:t>
      </w:r>
      <w:r>
        <w:t xml:space="preserve"> ratificação do Acordo de Escazú [W2, Edel Moraes 36:00].</w:t>
      </w:r>
    </w:p>
    <w:p>
      <w:pPr>
        <w:pStyle w:val="Heading2"/>
      </w:pPr>
      <w:r>
        <w:t xml:space="preserve">E5. Grandes obras sem avaliação do risco de captura territorial</w:t>
      </w:r>
    </w:p>
    <w:p>
      <w:r>
        <w:rPr>
          <w:b/>
        </w:rPr>
        <w:t xml:space="preserve">Evidências</w:t>
      </w:r>
    </w:p>
    <w:p>
      <w:pPr>
        <w:pStyle w:val="Bullet"/>
      </w:pPr>
      <w:r>
        <w:t xml:space="preserve">• A BR-319, ligada à rota Lethem–Georgetown, vai capilarizar a logística do crime [WR-P2, instituto de pesquisa federal].</w:t>
      </w:r>
    </w:p>
    <w:p>
      <w:pPr>
        <w:pStyle w:val="Bullet"/>
      </w:pPr>
      <w:r>
        <w:t xml:space="preserve">• O modal rodoviário aumenta o risco em "espinha de peixe"; proposta de "relatórios de impacto na segurança e na soberania" [WR-P2].</w:t>
      </w:r>
    </w:p>
    <w:p>
      <w:pPr>
        <w:pStyle w:val="Bullet"/>
      </w:pPr>
      <w:r>
        <w:t xml:space="preserve">• "O investimento não é só asfalto"; sem tamponamento territorial, perde-se governabilidade [WR-P4; WR-P3].</w:t>
      </w:r>
    </w:p>
    <w:p>
      <w:pPr>
        <w:pStyle w:val="Bullet"/>
      </w:pPr>
      <w:r>
        <w:t xml:space="preserve">• Em sentido contrário: o isolamento logístico também é vulnerabilidade de defesa — rios sem hidrovia [WR-P3, indústria].</w:t>
      </w:r>
    </w:p>
    <w:p>
      <w:pPr>
        <w:pStyle w:val="Bullet"/>
      </w:pPr>
      <w:r>
        <w:t xml:space="preserve">• A BR-319 é citada na logística estatal [W1 1:18:40]; o plano integrado de proteção da BR-319 já existe [VL, CCPI].</w:t>
      </w:r>
    </w:p>
    <w:p>
      <w:r>
        <w:rPr>
          <w:b/>
        </w:rPr>
        <w:t xml:space="preserve">Recomendações</w:t>
      </w:r>
    </w:p>
    <w:p>
      <w:r>
        <w:rPr>
          <w:b/>
        </w:rPr>
        <w:t xml:space="preserve">E5.a — Risco de captura territorial no termo de referência do licenciamento de grandes obras (D1, Ibama).</w:t>
      </w:r>
      <w:r>
        <w:t xml:space="preserve"> Viabilidade: média, pela pressão por rapidez nas obras.</w:t>
      </w:r>
    </w:p>
    <w:p>
      <w:r>
        <w:rPr>
          <w:b/>
        </w:rPr>
        <w:t xml:space="preserve">E5.b — Plano integrado de proteção como padrão para obras federais na Amazônia (D2).</w:t>
      </w:r>
      <w:r>
        <w:t xml:space="preserve"> Avaliar primeiro a BR-319 como piloto. Não é recomendação contra a obra.</w:t>
      </w:r>
    </w:p>
    <w:p>
      <w:pPr>
        <w:pStyle w:val="Heading1"/>
      </w:pPr>
      <w:r>
        <w:t xml:space="preserve">Bloco F — A cooperação regional é frágil</w:t>
      </w:r>
    </w:p>
    <w:p>
      <w:pPr>
        <w:pStyle w:val="Heading2"/>
      </w:pPr>
      <w:r>
        <w:t xml:space="preserve">F1. Os países cooperam entre instituições equivalentes; o problema atravessa instituições diferentes</w:t>
      </w:r>
    </w:p>
    <w:p>
      <w:r>
        <w:rPr>
          <w:b/>
        </w:rPr>
        <w:t xml:space="preserve">Evidências</w:t>
      </w:r>
    </w:p>
    <w:p>
      <w:pPr>
        <w:pStyle w:val="Bullet"/>
      </w:pPr>
      <w:r>
        <w:t xml:space="preserve">• A rastreabilidade do ouro cabe à PF no Brasil, ao Serviço Geológico na Colômbia e ao equivalente à Receita no Peru; há acordos polícia–polícia e MP–MP, mas não instrumento interagência regional [WR-P1].</w:t>
      </w:r>
    </w:p>
    <w:p>
      <w:pPr>
        <w:pStyle w:val="Bullet"/>
      </w:pPr>
      <w:r>
        <w:t xml:space="preserve">• "Não haverá lei internacional que obrigue cada país a trabalhar na conveniência do vizinho" [WR, encerramento].</w:t>
      </w:r>
    </w:p>
    <w:p>
      <w:pPr>
        <w:pStyle w:val="Bullet"/>
      </w:pPr>
      <w:r>
        <w:t xml:space="preserve">• O MP se integra mais com a ONU do que com os vizinhos; a rede de fiscalías é incipiente [W1 1:15:40–1:16:30].</w:t>
      </w:r>
    </w:p>
    <w:p>
      <w:pPr>
        <w:pStyle w:val="Bullet"/>
      </w:pPr>
      <w:r>
        <w:t xml:space="preserve">• O defeso do pirarucu é diferente no Brasil, na Colômbia e no Peru; as regras de mineração divergem [SI, instituto de segurança pública].</w:t>
      </w:r>
    </w:p>
    <w:p>
      <w:pPr>
        <w:pStyle w:val="Bullet"/>
      </w:pPr>
      <w:r>
        <w:t xml:space="preserve">• Mecanismo que integre polícia, ambiente, aduana e justiça [FM, Polícia Nacional da Colômbia].</w:t>
      </w:r>
    </w:p>
    <w:p>
      <w:r>
        <w:rPr>
          <w:b/>
        </w:rPr>
        <w:t xml:space="preserve">Recomendações</w:t>
      </w:r>
    </w:p>
    <w:p>
      <w:r>
        <w:rPr>
          <w:b/>
        </w:rPr>
        <w:t xml:space="preserve">F1.a — Mapa regional de autoridades competentes por mercado ilícito (D1).</w:t>
      </w:r>
      <w:r>
        <w:t xml:space="preserve"> Ouro, mercúrio, madeira, fauna e pesca, país a país, mantido pela subcomissão da comissão de ilícitos da OTCA que o Brasil coordena [WR-P2]. Viabilidade: alta.</w:t>
      </w:r>
    </w:p>
    <w:p>
      <w:r>
        <w:rPr>
          <w:b/>
        </w:rPr>
        <w:t xml:space="preserve">F1.b — Harmonizações delimitadas antes das amplas (D1/D2).</w:t>
      </w:r>
      <w:r>
        <w:t xml:space="preserve"> Defeso coordenado do pirarucu na tríplice fronteira e critérios mínimos de compra de ouro.</w:t>
      </w:r>
    </w:p>
    <w:p>
      <w:pPr>
        <w:pStyle w:val="Heading2"/>
      </w:pPr>
      <w:r>
        <w:t xml:space="preserve">F2. A base jurídica da operação transfronteiriça é incompleta ("gambiarras diplomáticas")</w:t>
      </w:r>
    </w:p>
    <w:p>
      <w:r>
        <w:rPr>
          <w:b/>
        </w:rPr>
        <w:t xml:space="preserve">Evidências</w:t>
      </w:r>
    </w:p>
    <w:p>
      <w:pPr>
        <w:pStyle w:val="Bullet"/>
      </w:pPr>
      <w:r>
        <w:t xml:space="preserve">• O protocolo com a Colômbia foi aprovado pelo Congresso, mas não foi promulgado por decreto [VL, CCPI] [verificar].</w:t>
      </w:r>
    </w:p>
    <w:p>
      <w:pPr>
        <w:pStyle w:val="Bullet"/>
      </w:pPr>
      <w:r>
        <w:t xml:space="preserve">• O agente teme problemas jurídicos pessoais ao atuar na fronteira; pedem-se protocolos bi e multilaterais, com a Decisão de Prüm como espelho [WR-P1].</w:t>
      </w:r>
    </w:p>
    <w:p>
      <w:pPr>
        <w:pStyle w:val="Bullet"/>
      </w:pPr>
      <w:r>
        <w:t xml:space="preserve">• Uma medida cautelar colombiana para povos isolados não alcança Brasil e Peru; operar no espaço aéreo exige articulação imensa [WR-P1].</w:t>
      </w:r>
    </w:p>
    <w:p>
      <w:pPr>
        <w:pStyle w:val="Bullet"/>
      </w:pPr>
      <w:r>
        <w:t xml:space="preserve">• O Peru não tinha meios para transportar as 14 toneladas apreendidas numa operação espelhada [WR-P3] [a conferir].</w:t>
      </w:r>
    </w:p>
    <w:p>
      <w:pPr>
        <w:pStyle w:val="Bullet"/>
      </w:pPr>
      <w:r>
        <w:t xml:space="preserve">• Operações espelhadas com a Guiana funcionam [W3, Gen. Roberto Angrizani 55:12]; o vizinho às vezes não tem meios [W1 1:09:20].</w:t>
      </w:r>
    </w:p>
    <w:p>
      <w:r>
        <w:rPr>
          <w:b/>
        </w:rPr>
        <w:t xml:space="preserve">Recomendações</w:t>
      </w:r>
    </w:p>
    <w:p>
      <w:r>
        <w:rPr>
          <w:b/>
        </w:rPr>
        <w:t xml:space="preserve">F2.a — Promulgar o protocolo com a Colômbia (D2).</w:t>
      </w:r>
      <w:r>
        <w:t xml:space="preserve"> Custo político baixo e efeito imediato. Viabilidade: alta, depois de conferir a situação do instrumento.</w:t>
      </w:r>
    </w:p>
    <w:p>
      <w:r>
        <w:rPr>
          <w:b/>
        </w:rPr>
        <w:t xml:space="preserve">F2.b — Inventário dos instrumentos bilaterais pendentes de promulgação ou regulamentação (D1, Itamaraty).</w:t>
      </w:r>
    </w:p>
    <w:p>
      <w:r>
        <w:rPr>
          <w:b/>
        </w:rPr>
        <w:t xml:space="preserve">F2.c — Protocolo técnico de operação espelhada (D1/D2).</w:t>
      </w:r>
      <w:r>
        <w:t xml:space="preserve"> Custódia de bens apreendidos, transporte, cadeia de custódia e compartilhamento de prova, dentro dos acordos-quadro existentes.</w:t>
      </w:r>
    </w:p>
    <w:p>
      <w:r>
        <w:rPr>
          <w:b/>
        </w:rPr>
        <w:t xml:space="preserve">Não recomendaria agora:</w:t>
      </w:r>
      <w:r>
        <w:t xml:space="preserve"> um arcabouço como a Decisão de Prüm. Pressupõe integração jurídica que a região não tem.</w:t>
      </w:r>
    </w:p>
    <w:p>
      <w:pPr>
        <w:pStyle w:val="Heading2"/>
      </w:pPr>
      <w:r>
        <w:t xml:space="preserve">F3. Os mecanismos regionais dependem de governos e de dinheiro com prazo</w:t>
      </w:r>
    </w:p>
    <w:p>
      <w:r>
        <w:rPr>
          <w:b/>
        </w:rPr>
        <w:t xml:space="preserve">Evidências</w:t>
      </w:r>
    </w:p>
    <w:p>
      <w:pPr>
        <w:pStyle w:val="Bullet"/>
      </w:pPr>
      <w:r>
        <w:t xml:space="preserve">• A cooperação oscila conforme quem governa; como torná-la política de Estado? [WR-P2, órgão de inteligência].</w:t>
      </w:r>
    </w:p>
    <w:p>
      <w:pPr>
        <w:pStyle w:val="Bullet"/>
      </w:pPr>
      <w:r>
        <w:t xml:space="preserve">• Não há resposta para imunizar a cooperação da política; o CCPI, financiado pelo Fundo Amazônia, tem "começo, meio e fim", e sua sustentabilidade precisa ir à mesa já [WR-P2, OTCA].</w:t>
      </w:r>
    </w:p>
    <w:p>
      <w:pPr>
        <w:pStyle w:val="Bullet"/>
      </w:pPr>
      <w:r>
        <w:t xml:space="preserve">• Não existe fórum multilateral de defesa para crimes ambientais; a OTCA não tem mandato de defesa [WR-P3, moderação do CSC]. As Forças alertam para a missão precípua e o custo [WR-P3].</w:t>
      </w:r>
    </w:p>
    <w:p>
      <w:pPr>
        <w:pStyle w:val="Bullet"/>
      </w:pPr>
      <w:r>
        <w:t xml:space="preserve">• "O crime fica, o governo passa" [W2 1:21:40]; metas negociadas nas capitais não chegam ao policial de fronteira do país vizinho [W2 1:04:20].</w:t>
      </w:r>
    </w:p>
    <w:p>
      <w:pPr>
        <w:pStyle w:val="Bullet"/>
      </w:pPr>
      <w:r>
        <w:t xml:space="preserve">• Os vizinhos não dão a mesma prioridade à Amazônia [W3, Gen. Roberto Angrizani 1:18:33].</w:t>
      </w:r>
    </w:p>
    <w:p>
      <w:pPr>
        <w:pStyle w:val="Bullet"/>
      </w:pPr>
      <w:r>
        <w:t xml:space="preserve">• Nas negociações climáticas, os países amazônicos sequer estão no mesmo grupo [SI].</w:t>
      </w:r>
    </w:p>
    <w:p>
      <w:pPr>
        <w:pStyle w:val="Bullet"/>
      </w:pPr>
      <w:r>
        <w:t xml:space="preserve">• Sustentabilidade financeira das iniciativas regionais [FM, Polícia Nacional da Colômbia].</w:t>
      </w:r>
    </w:p>
    <w:p>
      <w:r>
        <w:rPr>
          <w:b/>
        </w:rPr>
        <w:t xml:space="preserve">Recomendações</w:t>
      </w:r>
    </w:p>
    <w:p>
      <w:r>
        <w:rPr>
          <w:b/>
        </w:rPr>
        <w:t xml:space="preserve">F3.a — Plano de transição financeira do CCPI para o orçamento regular (D2).</w:t>
      </w:r>
      <w:r>
        <w:t xml:space="preserve"> Complemento: contrapartida dos países em espécie (os oficiais de ligação já são pagos por eles). Viabilidade: média.</w:t>
      </w:r>
    </w:p>
    <w:p>
      <w:r>
        <w:rPr>
          <w:b/>
        </w:rPr>
        <w:t xml:space="preserve">F3.b — O Brasil propõe entregas concretas à comissão de ilícitos da OTCA (D1).</w:t>
      </w:r>
      <w:r>
        <w:t xml:space="preserve"> Pela subcomissão que coordena: o mapa de F1.a, as rotas do mercúrio, os critérios do ouro.</w:t>
      </w:r>
    </w:p>
    <w:p>
      <w:r>
        <w:rPr>
          <w:b/>
        </w:rPr>
        <w:t xml:space="preserve">F3.c — Defesa pelos canais bilaterais existentes, e não por fórum novo (D1).</w:t>
      </w:r>
      <w:r>
        <w:t xml:space="preserve"> Convenções bilaterais de Estado-Maior e reuniões regionais de fronteira [WR-P3], com item fixo sobre apoio à fiscalização ambiental.</w:t>
      </w:r>
    </w:p>
    <w:p>
      <w:r>
        <w:rPr>
          <w:b/>
        </w:rPr>
        <w:t xml:space="preserve">F3.d — Venezuela pelo canal técnico-humanitário (D2).</w:t>
      </w:r>
      <w:r>
        <w:t xml:space="preserve"> Saúde Yanomami transfronteiriça [WR-P2; FM, UNESP]. Viabilidade: baixa-média.</w:t>
      </w:r>
    </w:p>
    <w:p>
      <w:r>
        <w:rPr>
          <w:b/>
        </w:rPr>
        <w:t xml:space="preserve">Não recomendaria agora:</w:t>
      </w:r>
      <w:r>
        <w:t xml:space="preserve"> passar de cooperação a integração vinculante [WR-P3]. Supõe convergência política que as próprias falas dizem não existir.</w:t>
      </w:r>
    </w:p>
    <w:p>
      <w:pPr>
        <w:pStyle w:val="Heading1"/>
      </w:pPr>
      <w:r>
        <w:t xml:space="preserve">Bloco G — Lacuna transversal</w:t>
      </w:r>
    </w:p>
    <w:p>
      <w:pPr>
        <w:pStyle w:val="Heading2"/>
      </w:pPr>
      <w:r>
        <w:t xml:space="preserve">G1. Faltam dados para saber qual desenho de política produz resultado duradouro</w:t>
      </w:r>
    </w:p>
    <w:p>
      <w:r>
        <w:rPr>
          <w:b/>
        </w:rPr>
        <w:t xml:space="preserve">Evidências</w:t>
      </w:r>
    </w:p>
    <w:p>
      <w:pPr>
        <w:pStyle w:val="Bullet"/>
      </w:pPr>
      <w:r>
        <w:t xml:space="preserve">• Não há avaliação sistemática de programas de prevenção da violência na Amazônia [W2, Renato Sérgio de Lima 1:07:50].</w:t>
      </w:r>
    </w:p>
    <w:p>
      <w:pPr>
        <w:pStyle w:val="Bullet"/>
      </w:pPr>
      <w:r>
        <w:t xml:space="preserve">• Só indígenas e quilombolas têm estatística oficial [W2, Edel Moraes 23:05]; conflitos socioambientais só são monitorados pela CPT [WR-P1].</w:t>
      </w:r>
    </w:p>
    <w:p>
      <w:pPr>
        <w:pStyle w:val="Bullet"/>
      </w:pPr>
      <w:r>
        <w:t xml:space="preserve">• "Nenhuma política pública pode ser estabelecida sem dados confiáveis" [WN, Palestra Magna I].</w:t>
      </w:r>
    </w:p>
    <w:p>
      <w:pPr>
        <w:pStyle w:val="Bullet"/>
      </w:pPr>
      <w:r>
        <w:t xml:space="preserve">• Casos de mercúrio no SINAN aparecem só para indígenas; análises dependem de laboratórios do Sul e do Sudeste; dados acadêmicos não chegam aos órgãos [WN-GT2].</w:t>
      </w:r>
    </w:p>
    <w:p>
      <w:pPr>
        <w:pStyle w:val="Bullet"/>
      </w:pPr>
      <w:r>
        <w:t xml:space="preserve">• O estudo sobre facções feito por um órgão de inteligência com uma organização de pesquisa não foi liberado para divulgação [WR-P2].</w:t>
      </w:r>
    </w:p>
    <w:p>
      <w:pPr>
        <w:pStyle w:val="Bullet"/>
      </w:pPr>
      <w:r>
        <w:t xml:space="preserve">• O valor da bioeconomia indígena não é medido [WR-P4, Funai].</w:t>
      </w:r>
    </w:p>
    <w:p>
      <w:pPr>
        <w:pStyle w:val="Bullet"/>
      </w:pPr>
      <w:r>
        <w:t xml:space="preserve">• Faltam dados públicos sobre operações [FM, UNESP].</w:t>
      </w:r>
    </w:p>
    <w:p>
      <w:pPr>
        <w:pStyle w:val="Bullet"/>
      </w:pPr>
      <w:r>
        <w:t xml:space="preserve">• A métrica da Ágata é o "prejuízo imputado" ao crime, que inclui cerca de R$ 677 milhões de intangíveis (lucros cessantes) [SI, Comando Militar da Amazônia] [a conferir]: mede dano ao crime, não mudança no território.</w:t>
      </w:r>
    </w:p>
    <w:p>
      <w:pPr>
        <w:pStyle w:val="Bullet"/>
      </w:pPr>
      <w:r>
        <w:t xml:space="preserve">• Integrar a pesquisa das universidades às agências [W1 1:17:00].</w:t>
      </w:r>
    </w:p>
    <w:p>
      <w:r>
        <w:rPr>
          <w:b/>
        </w:rPr>
        <w:t xml:space="preserve">Recomendações</w:t>
      </w:r>
    </w:p>
    <w:p>
      <w:r>
        <w:rPr>
          <w:b/>
        </w:rPr>
        <w:t xml:space="preserve">G1.a — Medir a situação do território 3, 6 e 12 meses depois de cada operação (D1).</w:t>
      </w:r>
      <w:r>
        <w:t xml:space="preserve"> Com imagens que Censipam e INPE já produzem, ao lado do "prejuízo". Custo quase zero.</w:t>
      </w:r>
    </w:p>
    <w:p>
      <w:r>
        <w:rPr>
          <w:b/>
        </w:rPr>
        <w:t xml:space="preserve">G1.b — Relatório anual consolidado das operações, publicado depois de encerradas (D1).</w:t>
      </w:r>
      <w:r>
        <w:t xml:space="preserve"> Resolve a tensão entre sigilo operacional e controle social.</w:t>
      </w:r>
    </w:p>
    <w:p>
      <w:r>
        <w:rPr>
          <w:b/>
        </w:rPr>
        <w:t xml:space="preserve">G1.c — CadÚnico como fonte provisória sobre comunidades tradicionais (D1).</w:t>
      </w:r>
      <w:r>
        <w:t xml:space="preserve"> O cadastro já identifica grupos tradicionais e específicos (extrativistas, ribeirinhos, pescadores artesanais) [verificar].</w:t>
      </w:r>
    </w:p>
    <w:p>
      <w:r>
        <w:rPr>
          <w:b/>
        </w:rPr>
        <w:t xml:space="preserve">G1.d — Qualificar laboratórios regionais existentes antes de criar instituto novo do mercúrio (D1/D2).</w:t>
      </w:r>
      <w:r>
        <w:t xml:space="preserve"> Instituto Evandro Chagas e laboratórios centrais estaduais [verificar capacidade instalada].</w:t>
      </w:r>
    </w:p>
    <w:p>
      <w:pPr>
        <w:pStyle w:val="Heading1"/>
      </w:pPr>
      <w:r>
        <w:t xml:space="preserve">Leituras do conjunto</w:t>
      </w:r>
    </w:p>
    <w:p>
      <w:pPr>
        <w:pStyle w:val="Bullet"/>
      </w:pPr>
      <w:r>
        <w:t xml:space="preserve">1. </w:t>
      </w:r>
      <w:r>
        <w:rPr>
          <w:b/>
        </w:rPr>
        <w:t xml:space="preserve">O centro de gravidade das transcrições não é a falta de integração, e sim permanência e lucro.</w:t>
      </w:r>
      <w:r>
        <w:t xml:space="preserve"> Quase tudo volta a duas perguntas: o que acontece depois que a operação sai, e quem ganha com o ilícito.</w:t>
      </w:r>
    </w:p>
    <w:p>
      <w:pPr>
        <w:pStyle w:val="Bullet"/>
      </w:pPr>
      <w:r>
        <w:t xml:space="preserve">2. </w:t>
      </w:r>
      <w:r>
        <w:rPr>
          <w:b/>
        </w:rPr>
        <w:t xml:space="preserve">A recomendação mais frequente é generalizar o que já funcionou em algum lugar.</w:t>
      </w:r>
      <w:r>
        <w:t xml:space="preserve"> Casa de Governo, calendário trimestral da Ágata, Caixa Forte, ação civil pública contra a ANP, acordo com o Starlink, fim da venda de mercúrio em plataformas, UC sobre reserva legal. Por isso predominam recomendações D1: o precedente prova a viabilidade.</w:t>
      </w:r>
    </w:p>
    <w:p>
      <w:pPr>
        <w:pStyle w:val="Bullet"/>
      </w:pPr>
      <w:r>
        <w:t xml:space="preserve">3. </w:t>
      </w:r>
      <w:r>
        <w:rPr>
          <w:b/>
        </w:rPr>
        <w:t xml:space="preserve">As propostas que não passam na régua têm um padrão.</w:t>
      </w:r>
      <w:r>
        <w:t xml:space="preserve"> Grande estratégia, emenda constitucional sobre inteligência, integração vinculante, Prüm, Lei Kandir e inversão penal do ônus pedem mudança de regime quando já existe um passo intermediário (Anexo C).</w:t>
      </w:r>
    </w:p>
    <w:p>
      <w:pPr>
        <w:pStyle w:val="Bullet"/>
      </w:pPr>
      <w:r>
        <w:t xml:space="preserve">4. </w:t>
      </w:r>
      <w:r>
        <w:rPr>
          <w:b/>
        </w:rPr>
        <w:t xml:space="preserve">Oito lacunas prioritárias:</w:t>
      </w:r>
      <w:r>
        <w:t xml:space="preserve"> A1, B1, B2, C1, C2, C4, E1 e G1 — as de maior recorrência e com recomendações D1 mais maduras.</w:t>
      </w:r>
    </w:p>
    <w:p>
      <w:pPr>
        <w:pStyle w:val="Heading1"/>
      </w:pPr>
      <w:r>
        <w:t xml:space="preserve">Anexo A — Números a conferir</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3935"/>
        <w:gridCol w:w="1630"/>
        <w:gridCol w:w="3505"/>
      </w:tblGrid>
      <w:tr>
        <w:trPr>
          <w:tblHeader/>
        </w:trPr>
        <w:tc>
          <w:tcPr>
            <w:tcW w:w="3935" w:type="dxa"/>
            <w:shd w:val="clear" w:color="auto" w:fill="F2F6FA"/>
            <w:vAlign w:val="top"/>
          </w:tcPr>
          <w:p>
            <w:pPr>
              <w:pStyle w:val="Cell"/>
            </w:pPr>
            <w:r>
              <w:rPr>
                <w:b/>
                <w:sz w:val="19"/>
                <w:szCs w:val="19"/>
              </w:rPr>
              <w:t xml:space="preserve">Número</w:t>
            </w:r>
          </w:p>
        </w:tc>
        <w:tc>
          <w:tcPr>
            <w:tcW w:w="1630" w:type="dxa"/>
            <w:shd w:val="clear" w:color="auto" w:fill="F2F6FA"/>
            <w:vAlign w:val="top"/>
          </w:tcPr>
          <w:p>
            <w:pPr>
              <w:pStyle w:val="Cell"/>
            </w:pPr>
            <w:r>
              <w:rPr>
                <w:b/>
                <w:sz w:val="19"/>
                <w:szCs w:val="19"/>
              </w:rPr>
              <w:t xml:space="preserve">Onde aparece</w:t>
            </w:r>
          </w:p>
        </w:tc>
        <w:tc>
          <w:tcPr>
            <w:tcW w:w="3505" w:type="dxa"/>
            <w:shd w:val="clear" w:color="auto" w:fill="F2F6FA"/>
            <w:vAlign w:val="top"/>
          </w:tcPr>
          <w:p>
            <w:pPr>
              <w:pStyle w:val="Cell"/>
            </w:pPr>
            <w:r>
              <w:rPr>
                <w:b/>
                <w:sz w:val="19"/>
                <w:szCs w:val="19"/>
              </w:rPr>
              <w:t xml:space="preserve">Observação</w:t>
            </w:r>
          </w:p>
        </w:tc>
      </w:tr>
      <w:tr>
        <w:tc>
          <w:tcPr>
            <w:tcW w:w="3935" w:type="dxa"/>
            <w:vAlign w:val="top"/>
          </w:tcPr>
          <w:p>
            <w:pPr>
              <w:pStyle w:val="Cell"/>
            </w:pPr>
            <w:r>
              <w:rPr>
                <w:sz w:val="19"/>
                <w:szCs w:val="19"/>
              </w:rPr>
              <w:t xml:space="preserve">Casa de Governo: −98% × −99,8% do garimpo ativo</w:t>
            </w:r>
          </w:p>
        </w:tc>
        <w:tc>
          <w:tcPr>
            <w:tcW w:w="1630" w:type="dxa"/>
            <w:vAlign w:val="top"/>
          </w:tcPr>
          <w:p>
            <w:pPr>
              <w:pStyle w:val="Cell"/>
            </w:pPr>
            <w:r>
              <w:rPr>
                <w:sz w:val="19"/>
                <w:szCs w:val="19"/>
              </w:rPr>
              <w:t xml:space="preserve">W1 42:40; W3 1:16:32; WR-P2</w:t>
            </w:r>
          </w:p>
        </w:tc>
        <w:tc>
          <w:tcPr>
            <w:tcW w:w="3505" w:type="dxa"/>
            <w:vAlign w:val="top"/>
          </w:tcPr>
          <w:p>
            <w:pPr>
              <w:pStyle w:val="Cell"/>
            </w:pPr>
            <w:r>
              <w:rPr>
                <w:sz w:val="19"/>
                <w:szCs w:val="19"/>
              </w:rPr>
              <w:t xml:space="preserve">Divergência entre falas; conferir no balanço do Censipam</w:t>
            </w:r>
          </w:p>
        </w:tc>
      </w:tr>
      <w:tr>
        <w:tc>
          <w:tcPr>
            <w:tcW w:w="3935" w:type="dxa"/>
            <w:vAlign w:val="top"/>
          </w:tcPr>
          <w:p>
            <w:pPr>
              <w:pStyle w:val="Cell"/>
            </w:pPr>
            <w:r>
              <w:rPr>
                <w:sz w:val="19"/>
                <w:szCs w:val="19"/>
              </w:rPr>
              <w:t xml:space="preserve">Casa de Governo: 13 × 20 ministérios; início em fev. × mar./2024</w:t>
            </w:r>
          </w:p>
        </w:tc>
        <w:tc>
          <w:tcPr>
            <w:tcW w:w="1630" w:type="dxa"/>
            <w:vAlign w:val="top"/>
          </w:tcPr>
          <w:p>
            <w:pPr>
              <w:pStyle w:val="Cell"/>
            </w:pPr>
            <w:r>
              <w:rPr>
                <w:sz w:val="19"/>
                <w:szCs w:val="19"/>
              </w:rPr>
              <w:t xml:space="preserve">W3; WR-P2; W1</w:t>
            </w:r>
          </w:p>
        </w:tc>
        <w:tc>
          <w:tcPr>
            <w:tcW w:w="3505" w:type="dxa"/>
            <w:vAlign w:val="top"/>
          </w:tcPr>
          <w:p>
            <w:pPr>
              <w:pStyle w:val="Cell"/>
            </w:pPr>
            <w:r>
              <w:rPr>
                <w:sz w:val="19"/>
                <w:szCs w:val="19"/>
              </w:rPr>
              <w:t xml:space="preserve">Conferir no ato de criação</w:t>
            </w:r>
          </w:p>
        </w:tc>
      </w:tr>
      <w:tr>
        <w:tc>
          <w:tcPr>
            <w:tcW w:w="3935" w:type="dxa"/>
            <w:vAlign w:val="top"/>
          </w:tcPr>
          <w:p>
            <w:pPr>
              <w:pStyle w:val="Cell"/>
            </w:pPr>
            <w:r>
              <w:rPr>
                <w:sz w:val="19"/>
                <w:szCs w:val="19"/>
              </w:rPr>
              <w:t xml:space="preserve">2% dos imóveis = 2/3 do desmatamento; 80% em 32% do território</w:t>
            </w:r>
          </w:p>
        </w:tc>
        <w:tc>
          <w:tcPr>
            <w:tcW w:w="1630" w:type="dxa"/>
            <w:vAlign w:val="top"/>
          </w:tcPr>
          <w:p>
            <w:pPr>
              <w:pStyle w:val="Cell"/>
            </w:pPr>
            <w:r>
              <w:rPr>
                <w:sz w:val="19"/>
                <w:szCs w:val="19"/>
              </w:rPr>
              <w:t xml:space="preserve">WN, Palestra Magna II</w:t>
            </w:r>
          </w:p>
        </w:tc>
        <w:tc>
          <w:tcPr>
            <w:tcW w:w="3505" w:type="dxa"/>
            <w:vAlign w:val="top"/>
          </w:tcPr>
          <w:p>
            <w:pPr>
              <w:pStyle w:val="Cell"/>
            </w:pPr>
            <w:r>
              <w:rPr>
                <w:sz w:val="19"/>
                <w:szCs w:val="19"/>
              </w:rPr>
              <w:t xml:space="preserve">Conferir no estudo citado</w:t>
            </w:r>
          </w:p>
        </w:tc>
      </w:tr>
      <w:tr>
        <w:tc>
          <w:tcPr>
            <w:tcW w:w="3935" w:type="dxa"/>
            <w:vAlign w:val="top"/>
          </w:tcPr>
          <w:p>
            <w:pPr>
              <w:pStyle w:val="Cell"/>
            </w:pPr>
            <w:r>
              <w:rPr>
                <w:sz w:val="19"/>
                <w:szCs w:val="19"/>
              </w:rPr>
              <w:t xml:space="preserve">1/3 do ouro com indício de ilegalidade; 61% em 6 associações e 6 garimpeiros; 71% em 3 DTVMs</w:t>
            </w:r>
          </w:p>
        </w:tc>
        <w:tc>
          <w:tcPr>
            <w:tcW w:w="1630" w:type="dxa"/>
            <w:vAlign w:val="top"/>
          </w:tcPr>
          <w:p>
            <w:pPr>
              <w:pStyle w:val="Cell"/>
            </w:pPr>
            <w:r>
              <w:rPr>
                <w:sz w:val="19"/>
                <w:szCs w:val="19"/>
              </w:rPr>
              <w:t xml:space="preserve">WN, Palestra Magna II</w:t>
            </w:r>
          </w:p>
        </w:tc>
        <w:tc>
          <w:tcPr>
            <w:tcW w:w="3505" w:type="dxa"/>
            <w:vAlign w:val="top"/>
          </w:tcPr>
          <w:p>
            <w:pPr>
              <w:pStyle w:val="Cell"/>
            </w:pPr>
            <w:r>
              <w:rPr>
                <w:sz w:val="19"/>
                <w:szCs w:val="19"/>
              </w:rPr>
              <w:t xml:space="preserve">Conferir contra o estudo UFMG/MPF (2021)</w:t>
            </w:r>
          </w:p>
        </w:tc>
      </w:tr>
      <w:tr>
        <w:tc>
          <w:tcPr>
            <w:tcW w:w="3935" w:type="dxa"/>
            <w:vAlign w:val="top"/>
          </w:tcPr>
          <w:p>
            <w:pPr>
              <w:pStyle w:val="Cell"/>
            </w:pPr>
            <w:r>
              <w:rPr>
                <w:sz w:val="19"/>
                <w:szCs w:val="19"/>
              </w:rPr>
              <w:t xml:space="preserve">IOF-ouro com queda de cerca de 70%; CFEM de 1% a 1,5%</w:t>
            </w:r>
          </w:p>
        </w:tc>
        <w:tc>
          <w:tcPr>
            <w:tcW w:w="1630" w:type="dxa"/>
            <w:vAlign w:val="top"/>
          </w:tcPr>
          <w:p>
            <w:pPr>
              <w:pStyle w:val="Cell"/>
            </w:pPr>
            <w:r>
              <w:rPr>
                <w:sz w:val="19"/>
                <w:szCs w:val="19"/>
              </w:rPr>
              <w:t xml:space="preserve">WN-GT2</w:t>
            </w:r>
          </w:p>
        </w:tc>
        <w:tc>
          <w:tcPr>
            <w:tcW w:w="3505" w:type="dxa"/>
            <w:vAlign w:val="top"/>
          </w:tcPr>
          <w:p>
            <w:pPr>
              <w:pStyle w:val="Cell"/>
            </w:pPr>
            <w:r>
              <w:rPr>
                <w:sz w:val="19"/>
                <w:szCs w:val="19"/>
              </w:rPr>
              <w:t xml:space="preserve">Conferir tributo, período e alíquota</w:t>
            </w:r>
          </w:p>
        </w:tc>
      </w:tr>
      <w:tr>
        <w:tc>
          <w:tcPr>
            <w:tcW w:w="3935" w:type="dxa"/>
            <w:vAlign w:val="top"/>
          </w:tcPr>
          <w:p>
            <w:pPr>
              <w:pStyle w:val="Cell"/>
            </w:pPr>
            <w:r>
              <w:rPr>
                <w:sz w:val="19"/>
                <w:szCs w:val="19"/>
              </w:rPr>
              <w:t xml:space="preserve">Ibama: 7 aeronaves e cerca de 800 agentes</w:t>
            </w:r>
          </w:p>
        </w:tc>
        <w:tc>
          <w:tcPr>
            <w:tcW w:w="1630" w:type="dxa"/>
            <w:vAlign w:val="top"/>
          </w:tcPr>
          <w:p>
            <w:pPr>
              <w:pStyle w:val="Cell"/>
            </w:pPr>
            <w:r>
              <w:rPr>
                <w:sz w:val="19"/>
                <w:szCs w:val="19"/>
              </w:rPr>
              <w:t xml:space="preserve">WR-P3</w:t>
            </w:r>
          </w:p>
        </w:tc>
        <w:tc>
          <w:tcPr>
            <w:tcW w:w="3505" w:type="dxa"/>
            <w:vAlign w:val="top"/>
          </w:tcPr>
          <w:p>
            <w:pPr>
              <w:pStyle w:val="Cell"/>
            </w:pPr>
            <w:r>
              <w:rPr>
                <w:sz w:val="19"/>
                <w:szCs w:val="19"/>
              </w:rPr>
              <w:t xml:space="preserve">Conferir com o Ibama</w:t>
            </w:r>
          </w:p>
        </w:tc>
      </w:tr>
      <w:tr>
        <w:tc>
          <w:tcPr>
            <w:tcW w:w="3935" w:type="dxa"/>
            <w:vAlign w:val="top"/>
          </w:tcPr>
          <w:p>
            <w:pPr>
              <w:pStyle w:val="Cell"/>
            </w:pPr>
            <w:r>
              <w:rPr>
                <w:sz w:val="19"/>
                <w:szCs w:val="19"/>
              </w:rPr>
              <w:t xml:space="preserve">ANM: 5 servidores para a fiscalização na Amazônia</w:t>
            </w:r>
          </w:p>
        </w:tc>
        <w:tc>
          <w:tcPr>
            <w:tcW w:w="1630" w:type="dxa"/>
            <w:vAlign w:val="top"/>
          </w:tcPr>
          <w:p>
            <w:pPr>
              <w:pStyle w:val="Cell"/>
            </w:pPr>
            <w:r>
              <w:rPr>
                <w:sz w:val="19"/>
                <w:szCs w:val="19"/>
              </w:rPr>
              <w:t xml:space="preserve">WN-GT2</w:t>
            </w:r>
          </w:p>
        </w:tc>
        <w:tc>
          <w:tcPr>
            <w:tcW w:w="3505" w:type="dxa"/>
            <w:vAlign w:val="top"/>
          </w:tcPr>
          <w:p>
            <w:pPr>
              <w:pStyle w:val="Cell"/>
            </w:pPr>
            <w:r>
              <w:rPr>
                <w:sz w:val="19"/>
                <w:szCs w:val="19"/>
              </w:rPr>
              <w:t xml:space="preserve">Relato de segunda mão; conferir com a ANM</w:t>
            </w:r>
          </w:p>
        </w:tc>
      </w:tr>
      <w:tr>
        <w:tc>
          <w:tcPr>
            <w:tcW w:w="3935" w:type="dxa"/>
            <w:vAlign w:val="top"/>
          </w:tcPr>
          <w:p>
            <w:pPr>
              <w:pStyle w:val="Cell"/>
            </w:pPr>
            <w:r>
              <w:rPr>
                <w:sz w:val="19"/>
                <w:szCs w:val="19"/>
              </w:rPr>
              <w:t xml:space="preserve">Funai: 6 servidores para 35 municípios</w:t>
            </w:r>
          </w:p>
        </w:tc>
        <w:tc>
          <w:tcPr>
            <w:tcW w:w="1630" w:type="dxa"/>
            <w:vAlign w:val="top"/>
          </w:tcPr>
          <w:p>
            <w:pPr>
              <w:pStyle w:val="Cell"/>
            </w:pPr>
            <w:r>
              <w:rPr>
                <w:sz w:val="19"/>
                <w:szCs w:val="19"/>
              </w:rPr>
              <w:t xml:space="preserve">WR-P1</w:t>
            </w:r>
          </w:p>
        </w:tc>
        <w:tc>
          <w:tcPr>
            <w:tcW w:w="3505" w:type="dxa"/>
            <w:vAlign w:val="top"/>
          </w:tcPr>
          <w:p>
            <w:pPr>
              <w:pStyle w:val="Cell"/>
            </w:pPr>
            <w:r>
              <w:rPr>
                <w:sz w:val="19"/>
                <w:szCs w:val="19"/>
              </w:rPr>
              <w:t xml:space="preserve">Conferir com a coordenação regional</w:t>
            </w:r>
          </w:p>
        </w:tc>
      </w:tr>
      <w:tr>
        <w:tc>
          <w:tcPr>
            <w:tcW w:w="3935" w:type="dxa"/>
            <w:vAlign w:val="top"/>
          </w:tcPr>
          <w:p>
            <w:pPr>
              <w:pStyle w:val="Cell"/>
            </w:pPr>
            <w:r>
              <w:rPr>
                <w:sz w:val="19"/>
                <w:szCs w:val="19"/>
              </w:rPr>
              <w:t xml:space="preserve">50 milhões de ha de florestas públicas não destinadas, 73% no AM</w:t>
            </w:r>
          </w:p>
        </w:tc>
        <w:tc>
          <w:tcPr>
            <w:tcW w:w="1630" w:type="dxa"/>
            <w:vAlign w:val="top"/>
          </w:tcPr>
          <w:p>
            <w:pPr>
              <w:pStyle w:val="Cell"/>
            </w:pPr>
            <w:r>
              <w:rPr>
                <w:sz w:val="19"/>
                <w:szCs w:val="19"/>
              </w:rPr>
              <w:t xml:space="preserve">W3, Rebeca Lima 21:50</w:t>
            </w:r>
          </w:p>
        </w:tc>
        <w:tc>
          <w:tcPr>
            <w:tcW w:w="3505" w:type="dxa"/>
            <w:vAlign w:val="top"/>
          </w:tcPr>
          <w:p>
            <w:pPr>
              <w:pStyle w:val="Cell"/>
            </w:pPr>
            <w:r>
              <w:rPr>
                <w:sz w:val="19"/>
                <w:szCs w:val="19"/>
              </w:rPr>
              <w:t xml:space="preserve">Conferir no Cadastro Nacional de Florestas Públicas</w:t>
            </w:r>
          </w:p>
        </w:tc>
      </w:tr>
      <w:tr>
        <w:tc>
          <w:tcPr>
            <w:tcW w:w="3935" w:type="dxa"/>
            <w:vAlign w:val="top"/>
          </w:tcPr>
          <w:p>
            <w:pPr>
              <w:pStyle w:val="Cell"/>
            </w:pPr>
            <w:r>
              <w:rPr>
                <w:sz w:val="19"/>
                <w:szCs w:val="19"/>
              </w:rPr>
              <w:t xml:space="preserve">44% dos CAR sobrepostos a florestas não destinadas são maiores que 1.500 ha; cerca de 70% com desmatamento e fogo</w:t>
            </w:r>
          </w:p>
        </w:tc>
        <w:tc>
          <w:tcPr>
            <w:tcW w:w="1630" w:type="dxa"/>
            <w:vAlign w:val="top"/>
          </w:tcPr>
          <w:p>
            <w:pPr>
              <w:pStyle w:val="Cell"/>
            </w:pPr>
            <w:r>
              <w:rPr>
                <w:sz w:val="19"/>
                <w:szCs w:val="19"/>
              </w:rPr>
              <w:t xml:space="preserve">W3, Rebeca Lima 28:20</w:t>
            </w:r>
          </w:p>
        </w:tc>
        <w:tc>
          <w:tcPr>
            <w:tcW w:w="3505" w:type="dxa"/>
            <w:vAlign w:val="top"/>
          </w:tcPr>
          <w:p>
            <w:pPr>
              <w:pStyle w:val="Cell"/>
            </w:pPr>
            <w:r>
              <w:rPr>
                <w:sz w:val="19"/>
                <w:szCs w:val="19"/>
              </w:rPr>
              <w:t xml:space="preserve">Conferir no estudo do IPAM</w:t>
            </w:r>
          </w:p>
        </w:tc>
      </w:tr>
      <w:tr>
        <w:tc>
          <w:tcPr>
            <w:tcW w:w="3935" w:type="dxa"/>
            <w:vAlign w:val="top"/>
          </w:tcPr>
          <w:p>
            <w:pPr>
              <w:pStyle w:val="Cell"/>
            </w:pPr>
            <w:r>
              <w:rPr>
                <w:sz w:val="19"/>
                <w:szCs w:val="19"/>
              </w:rPr>
              <w:t xml:space="preserve">78% da área desmatada vira pasto</w:t>
            </w:r>
          </w:p>
        </w:tc>
        <w:tc>
          <w:tcPr>
            <w:tcW w:w="1630" w:type="dxa"/>
            <w:vAlign w:val="top"/>
          </w:tcPr>
          <w:p>
            <w:pPr>
              <w:pStyle w:val="Cell"/>
            </w:pPr>
            <w:r>
              <w:rPr>
                <w:sz w:val="19"/>
                <w:szCs w:val="19"/>
              </w:rPr>
              <w:t xml:space="preserve">W3, Rebeca Lima 33:30</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83% das áreas embargadas em uso agropecuário</w:t>
            </w:r>
          </w:p>
        </w:tc>
        <w:tc>
          <w:tcPr>
            <w:tcW w:w="1630" w:type="dxa"/>
            <w:vAlign w:val="top"/>
          </w:tcPr>
          <w:p>
            <w:pPr>
              <w:pStyle w:val="Cell"/>
            </w:pPr>
            <w:r>
              <w:rPr>
                <w:sz w:val="19"/>
                <w:szCs w:val="19"/>
              </w:rPr>
              <w:t xml:space="preserve">WN, Palestra Magna II</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Desmatar 100 ha custa cerca de R$ 200 mil</w:t>
            </w:r>
          </w:p>
        </w:tc>
        <w:tc>
          <w:tcPr>
            <w:tcW w:w="1630" w:type="dxa"/>
            <w:vAlign w:val="top"/>
          </w:tcPr>
          <w:p>
            <w:pPr>
              <w:pStyle w:val="Cell"/>
            </w:pPr>
            <w:r>
              <w:rPr>
                <w:sz w:val="19"/>
                <w:szCs w:val="19"/>
              </w:rPr>
              <w:t xml:space="preserve">W3 1:30:06</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Logística de segurança 25 vezes mais cara</w:t>
            </w:r>
          </w:p>
        </w:tc>
        <w:tc>
          <w:tcPr>
            <w:tcW w:w="1630" w:type="dxa"/>
            <w:vAlign w:val="top"/>
          </w:tcPr>
          <w:p>
            <w:pPr>
              <w:pStyle w:val="Cell"/>
            </w:pPr>
            <w:r>
              <w:rPr>
                <w:sz w:val="19"/>
                <w:szCs w:val="19"/>
              </w:rPr>
              <w:t xml:space="preserve">WR-P2</w:t>
            </w:r>
          </w:p>
        </w:tc>
        <w:tc>
          <w:tcPr>
            <w:tcW w:w="3505" w:type="dxa"/>
            <w:vAlign w:val="top"/>
          </w:tcPr>
          <w:p>
            <w:pPr>
              <w:pStyle w:val="Cell"/>
            </w:pPr>
            <w:r>
              <w:rPr>
                <w:sz w:val="19"/>
                <w:szCs w:val="19"/>
              </w:rPr>
              <w:t xml:space="preserve">Conferir na publicação citada (COP)</w:t>
            </w:r>
          </w:p>
        </w:tc>
      </w:tr>
      <w:tr>
        <w:tc>
          <w:tcPr>
            <w:tcW w:w="3935" w:type="dxa"/>
            <w:vAlign w:val="top"/>
          </w:tcPr>
          <w:p>
            <w:pPr>
              <w:pStyle w:val="Cell"/>
            </w:pPr>
            <w:r>
              <w:rPr>
                <w:sz w:val="19"/>
                <w:szCs w:val="19"/>
              </w:rPr>
              <w:t xml:space="preserve">Mais de 1/3 da economia amazônica (cerca de R$ 300 bi) exposta à captura; 60 milhões sob governança criminal</w:t>
            </w:r>
          </w:p>
        </w:tc>
        <w:tc>
          <w:tcPr>
            <w:tcW w:w="1630" w:type="dxa"/>
            <w:vAlign w:val="top"/>
          </w:tcPr>
          <w:p>
            <w:pPr>
              <w:pStyle w:val="Cell"/>
            </w:pPr>
            <w:r>
              <w:rPr>
                <w:sz w:val="19"/>
                <w:szCs w:val="19"/>
              </w:rPr>
              <w:t xml:space="preserve">WR-P2</w:t>
            </w:r>
          </w:p>
        </w:tc>
        <w:tc>
          <w:tcPr>
            <w:tcW w:w="3505" w:type="dxa"/>
            <w:vAlign w:val="top"/>
          </w:tcPr>
          <w:p>
            <w:pPr>
              <w:pStyle w:val="Cell"/>
            </w:pPr>
            <w:r>
              <w:rPr>
                <w:sz w:val="19"/>
                <w:szCs w:val="19"/>
              </w:rPr>
              <w:t xml:space="preserve">Números anunciados antes da divulgação; conferir</w:t>
            </w:r>
          </w:p>
        </w:tc>
      </w:tr>
      <w:tr>
        <w:tc>
          <w:tcPr>
            <w:tcW w:w="3935" w:type="dxa"/>
            <w:vAlign w:val="top"/>
          </w:tcPr>
          <w:p>
            <w:pPr>
              <w:pStyle w:val="Cell"/>
            </w:pPr>
            <w:r>
              <w:rPr>
                <w:sz w:val="19"/>
                <w:szCs w:val="19"/>
              </w:rPr>
              <w:t xml:space="preserve">Cocaína apreendida como 6ª commodity de exportação; US$ 7 bi/ano</w:t>
            </w:r>
          </w:p>
        </w:tc>
        <w:tc>
          <w:tcPr>
            <w:tcW w:w="1630" w:type="dxa"/>
            <w:vAlign w:val="top"/>
          </w:tcPr>
          <w:p>
            <w:pPr>
              <w:pStyle w:val="Cell"/>
            </w:pPr>
            <w:r>
              <w:rPr>
                <w:sz w:val="19"/>
                <w:szCs w:val="19"/>
              </w:rPr>
              <w:t xml:space="preserve">WR-P2</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Ágata 2026: custo de cerca de R$ 10 mi; dano de R$ 1,237 bi; R$ 124 por real; cerca de R$ 677 mi intangíveis</w:t>
            </w:r>
          </w:p>
        </w:tc>
        <w:tc>
          <w:tcPr>
            <w:tcW w:w="1630" w:type="dxa"/>
            <w:vAlign w:val="top"/>
          </w:tcPr>
          <w:p>
            <w:pPr>
              <w:pStyle w:val="Cell"/>
            </w:pPr>
            <w:r>
              <w:rPr>
                <w:sz w:val="19"/>
                <w:szCs w:val="19"/>
              </w:rPr>
              <w:t xml:space="preserve">WR-P3; SI</w:t>
            </w:r>
          </w:p>
        </w:tc>
        <w:tc>
          <w:tcPr>
            <w:tcW w:w="3505" w:type="dxa"/>
            <w:vAlign w:val="top"/>
          </w:tcPr>
          <w:p>
            <w:pPr>
              <w:pStyle w:val="Cell"/>
            </w:pPr>
            <w:r>
              <w:rPr>
                <w:sz w:val="19"/>
                <w:szCs w:val="19"/>
              </w:rPr>
              <w:t xml:space="preserve">Conferir no balanço do MD</w:t>
            </w:r>
          </w:p>
        </w:tc>
      </w:tr>
      <w:tr>
        <w:tc>
          <w:tcPr>
            <w:tcW w:w="3935" w:type="dxa"/>
            <w:vAlign w:val="top"/>
          </w:tcPr>
          <w:p>
            <w:pPr>
              <w:pStyle w:val="Cell"/>
            </w:pPr>
            <w:r>
              <w:rPr>
                <w:sz w:val="19"/>
                <w:szCs w:val="19"/>
              </w:rPr>
              <w:t xml:space="preserve">Apreensão de 14 t × "quase 15 t" de skunk</w:t>
            </w:r>
          </w:p>
        </w:tc>
        <w:tc>
          <w:tcPr>
            <w:tcW w:w="1630" w:type="dxa"/>
            <w:vAlign w:val="top"/>
          </w:tcPr>
          <w:p>
            <w:pPr>
              <w:pStyle w:val="Cell"/>
            </w:pPr>
            <w:r>
              <w:rPr>
                <w:sz w:val="19"/>
                <w:szCs w:val="19"/>
              </w:rPr>
              <w:t xml:space="preserve">WR-P3</w:t>
            </w:r>
          </w:p>
        </w:tc>
        <w:tc>
          <w:tcPr>
            <w:tcW w:w="3505" w:type="dxa"/>
            <w:vAlign w:val="top"/>
          </w:tcPr>
          <w:p>
            <w:pPr>
              <w:pStyle w:val="Cell"/>
            </w:pPr>
            <w:r>
              <w:rPr>
                <w:sz w:val="19"/>
                <w:szCs w:val="19"/>
              </w:rPr>
              <w:t xml:space="preserve">Provavelmente a mesma apreensão</w:t>
            </w:r>
          </w:p>
        </w:tc>
      </w:tr>
      <w:tr>
        <w:tc>
          <w:tcPr>
            <w:tcW w:w="3935" w:type="dxa"/>
            <w:vAlign w:val="top"/>
          </w:tcPr>
          <w:p>
            <w:pPr>
              <w:pStyle w:val="Cell"/>
            </w:pPr>
            <w:r>
              <w:rPr>
                <w:sz w:val="19"/>
                <w:szCs w:val="19"/>
              </w:rPr>
              <w:t xml:space="preserve">250 kg de ouro via Manaus; cerca de 300 kg de mercúrio pela Guiana</w:t>
            </w:r>
          </w:p>
        </w:tc>
        <w:tc>
          <w:tcPr>
            <w:tcW w:w="1630" w:type="dxa"/>
            <w:vAlign w:val="top"/>
          </w:tcPr>
          <w:p>
            <w:pPr>
              <w:pStyle w:val="Cell"/>
            </w:pPr>
            <w:r>
              <w:rPr>
                <w:sz w:val="19"/>
                <w:szCs w:val="19"/>
              </w:rPr>
              <w:t xml:space="preserve">WR-P2</w:t>
            </w:r>
          </w:p>
        </w:tc>
        <w:tc>
          <w:tcPr>
            <w:tcW w:w="3505" w:type="dxa"/>
            <w:vAlign w:val="top"/>
          </w:tcPr>
          <w:p>
            <w:pPr>
              <w:pStyle w:val="Cell"/>
            </w:pPr>
            <w:r>
              <w:rPr>
                <w:sz w:val="19"/>
                <w:szCs w:val="19"/>
              </w:rPr>
              <w:t xml:space="preserve">Conferir com PF e PRF</w:t>
            </w:r>
          </w:p>
        </w:tc>
      </w:tr>
      <w:tr>
        <w:tc>
          <w:tcPr>
            <w:tcW w:w="3935" w:type="dxa"/>
            <w:vAlign w:val="top"/>
          </w:tcPr>
          <w:p>
            <w:pPr>
              <w:pStyle w:val="Cell"/>
            </w:pPr>
            <w:r>
              <w:rPr>
                <w:sz w:val="19"/>
                <w:szCs w:val="19"/>
              </w:rPr>
              <w:t xml:space="preserve">Pelotões de fronteira: 74–75 × 24 × 23</w:t>
            </w:r>
          </w:p>
        </w:tc>
        <w:tc>
          <w:tcPr>
            <w:tcW w:w="1630" w:type="dxa"/>
            <w:vAlign w:val="top"/>
          </w:tcPr>
          <w:p>
            <w:pPr>
              <w:pStyle w:val="Cell"/>
            </w:pPr>
            <w:r>
              <w:rPr>
                <w:sz w:val="19"/>
                <w:szCs w:val="19"/>
              </w:rPr>
              <w:t xml:space="preserve">WR-P1; WR-P3; SI</w:t>
            </w:r>
          </w:p>
        </w:tc>
        <w:tc>
          <w:tcPr>
            <w:tcW w:w="3505" w:type="dxa"/>
            <w:vAlign w:val="top"/>
          </w:tcPr>
          <w:p>
            <w:pPr>
              <w:pStyle w:val="Cell"/>
            </w:pPr>
            <w:r>
              <w:rPr>
                <w:sz w:val="19"/>
                <w:szCs w:val="19"/>
              </w:rPr>
              <w:t xml:space="preserve">Universos diferentes (nacional × área do CMA); conferir</w:t>
            </w:r>
          </w:p>
        </w:tc>
      </w:tr>
      <w:tr>
        <w:tc>
          <w:tcPr>
            <w:tcW w:w="3935" w:type="dxa"/>
            <w:vAlign w:val="top"/>
          </w:tcPr>
          <w:p>
            <w:pPr>
              <w:pStyle w:val="Cell"/>
            </w:pPr>
            <w:r>
              <w:rPr>
                <w:sz w:val="19"/>
                <w:szCs w:val="19"/>
              </w:rPr>
              <w:t xml:space="preserve">Mercúrio: uma gota contamina 13 mil × 30 mil litros</w:t>
            </w:r>
          </w:p>
        </w:tc>
        <w:tc>
          <w:tcPr>
            <w:tcW w:w="1630" w:type="dxa"/>
            <w:vAlign w:val="top"/>
          </w:tcPr>
          <w:p>
            <w:pPr>
              <w:pStyle w:val="Cell"/>
            </w:pPr>
            <w:r>
              <w:rPr>
                <w:sz w:val="19"/>
                <w:szCs w:val="19"/>
              </w:rPr>
              <w:t xml:space="preserve">WR-P2; WR-P3</w:t>
            </w:r>
          </w:p>
        </w:tc>
        <w:tc>
          <w:tcPr>
            <w:tcW w:w="3505" w:type="dxa"/>
            <w:vAlign w:val="top"/>
          </w:tcPr>
          <w:p>
            <w:pPr>
              <w:pStyle w:val="Cell"/>
            </w:pPr>
            <w:r>
              <w:rPr>
                <w:sz w:val="19"/>
                <w:szCs w:val="19"/>
              </w:rPr>
              <w:t xml:space="preserve">Números divergentes, sem fonte primária</w:t>
            </w:r>
          </w:p>
        </w:tc>
      </w:tr>
      <w:tr>
        <w:tc>
          <w:tcPr>
            <w:tcW w:w="3935" w:type="dxa"/>
            <w:vAlign w:val="top"/>
          </w:tcPr>
          <w:p>
            <w:pPr>
              <w:pStyle w:val="Cell"/>
            </w:pPr>
            <w:r>
              <w:rPr>
                <w:sz w:val="19"/>
                <w:szCs w:val="19"/>
              </w:rPr>
              <w:t xml:space="preserve">Apreensões na Amazônia Legal: 78 t (2023) e 110 t (2024)</w:t>
            </w:r>
          </w:p>
        </w:tc>
        <w:tc>
          <w:tcPr>
            <w:tcW w:w="1630" w:type="dxa"/>
            <w:vAlign w:val="top"/>
          </w:tcPr>
          <w:p>
            <w:pPr>
              <w:pStyle w:val="Cell"/>
            </w:pPr>
            <w:r>
              <w:rPr>
                <w:sz w:val="19"/>
                <w:szCs w:val="19"/>
              </w:rPr>
              <w:t xml:space="preserve">WN, Palestra Magna I</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IPS: 18 dos 20 piores municípios na Amazônia</w:t>
            </w:r>
          </w:p>
        </w:tc>
        <w:tc>
          <w:tcPr>
            <w:tcW w:w="1630" w:type="dxa"/>
            <w:vAlign w:val="top"/>
          </w:tcPr>
          <w:p>
            <w:pPr>
              <w:pStyle w:val="Cell"/>
            </w:pPr>
            <w:r>
              <w:rPr>
                <w:sz w:val="19"/>
                <w:szCs w:val="19"/>
              </w:rPr>
              <w:t xml:space="preserve">WR-P4</w:t>
            </w:r>
          </w:p>
        </w:tc>
        <w:tc>
          <w:tcPr>
            <w:tcW w:w="3505" w:type="dxa"/>
            <w:vAlign w:val="top"/>
          </w:tcPr>
          <w:p>
            <w:pPr>
              <w:pStyle w:val="Cell"/>
            </w:pPr>
            <w:r>
              <w:rPr>
                <w:sz w:val="19"/>
                <w:szCs w:val="19"/>
              </w:rPr>
              <w:t xml:space="preserve">Conferir no Índice de Progresso Social</w:t>
            </w:r>
          </w:p>
        </w:tc>
      </w:tr>
      <w:tr>
        <w:tc>
          <w:tcPr>
            <w:tcW w:w="3935" w:type="dxa"/>
            <w:vAlign w:val="top"/>
          </w:tcPr>
          <w:p>
            <w:pPr>
              <w:pStyle w:val="Cell"/>
            </w:pPr>
            <w:r>
              <w:rPr>
                <w:sz w:val="19"/>
                <w:szCs w:val="19"/>
              </w:rPr>
              <w:t xml:space="preserve">Mais de 50 empresas autuadas na operação Guardiões da Biodiversidade</w:t>
            </w:r>
          </w:p>
        </w:tc>
        <w:tc>
          <w:tcPr>
            <w:tcW w:w="1630" w:type="dxa"/>
            <w:vAlign w:val="top"/>
          </w:tcPr>
          <w:p>
            <w:pPr>
              <w:pStyle w:val="Cell"/>
            </w:pPr>
            <w:r>
              <w:rPr>
                <w:sz w:val="19"/>
                <w:szCs w:val="19"/>
              </w:rPr>
              <w:t xml:space="preserve">WR-P4</w:t>
            </w:r>
          </w:p>
        </w:tc>
        <w:tc>
          <w:tcPr>
            <w:tcW w:w="3505" w:type="dxa"/>
            <w:vAlign w:val="top"/>
          </w:tcPr>
          <w:p>
            <w:pPr>
              <w:pStyle w:val="Cell"/>
            </w:pPr>
            <w:r>
              <w:rPr>
                <w:sz w:val="19"/>
                <w:szCs w:val="19"/>
              </w:rPr>
              <w:t xml:space="preserve">Conferir com o Ibama</w:t>
            </w:r>
          </w:p>
        </w:tc>
      </w:tr>
      <w:tr>
        <w:tc>
          <w:tcPr>
            <w:tcW w:w="3935" w:type="dxa"/>
            <w:vAlign w:val="top"/>
          </w:tcPr>
          <w:p>
            <w:pPr>
              <w:pStyle w:val="Cell"/>
            </w:pPr>
            <w:r>
              <w:rPr>
                <w:sz w:val="19"/>
                <w:szCs w:val="19"/>
              </w:rPr>
              <w:t xml:space="preserve">Xiloteca do INPA com mais de 10 mil registros</w:t>
            </w:r>
          </w:p>
        </w:tc>
        <w:tc>
          <w:tcPr>
            <w:tcW w:w="1630" w:type="dxa"/>
            <w:vAlign w:val="top"/>
          </w:tcPr>
          <w:p>
            <w:pPr>
              <w:pStyle w:val="Cell"/>
            </w:pPr>
            <w:r>
              <w:rPr>
                <w:sz w:val="19"/>
                <w:szCs w:val="19"/>
              </w:rPr>
              <w:t xml:space="preserve">WR-P4</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Biofábrica: faturamento de R$ 15 mi/ano, 60% livre; renda de R$ 5.400</w:t>
            </w:r>
          </w:p>
        </w:tc>
        <w:tc>
          <w:tcPr>
            <w:tcW w:w="1630" w:type="dxa"/>
            <w:vAlign w:val="top"/>
          </w:tcPr>
          <w:p>
            <w:pPr>
              <w:pStyle w:val="Cell"/>
            </w:pPr>
            <w:r>
              <w:rPr>
                <w:sz w:val="19"/>
                <w:szCs w:val="19"/>
              </w:rPr>
              <w:t xml:space="preserve">WR-P4</w:t>
            </w:r>
          </w:p>
        </w:tc>
        <w:tc>
          <w:tcPr>
            <w:tcW w:w="3505" w:type="dxa"/>
            <w:vAlign w:val="top"/>
          </w:tcPr>
          <w:p>
            <w:pPr>
              <w:pStyle w:val="Cell"/>
            </w:pPr>
            <w:r>
              <w:rPr>
                <w:sz w:val="19"/>
                <w:szCs w:val="19"/>
              </w:rPr>
              <w:t xml:space="preserve">Conferir</w:t>
            </w:r>
          </w:p>
        </w:tc>
      </w:tr>
      <w:tr>
        <w:tc>
          <w:tcPr>
            <w:tcW w:w="3935" w:type="dxa"/>
            <w:vAlign w:val="top"/>
          </w:tcPr>
          <w:p>
            <w:pPr>
              <w:pStyle w:val="Cell"/>
            </w:pPr>
            <w:r>
              <w:rPr>
                <w:sz w:val="19"/>
                <w:szCs w:val="19"/>
              </w:rPr>
              <w:t xml:space="preserve">"Quase R$ 2 bilhões" do BNDES para o AMAS</w:t>
            </w:r>
          </w:p>
        </w:tc>
        <w:tc>
          <w:tcPr>
            <w:tcW w:w="1630" w:type="dxa"/>
            <w:vAlign w:val="top"/>
          </w:tcPr>
          <w:p>
            <w:pPr>
              <w:pStyle w:val="Cell"/>
            </w:pPr>
            <w:r>
              <w:rPr>
                <w:sz w:val="19"/>
                <w:szCs w:val="19"/>
              </w:rPr>
              <w:t xml:space="preserve">W2 1:01:30</w:t>
            </w:r>
          </w:p>
        </w:tc>
        <w:tc>
          <w:tcPr>
            <w:tcW w:w="3505" w:type="dxa"/>
            <w:vAlign w:val="top"/>
          </w:tcPr>
          <w:p>
            <w:pPr>
              <w:pStyle w:val="Cell"/>
            </w:pPr>
            <w:r>
              <w:rPr>
                <w:sz w:val="19"/>
                <w:szCs w:val="19"/>
              </w:rPr>
              <w:t xml:space="preserve">Valor reconstituído na transcrição; dado público: R$ 318,5 mi contratados, de R$ 1,2 bi previstos</w:t>
            </w:r>
          </w:p>
        </w:tc>
      </w:tr>
      <w:tr>
        <w:tc>
          <w:tcPr>
            <w:tcW w:w="3935" w:type="dxa"/>
            <w:vAlign w:val="top"/>
          </w:tcPr>
          <w:p>
            <w:pPr>
              <w:pStyle w:val="Cell"/>
            </w:pPr>
            <w:r>
              <w:rPr>
                <w:sz w:val="19"/>
                <w:szCs w:val="19"/>
              </w:rPr>
              <w:t xml:space="preserve">Bioeconomia: R$ 45 bi no PIB até 2050 e 830 mil empregos (WRI, 2025)</w:t>
            </w:r>
          </w:p>
        </w:tc>
        <w:tc>
          <w:tcPr>
            <w:tcW w:w="1630" w:type="dxa"/>
            <w:vAlign w:val="top"/>
          </w:tcPr>
          <w:p>
            <w:pPr>
              <w:pStyle w:val="Cell"/>
            </w:pPr>
            <w:r>
              <w:rPr>
                <w:sz w:val="19"/>
                <w:szCs w:val="19"/>
              </w:rPr>
              <w:t xml:space="preserve">W2, Ismael Nobre 49:00</w:t>
            </w:r>
          </w:p>
        </w:tc>
        <w:tc>
          <w:tcPr>
            <w:tcW w:w="3505" w:type="dxa"/>
            <w:vAlign w:val="top"/>
          </w:tcPr>
          <w:p>
            <w:pPr>
              <w:pStyle w:val="Cell"/>
            </w:pPr>
            <w:r>
              <w:rPr>
                <w:sz w:val="19"/>
                <w:szCs w:val="19"/>
              </w:rPr>
              <w:t xml:space="preserve">Conferir no estudo</w:t>
            </w:r>
          </w:p>
        </w:tc>
      </w:tr>
      <w:tr>
        <w:tc>
          <w:tcPr>
            <w:tcW w:w="3935" w:type="dxa"/>
            <w:vAlign w:val="top"/>
          </w:tcPr>
          <w:p>
            <w:pPr>
              <w:pStyle w:val="Cell"/>
            </w:pPr>
            <w:r>
              <w:rPr>
                <w:sz w:val="19"/>
                <w:szCs w:val="19"/>
              </w:rPr>
              <w:t xml:space="preserve">Orçamento militar em TI × área garimpada, 2019–2025</w:t>
            </w:r>
          </w:p>
        </w:tc>
        <w:tc>
          <w:tcPr>
            <w:tcW w:w="1630" w:type="dxa"/>
            <w:vAlign w:val="top"/>
          </w:tcPr>
          <w:p>
            <w:pPr>
              <w:pStyle w:val="Cell"/>
            </w:pPr>
            <w:r>
              <w:rPr>
                <w:sz w:val="19"/>
                <w:szCs w:val="19"/>
              </w:rPr>
              <w:t xml:space="preserve">FM, UNESP</w:t>
            </w:r>
          </w:p>
        </w:tc>
        <w:tc>
          <w:tcPr>
            <w:tcW w:w="3505" w:type="dxa"/>
            <w:vAlign w:val="top"/>
          </w:tcPr>
          <w:p>
            <w:pPr>
              <w:pStyle w:val="Cell"/>
            </w:pPr>
            <w:r>
              <w:rPr>
                <w:sz w:val="19"/>
                <w:szCs w:val="19"/>
              </w:rPr>
              <w:t xml:space="preserve">Localizar as referências citadas (Tubino; Lopes)</w:t>
            </w:r>
          </w:p>
        </w:tc>
      </w:tr>
    </w:tbl>
    <w:p>
      <w:pPr>
        <w:pStyle w:val="Tight"/>
      </w:pPr>
    </w:p>
    <w:p>
      <w:pPr>
        <w:pStyle w:val="Heading1"/>
      </w:pPr>
      <w:r>
        <w:t xml:space="preserve">Anexo B — Afirmações jurídicas e institucionais acrescentadas nesta análise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4992"/>
        <w:gridCol w:w="1311"/>
        <w:gridCol w:w="2767"/>
      </w:tblGrid>
      <w:tr>
        <w:trPr>
          <w:tblHeader/>
        </w:trPr>
        <w:tc>
          <w:tcPr>
            <w:tcW w:w="4992" w:type="dxa"/>
            <w:shd w:val="clear" w:color="auto" w:fill="F2F6FA"/>
            <w:vAlign w:val="top"/>
          </w:tcPr>
          <w:p>
            <w:pPr>
              <w:pStyle w:val="Cell"/>
            </w:pPr>
            <w:r>
              <w:rPr>
                <w:b/>
                <w:sz w:val="19"/>
                <w:szCs w:val="19"/>
              </w:rPr>
              <w:t xml:space="preserve">Afirmação</w:t>
            </w:r>
          </w:p>
        </w:tc>
        <w:tc>
          <w:tcPr>
            <w:tcW w:w="1311" w:type="dxa"/>
            <w:shd w:val="clear" w:color="auto" w:fill="F2F6FA"/>
            <w:vAlign w:val="top"/>
          </w:tcPr>
          <w:p>
            <w:pPr>
              <w:pStyle w:val="Cell"/>
            </w:pPr>
            <w:r>
              <w:rPr>
                <w:b/>
                <w:sz w:val="19"/>
                <w:szCs w:val="19"/>
              </w:rPr>
              <w:t xml:space="preserve">Usada em</w:t>
            </w:r>
          </w:p>
        </w:tc>
        <w:tc>
          <w:tcPr>
            <w:tcW w:w="2767" w:type="dxa"/>
            <w:shd w:val="clear" w:color="auto" w:fill="F2F6FA"/>
            <w:vAlign w:val="top"/>
          </w:tcPr>
          <w:p>
            <w:pPr>
              <w:pStyle w:val="Cell"/>
            </w:pPr>
            <w:r>
              <w:rPr>
                <w:b/>
                <w:sz w:val="19"/>
                <w:szCs w:val="19"/>
              </w:rPr>
              <w:t xml:space="preserve">Como verificar</w:t>
            </w:r>
          </w:p>
        </w:tc>
      </w:tr>
      <w:tr>
        <w:tc>
          <w:tcPr>
            <w:tcW w:w="4992" w:type="dxa"/>
            <w:vAlign w:val="top"/>
          </w:tcPr>
          <w:p>
            <w:pPr>
              <w:pStyle w:val="Cell"/>
            </w:pPr>
            <w:r>
              <w:rPr>
                <w:sz w:val="19"/>
                <w:szCs w:val="19"/>
              </w:rPr>
              <w:t xml:space="preserve">LC 97/1999, arts. 16-A e 17-A: base do apoio logístico e de inteligência das Forças a órgãos federais</w:t>
            </w:r>
          </w:p>
        </w:tc>
        <w:tc>
          <w:tcPr>
            <w:tcW w:w="1311" w:type="dxa"/>
            <w:vAlign w:val="top"/>
          </w:tcPr>
          <w:p>
            <w:pPr>
              <w:pStyle w:val="Cell"/>
            </w:pPr>
            <w:r>
              <w:rPr>
                <w:sz w:val="19"/>
                <w:szCs w:val="19"/>
              </w:rPr>
              <w:t xml:space="preserve">A2.a; B2.c</w:t>
            </w:r>
          </w:p>
        </w:tc>
        <w:tc>
          <w:tcPr>
            <w:tcW w:w="2767" w:type="dxa"/>
            <w:vAlign w:val="top"/>
          </w:tcPr>
          <w:p>
            <w:pPr>
              <w:pStyle w:val="Cell"/>
            </w:pPr>
            <w:r>
              <w:rPr>
                <w:sz w:val="19"/>
                <w:szCs w:val="19"/>
              </w:rPr>
              <w:t xml:space="preserve">Texto consolidado da LC 97</w:t>
            </w:r>
          </w:p>
        </w:tc>
      </w:tr>
      <w:tr>
        <w:tc>
          <w:tcPr>
            <w:tcW w:w="4992" w:type="dxa"/>
            <w:vAlign w:val="top"/>
          </w:tcPr>
          <w:p>
            <w:pPr>
              <w:pStyle w:val="Cell"/>
            </w:pPr>
            <w:r>
              <w:rPr>
                <w:sz w:val="19"/>
                <w:szCs w:val="19"/>
              </w:rPr>
              <w:t xml:space="preserve">Decreto 7.845/2012: credenciamento de segurança e tratamento de informação classificada</w:t>
            </w:r>
          </w:p>
        </w:tc>
        <w:tc>
          <w:tcPr>
            <w:tcW w:w="1311" w:type="dxa"/>
            <w:vAlign w:val="top"/>
          </w:tcPr>
          <w:p>
            <w:pPr>
              <w:pStyle w:val="Cell"/>
            </w:pPr>
            <w:r>
              <w:rPr>
                <w:sz w:val="19"/>
                <w:szCs w:val="19"/>
              </w:rPr>
              <w:t xml:space="preserve">B2.b</w:t>
            </w:r>
          </w:p>
        </w:tc>
        <w:tc>
          <w:tcPr>
            <w:tcW w:w="2767" w:type="dxa"/>
            <w:vAlign w:val="top"/>
          </w:tcPr>
          <w:p>
            <w:pPr>
              <w:pStyle w:val="Cell"/>
            </w:pPr>
            <w:r>
              <w:rPr>
                <w:sz w:val="19"/>
                <w:szCs w:val="19"/>
              </w:rPr>
              <w:t xml:space="preserve">Texto do decreto</w:t>
            </w:r>
          </w:p>
        </w:tc>
      </w:tr>
      <w:tr>
        <w:tc>
          <w:tcPr>
            <w:tcW w:w="4992" w:type="dxa"/>
            <w:vAlign w:val="top"/>
          </w:tcPr>
          <w:p>
            <w:pPr>
              <w:pStyle w:val="Cell"/>
            </w:pPr>
            <w:r>
              <w:rPr>
                <w:sz w:val="19"/>
                <w:szCs w:val="19"/>
              </w:rPr>
              <w:t xml:space="preserve">LGPD, arts. 7º, III, e 23: tratamento de dados por órgão público para execução de política pública</w:t>
            </w:r>
          </w:p>
        </w:tc>
        <w:tc>
          <w:tcPr>
            <w:tcW w:w="1311" w:type="dxa"/>
            <w:vAlign w:val="top"/>
          </w:tcPr>
          <w:p>
            <w:pPr>
              <w:pStyle w:val="Cell"/>
            </w:pPr>
            <w:r>
              <w:rPr>
                <w:sz w:val="19"/>
                <w:szCs w:val="19"/>
              </w:rPr>
              <w:t xml:space="preserve">B2.a</w:t>
            </w:r>
          </w:p>
        </w:tc>
        <w:tc>
          <w:tcPr>
            <w:tcW w:w="2767" w:type="dxa"/>
            <w:vAlign w:val="top"/>
          </w:tcPr>
          <w:p>
            <w:pPr>
              <w:pStyle w:val="Cell"/>
            </w:pPr>
            <w:r>
              <w:rPr>
                <w:sz w:val="19"/>
                <w:szCs w:val="19"/>
              </w:rPr>
              <w:t xml:space="preserve">Texto da Lei 13.709/2018</w:t>
            </w:r>
          </w:p>
        </w:tc>
      </w:tr>
      <w:tr>
        <w:tc>
          <w:tcPr>
            <w:tcW w:w="4992" w:type="dxa"/>
            <w:vAlign w:val="top"/>
          </w:tcPr>
          <w:p>
            <w:pPr>
              <w:pStyle w:val="Cell"/>
            </w:pPr>
            <w:r>
              <w:rPr>
                <w:sz w:val="19"/>
                <w:szCs w:val="19"/>
              </w:rPr>
              <w:t xml:space="preserve">LC 140/2011, arts. 4º e 17: instrumentos de cooperação e prevalência do auto do órgão licenciador</w:t>
            </w:r>
          </w:p>
        </w:tc>
        <w:tc>
          <w:tcPr>
            <w:tcW w:w="1311" w:type="dxa"/>
            <w:vAlign w:val="top"/>
          </w:tcPr>
          <w:p>
            <w:pPr>
              <w:pStyle w:val="Cell"/>
            </w:pPr>
            <w:r>
              <w:rPr>
                <w:sz w:val="19"/>
                <w:szCs w:val="19"/>
              </w:rPr>
              <w:t xml:space="preserve">B4.a</w:t>
            </w:r>
          </w:p>
        </w:tc>
        <w:tc>
          <w:tcPr>
            <w:tcW w:w="2767" w:type="dxa"/>
            <w:vAlign w:val="top"/>
          </w:tcPr>
          <w:p>
            <w:pPr>
              <w:pStyle w:val="Cell"/>
            </w:pPr>
            <w:r>
              <w:rPr>
                <w:sz w:val="19"/>
                <w:szCs w:val="19"/>
              </w:rPr>
              <w:t xml:space="preserve">Texto da LC 140</w:t>
            </w:r>
          </w:p>
        </w:tc>
      </w:tr>
      <w:tr>
        <w:tc>
          <w:tcPr>
            <w:tcW w:w="4992" w:type="dxa"/>
            <w:vAlign w:val="top"/>
          </w:tcPr>
          <w:p>
            <w:pPr>
              <w:pStyle w:val="Cell"/>
            </w:pPr>
            <w:r>
              <w:rPr>
                <w:sz w:val="19"/>
                <w:szCs w:val="19"/>
              </w:rPr>
              <w:t xml:space="preserve">Lei 12.855/2013: indenização de fronteira e carreiras abrangidas</w:t>
            </w:r>
          </w:p>
        </w:tc>
        <w:tc>
          <w:tcPr>
            <w:tcW w:w="1311" w:type="dxa"/>
            <w:vAlign w:val="top"/>
          </w:tcPr>
          <w:p>
            <w:pPr>
              <w:pStyle w:val="Cell"/>
            </w:pPr>
            <w:r>
              <w:rPr>
                <w:sz w:val="19"/>
                <w:szCs w:val="19"/>
              </w:rPr>
              <w:t xml:space="preserve">A3.b</w:t>
            </w:r>
          </w:p>
        </w:tc>
        <w:tc>
          <w:tcPr>
            <w:tcW w:w="2767" w:type="dxa"/>
            <w:vAlign w:val="top"/>
          </w:tcPr>
          <w:p>
            <w:pPr>
              <w:pStyle w:val="Cell"/>
            </w:pPr>
            <w:r>
              <w:rPr>
                <w:sz w:val="19"/>
                <w:szCs w:val="19"/>
              </w:rPr>
              <w:t xml:space="preserve">Texto da lei e alterações</w:t>
            </w:r>
          </w:p>
        </w:tc>
      </w:tr>
      <w:tr>
        <w:tc>
          <w:tcPr>
            <w:tcW w:w="4992" w:type="dxa"/>
            <w:vAlign w:val="top"/>
          </w:tcPr>
          <w:p>
            <w:pPr>
              <w:pStyle w:val="Cell"/>
            </w:pPr>
            <w:r>
              <w:rPr>
                <w:sz w:val="19"/>
                <w:szCs w:val="19"/>
              </w:rPr>
              <w:t xml:space="preserve">Lei 13.756/2018: transferências do Fundo Nacional de Segurança Pública</w:t>
            </w:r>
          </w:p>
        </w:tc>
        <w:tc>
          <w:tcPr>
            <w:tcW w:w="1311" w:type="dxa"/>
            <w:vAlign w:val="top"/>
          </w:tcPr>
          <w:p>
            <w:pPr>
              <w:pStyle w:val="Cell"/>
            </w:pPr>
            <w:r>
              <w:rPr>
                <w:sz w:val="19"/>
                <w:szCs w:val="19"/>
              </w:rPr>
              <w:t xml:space="preserve">B3.a</w:t>
            </w:r>
          </w:p>
        </w:tc>
        <w:tc>
          <w:tcPr>
            <w:tcW w:w="2767" w:type="dxa"/>
            <w:vAlign w:val="top"/>
          </w:tcPr>
          <w:p>
            <w:pPr>
              <w:pStyle w:val="Cell"/>
            </w:pPr>
            <w:r>
              <w:rPr>
                <w:sz w:val="19"/>
                <w:szCs w:val="19"/>
              </w:rPr>
              <w:t xml:space="preserve">Texto da lei e portarias do MJSP</w:t>
            </w:r>
          </w:p>
        </w:tc>
      </w:tr>
      <w:tr>
        <w:tc>
          <w:tcPr>
            <w:tcW w:w="4992" w:type="dxa"/>
            <w:vAlign w:val="top"/>
          </w:tcPr>
          <w:p>
            <w:pPr>
              <w:pStyle w:val="Cell"/>
            </w:pPr>
            <w:r>
              <w:rPr>
                <w:sz w:val="19"/>
                <w:szCs w:val="19"/>
              </w:rPr>
              <w:t xml:space="preserve">CF, art. 155, §2º, X, "a", e art. 153, §5º: exportação e ouro como ativo financeiro</w:t>
            </w:r>
          </w:p>
        </w:tc>
        <w:tc>
          <w:tcPr>
            <w:tcW w:w="1311" w:type="dxa"/>
            <w:vAlign w:val="top"/>
          </w:tcPr>
          <w:p>
            <w:pPr>
              <w:pStyle w:val="Cell"/>
            </w:pPr>
            <w:r>
              <w:rPr>
                <w:sz w:val="19"/>
                <w:szCs w:val="19"/>
              </w:rPr>
              <w:t xml:space="preserve">C2</w:t>
            </w:r>
          </w:p>
        </w:tc>
        <w:tc>
          <w:tcPr>
            <w:tcW w:w="2767" w:type="dxa"/>
            <w:vAlign w:val="top"/>
          </w:tcPr>
          <w:p>
            <w:pPr>
              <w:pStyle w:val="Cell"/>
            </w:pPr>
            <w:r>
              <w:rPr>
                <w:sz w:val="19"/>
                <w:szCs w:val="19"/>
              </w:rPr>
              <w:t xml:space="preserve">Constituição</w:t>
            </w:r>
          </w:p>
        </w:tc>
      </w:tr>
      <w:tr>
        <w:tc>
          <w:tcPr>
            <w:tcW w:w="4992" w:type="dxa"/>
            <w:vAlign w:val="top"/>
          </w:tcPr>
          <w:p>
            <w:pPr>
              <w:pStyle w:val="Cell"/>
            </w:pPr>
            <w:r>
              <w:rPr>
                <w:sz w:val="19"/>
                <w:szCs w:val="19"/>
              </w:rPr>
              <w:t xml:space="preserve">Decretos 97.507/1989 e 97.634/1989: uso e controle do mercúrio</w:t>
            </w:r>
          </w:p>
        </w:tc>
        <w:tc>
          <w:tcPr>
            <w:tcW w:w="1311" w:type="dxa"/>
            <w:vAlign w:val="top"/>
          </w:tcPr>
          <w:p>
            <w:pPr>
              <w:pStyle w:val="Cell"/>
            </w:pPr>
            <w:r>
              <w:rPr>
                <w:sz w:val="19"/>
                <w:szCs w:val="19"/>
              </w:rPr>
              <w:t xml:space="preserve">C3.b</w:t>
            </w:r>
          </w:p>
        </w:tc>
        <w:tc>
          <w:tcPr>
            <w:tcW w:w="2767" w:type="dxa"/>
            <w:vAlign w:val="top"/>
          </w:tcPr>
          <w:p>
            <w:pPr>
              <w:pStyle w:val="Cell"/>
            </w:pPr>
            <w:r>
              <w:rPr>
                <w:sz w:val="19"/>
                <w:szCs w:val="19"/>
              </w:rPr>
              <w:t xml:space="preserve">Textos dos decretos</w:t>
            </w:r>
          </w:p>
        </w:tc>
      </w:tr>
      <w:tr>
        <w:tc>
          <w:tcPr>
            <w:tcW w:w="4992" w:type="dxa"/>
            <w:vAlign w:val="top"/>
          </w:tcPr>
          <w:p>
            <w:pPr>
              <w:pStyle w:val="Cell"/>
            </w:pPr>
            <w:r>
              <w:rPr>
                <w:sz w:val="19"/>
                <w:szCs w:val="19"/>
              </w:rPr>
              <w:t xml:space="preserve">Decreto 6.514/2008, art. 54: aquisição de produto de área embargada</w:t>
            </w:r>
          </w:p>
        </w:tc>
        <w:tc>
          <w:tcPr>
            <w:tcW w:w="1311" w:type="dxa"/>
            <w:vAlign w:val="top"/>
          </w:tcPr>
          <w:p>
            <w:pPr>
              <w:pStyle w:val="Cell"/>
            </w:pPr>
            <w:r>
              <w:rPr>
                <w:sz w:val="19"/>
                <w:szCs w:val="19"/>
              </w:rPr>
              <w:t xml:space="preserve">C5.a</w:t>
            </w:r>
          </w:p>
        </w:tc>
        <w:tc>
          <w:tcPr>
            <w:tcW w:w="2767" w:type="dxa"/>
            <w:vAlign w:val="top"/>
          </w:tcPr>
          <w:p>
            <w:pPr>
              <w:pStyle w:val="Cell"/>
            </w:pPr>
            <w:r>
              <w:rPr>
                <w:sz w:val="19"/>
                <w:szCs w:val="19"/>
              </w:rPr>
              <w:t xml:space="preserve">Texto consolidado do decreto</w:t>
            </w:r>
          </w:p>
        </w:tc>
      </w:tr>
      <w:tr>
        <w:tc>
          <w:tcPr>
            <w:tcW w:w="4992" w:type="dxa"/>
            <w:vAlign w:val="top"/>
          </w:tcPr>
          <w:p>
            <w:pPr>
              <w:pStyle w:val="Cell"/>
            </w:pPr>
            <w:r>
              <w:rPr>
                <w:sz w:val="19"/>
                <w:szCs w:val="19"/>
              </w:rPr>
              <w:t xml:space="preserve">CF, art. 5º, LVII; Lei 9.613/1998, art. 4º, §2º</w:t>
            </w:r>
          </w:p>
        </w:tc>
        <w:tc>
          <w:tcPr>
            <w:tcW w:w="1311" w:type="dxa"/>
            <w:vAlign w:val="top"/>
          </w:tcPr>
          <w:p>
            <w:pPr>
              <w:pStyle w:val="Cell"/>
            </w:pPr>
            <w:r>
              <w:rPr>
                <w:sz w:val="19"/>
                <w:szCs w:val="19"/>
              </w:rPr>
              <w:t xml:space="preserve">C4</w:t>
            </w:r>
          </w:p>
        </w:tc>
        <w:tc>
          <w:tcPr>
            <w:tcW w:w="2767" w:type="dxa"/>
            <w:vAlign w:val="top"/>
          </w:tcPr>
          <w:p>
            <w:pPr>
              <w:pStyle w:val="Cell"/>
            </w:pPr>
            <w:r>
              <w:rPr>
                <w:sz w:val="19"/>
                <w:szCs w:val="19"/>
              </w:rPr>
              <w:t xml:space="preserve">Constituição e texto da lei</w:t>
            </w:r>
          </w:p>
        </w:tc>
      </w:tr>
      <w:tr>
        <w:tc>
          <w:tcPr>
            <w:tcW w:w="4992" w:type="dxa"/>
            <w:vAlign w:val="top"/>
          </w:tcPr>
          <w:p>
            <w:pPr>
              <w:pStyle w:val="Cell"/>
            </w:pPr>
            <w:r>
              <w:rPr>
                <w:sz w:val="19"/>
                <w:szCs w:val="19"/>
              </w:rPr>
              <w:t xml:space="preserve">Leis 12.850/2013 e 9.613/1998: enquadramento conjunto</w:t>
            </w:r>
          </w:p>
        </w:tc>
        <w:tc>
          <w:tcPr>
            <w:tcW w:w="1311" w:type="dxa"/>
            <w:vAlign w:val="top"/>
          </w:tcPr>
          <w:p>
            <w:pPr>
              <w:pStyle w:val="Cell"/>
            </w:pPr>
            <w:r>
              <w:rPr>
                <w:sz w:val="19"/>
                <w:szCs w:val="19"/>
              </w:rPr>
              <w:t xml:space="preserve">D1.a</w:t>
            </w:r>
          </w:p>
        </w:tc>
        <w:tc>
          <w:tcPr>
            <w:tcW w:w="2767" w:type="dxa"/>
            <w:vAlign w:val="top"/>
          </w:tcPr>
          <w:p>
            <w:pPr>
              <w:pStyle w:val="Cell"/>
            </w:pPr>
            <w:r>
              <w:rPr>
                <w:sz w:val="19"/>
                <w:szCs w:val="19"/>
              </w:rPr>
              <w:t xml:space="preserve">Textos das leis</w:t>
            </w:r>
          </w:p>
        </w:tc>
      </w:tr>
      <w:tr>
        <w:tc>
          <w:tcPr>
            <w:tcW w:w="4992" w:type="dxa"/>
            <w:vAlign w:val="top"/>
          </w:tcPr>
          <w:p>
            <w:pPr>
              <w:pStyle w:val="Cell"/>
            </w:pPr>
            <w:r>
              <w:rPr>
                <w:sz w:val="19"/>
                <w:szCs w:val="19"/>
              </w:rPr>
              <w:t xml:space="preserve">Lei 15.042/2024: direitos de comunidades sobre créditos de carbono</w:t>
            </w:r>
          </w:p>
        </w:tc>
        <w:tc>
          <w:tcPr>
            <w:tcW w:w="1311" w:type="dxa"/>
            <w:vAlign w:val="top"/>
          </w:tcPr>
          <w:p>
            <w:pPr>
              <w:pStyle w:val="Cell"/>
            </w:pPr>
            <w:r>
              <w:rPr>
                <w:sz w:val="19"/>
                <w:szCs w:val="19"/>
              </w:rPr>
              <w:t xml:space="preserve">E3.b</w:t>
            </w:r>
          </w:p>
        </w:tc>
        <w:tc>
          <w:tcPr>
            <w:tcW w:w="2767" w:type="dxa"/>
            <w:vAlign w:val="top"/>
          </w:tcPr>
          <w:p>
            <w:pPr>
              <w:pStyle w:val="Cell"/>
            </w:pPr>
            <w:r>
              <w:rPr>
                <w:sz w:val="19"/>
                <w:szCs w:val="19"/>
              </w:rPr>
              <w:t xml:space="preserve">Texto da lei</w:t>
            </w:r>
          </w:p>
        </w:tc>
      </w:tr>
      <w:tr>
        <w:tc>
          <w:tcPr>
            <w:tcW w:w="4992" w:type="dxa"/>
            <w:vAlign w:val="top"/>
          </w:tcPr>
          <w:p>
            <w:pPr>
              <w:pStyle w:val="Cell"/>
            </w:pPr>
            <w:r>
              <w:rPr>
                <w:sz w:val="19"/>
                <w:szCs w:val="19"/>
              </w:rPr>
              <w:t xml:space="preserve">CadÚnico: grupos populacionais tradicionais e específicos</w:t>
            </w:r>
          </w:p>
        </w:tc>
        <w:tc>
          <w:tcPr>
            <w:tcW w:w="1311" w:type="dxa"/>
            <w:vAlign w:val="top"/>
          </w:tcPr>
          <w:p>
            <w:pPr>
              <w:pStyle w:val="Cell"/>
            </w:pPr>
            <w:r>
              <w:rPr>
                <w:sz w:val="19"/>
                <w:szCs w:val="19"/>
              </w:rPr>
              <w:t xml:space="preserve">G1.c</w:t>
            </w:r>
          </w:p>
        </w:tc>
        <w:tc>
          <w:tcPr>
            <w:tcW w:w="2767" w:type="dxa"/>
            <w:vAlign w:val="top"/>
          </w:tcPr>
          <w:p>
            <w:pPr>
              <w:pStyle w:val="Cell"/>
            </w:pPr>
            <w:r>
              <w:rPr>
                <w:sz w:val="19"/>
                <w:szCs w:val="19"/>
              </w:rPr>
              <w:t xml:space="preserve">Manual do CadÚnico</w:t>
            </w:r>
          </w:p>
        </w:tc>
      </w:tr>
      <w:tr>
        <w:tc>
          <w:tcPr>
            <w:tcW w:w="4992" w:type="dxa"/>
            <w:vAlign w:val="top"/>
          </w:tcPr>
          <w:p>
            <w:pPr>
              <w:pStyle w:val="Cell"/>
            </w:pPr>
            <w:r>
              <w:rPr>
                <w:sz w:val="19"/>
                <w:szCs w:val="19"/>
              </w:rPr>
              <w:t xml:space="preserve">Instituto Evandro Chagas e LACENs: capacidade de análise de mercúrio</w:t>
            </w:r>
          </w:p>
        </w:tc>
        <w:tc>
          <w:tcPr>
            <w:tcW w:w="1311" w:type="dxa"/>
            <w:vAlign w:val="top"/>
          </w:tcPr>
          <w:p>
            <w:pPr>
              <w:pStyle w:val="Cell"/>
            </w:pPr>
            <w:r>
              <w:rPr>
                <w:sz w:val="19"/>
                <w:szCs w:val="19"/>
              </w:rPr>
              <w:t xml:space="preserve">G1.d</w:t>
            </w:r>
          </w:p>
        </w:tc>
        <w:tc>
          <w:tcPr>
            <w:tcW w:w="2767" w:type="dxa"/>
            <w:vAlign w:val="top"/>
          </w:tcPr>
          <w:p>
            <w:pPr>
              <w:pStyle w:val="Cell"/>
            </w:pPr>
            <w:r>
              <w:rPr>
                <w:sz w:val="19"/>
                <w:szCs w:val="19"/>
              </w:rPr>
              <w:t xml:space="preserve">Ministério da Saúde</w:t>
            </w:r>
          </w:p>
        </w:tc>
      </w:tr>
      <w:tr>
        <w:tc>
          <w:tcPr>
            <w:tcW w:w="4992" w:type="dxa"/>
            <w:vAlign w:val="top"/>
          </w:tcPr>
          <w:p>
            <w:pPr>
              <w:pStyle w:val="Cell"/>
            </w:pPr>
            <w:r>
              <w:rPr>
                <w:sz w:val="19"/>
                <w:szCs w:val="19"/>
              </w:rPr>
              <w:t xml:space="preserve">Protocolo Brasil–Colômbia aprovado pelo Congresso e não promulgado</w:t>
            </w:r>
          </w:p>
        </w:tc>
        <w:tc>
          <w:tcPr>
            <w:tcW w:w="1311" w:type="dxa"/>
            <w:vAlign w:val="top"/>
          </w:tcPr>
          <w:p>
            <w:pPr>
              <w:pStyle w:val="Cell"/>
            </w:pPr>
            <w:r>
              <w:rPr>
                <w:sz w:val="19"/>
                <w:szCs w:val="19"/>
              </w:rPr>
              <w:t xml:space="preserve">F2.a</w:t>
            </w:r>
          </w:p>
        </w:tc>
        <w:tc>
          <w:tcPr>
            <w:tcW w:w="2767" w:type="dxa"/>
            <w:vAlign w:val="top"/>
          </w:tcPr>
          <w:p>
            <w:pPr>
              <w:pStyle w:val="Cell"/>
            </w:pPr>
            <w:r>
              <w:rPr>
                <w:sz w:val="19"/>
                <w:szCs w:val="19"/>
              </w:rPr>
              <w:t xml:space="preserve">Legislação e atos internacionais (Câmara, MRE)</w:t>
            </w:r>
          </w:p>
        </w:tc>
      </w:tr>
      <w:tr>
        <w:tc>
          <w:tcPr>
            <w:tcW w:w="4992" w:type="dxa"/>
            <w:vAlign w:val="top"/>
          </w:tcPr>
          <w:p>
            <w:pPr>
              <w:pStyle w:val="Cell"/>
            </w:pPr>
            <w:r>
              <w:rPr>
                <w:sz w:val="19"/>
                <w:szCs w:val="19"/>
              </w:rPr>
              <w:t xml:space="preserve">Norma europeia sobre crimes ambientais com prazo até 2026 (provável diretiva)</w:t>
            </w:r>
          </w:p>
        </w:tc>
        <w:tc>
          <w:tcPr>
            <w:tcW w:w="1311" w:type="dxa"/>
            <w:vAlign w:val="top"/>
          </w:tcPr>
          <w:p>
            <w:pPr>
              <w:pStyle w:val="Cell"/>
            </w:pPr>
            <w:r>
              <w:rPr>
                <w:sz w:val="19"/>
                <w:szCs w:val="19"/>
              </w:rPr>
              <w:t xml:space="preserve">D1</w:t>
            </w:r>
          </w:p>
        </w:tc>
        <w:tc>
          <w:tcPr>
            <w:tcW w:w="2767" w:type="dxa"/>
            <w:vAlign w:val="top"/>
          </w:tcPr>
          <w:p>
            <w:pPr>
              <w:pStyle w:val="Cell"/>
            </w:pPr>
            <w:r>
              <w:rPr>
                <w:sz w:val="19"/>
                <w:szCs w:val="19"/>
              </w:rPr>
              <w:t xml:space="preserve">EUR-Lex</w:t>
            </w:r>
          </w:p>
        </w:tc>
      </w:tr>
      <w:tr>
        <w:tc>
          <w:tcPr>
            <w:tcW w:w="4992" w:type="dxa"/>
            <w:vAlign w:val="top"/>
          </w:tcPr>
          <w:p>
            <w:pPr>
              <w:pStyle w:val="Cell"/>
            </w:pPr>
            <w:r>
              <w:rPr>
                <w:sz w:val="19"/>
                <w:szCs w:val="19"/>
              </w:rPr>
              <w:t xml:space="preserve">Acordo MPF–Starlink e ação civil pública contra a ANP</w:t>
            </w:r>
          </w:p>
        </w:tc>
        <w:tc>
          <w:tcPr>
            <w:tcW w:w="1311" w:type="dxa"/>
            <w:vAlign w:val="top"/>
          </w:tcPr>
          <w:p>
            <w:pPr>
              <w:pStyle w:val="Cell"/>
            </w:pPr>
            <w:r>
              <w:rPr>
                <w:sz w:val="19"/>
                <w:szCs w:val="19"/>
              </w:rPr>
              <w:t xml:space="preserve">C3.a</w:t>
            </w:r>
          </w:p>
        </w:tc>
        <w:tc>
          <w:tcPr>
            <w:tcW w:w="2767" w:type="dxa"/>
            <w:vAlign w:val="top"/>
          </w:tcPr>
          <w:p>
            <w:pPr>
              <w:pStyle w:val="Cell"/>
            </w:pPr>
            <w:r>
              <w:rPr>
                <w:sz w:val="19"/>
                <w:szCs w:val="19"/>
              </w:rPr>
              <w:t xml:space="preserve">MPF</w:t>
            </w:r>
          </w:p>
        </w:tc>
      </w:tr>
      <w:tr>
        <w:tc>
          <w:tcPr>
            <w:tcW w:w="4992" w:type="dxa"/>
            <w:vAlign w:val="top"/>
          </w:tcPr>
          <w:p>
            <w:pPr>
              <w:pStyle w:val="Cell"/>
            </w:pPr>
            <w:r>
              <w:rPr>
                <w:sz w:val="19"/>
                <w:szCs w:val="19"/>
              </w:rPr>
              <w:t xml:space="preserve">Edital da Senad de bioeconomia em áreas de alta incidência criminal</w:t>
            </w:r>
          </w:p>
        </w:tc>
        <w:tc>
          <w:tcPr>
            <w:tcW w:w="1311" w:type="dxa"/>
            <w:vAlign w:val="top"/>
          </w:tcPr>
          <w:p>
            <w:pPr>
              <w:pStyle w:val="Cell"/>
            </w:pPr>
            <w:r>
              <w:rPr>
                <w:sz w:val="19"/>
                <w:szCs w:val="19"/>
              </w:rPr>
              <w:t xml:space="preserve">E1.a</w:t>
            </w:r>
          </w:p>
        </w:tc>
        <w:tc>
          <w:tcPr>
            <w:tcW w:w="2767" w:type="dxa"/>
            <w:vAlign w:val="top"/>
          </w:tcPr>
          <w:p>
            <w:pPr>
              <w:pStyle w:val="Cell"/>
            </w:pPr>
            <w:r>
              <w:rPr>
                <w:sz w:val="19"/>
                <w:szCs w:val="19"/>
              </w:rPr>
              <w:t xml:space="preserve">MJSP/Senad</w:t>
            </w:r>
          </w:p>
        </w:tc>
      </w:tr>
    </w:tbl>
    <w:p>
      <w:pPr>
        <w:pStyle w:val="Tight"/>
      </w:pPr>
    </w:p>
    <w:p>
      <w:pPr>
        <w:pStyle w:val="Heading1"/>
      </w:pPr>
      <w:r>
        <w:t xml:space="preserve">Anexo C — Propostas das transcrições fora do alcance incremental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2" w:type="dxa"/>
          <w:left w:w="108" w:type="dxa"/>
          <w:bottom w:w="72" w:type="dxa"/>
          <w:right w:w="108" w:type="dxa"/>
        </w:tblCellMar>
      </w:tblPr>
      <w:tblGrid>
        <w:gridCol w:w="2408"/>
        <w:gridCol w:w="1494"/>
        <w:gridCol w:w="2694"/>
        <w:gridCol w:w="2474"/>
      </w:tblGrid>
      <w:tr>
        <w:trPr>
          <w:tblHeader/>
        </w:trPr>
        <w:tc>
          <w:tcPr>
            <w:tcW w:w="2408" w:type="dxa"/>
            <w:shd w:val="clear" w:color="auto" w:fill="F2F6FA"/>
            <w:vAlign w:val="top"/>
          </w:tcPr>
          <w:p>
            <w:pPr>
              <w:pStyle w:val="Cell"/>
            </w:pPr>
            <w:r>
              <w:rPr>
                <w:b/>
                <w:sz w:val="19"/>
                <w:szCs w:val="19"/>
              </w:rPr>
              <w:t xml:space="preserve">Proposta</w:t>
            </w:r>
          </w:p>
        </w:tc>
        <w:tc>
          <w:tcPr>
            <w:tcW w:w="1494" w:type="dxa"/>
            <w:shd w:val="clear" w:color="auto" w:fill="F2F6FA"/>
            <w:vAlign w:val="top"/>
          </w:tcPr>
          <w:p>
            <w:pPr>
              <w:pStyle w:val="Cell"/>
            </w:pPr>
            <w:r>
              <w:rPr>
                <w:b/>
                <w:sz w:val="19"/>
                <w:szCs w:val="19"/>
              </w:rPr>
              <w:t xml:space="preserve">Fonte</w:t>
            </w:r>
          </w:p>
        </w:tc>
        <w:tc>
          <w:tcPr>
            <w:tcW w:w="2694" w:type="dxa"/>
            <w:shd w:val="clear" w:color="auto" w:fill="F2F6FA"/>
            <w:vAlign w:val="top"/>
          </w:tcPr>
          <w:p>
            <w:pPr>
              <w:pStyle w:val="Cell"/>
            </w:pPr>
            <w:r>
              <w:rPr>
                <w:b/>
                <w:sz w:val="19"/>
                <w:szCs w:val="19"/>
              </w:rPr>
              <w:t xml:space="preserve">Por que não agora</w:t>
            </w:r>
          </w:p>
        </w:tc>
        <w:tc>
          <w:tcPr>
            <w:tcW w:w="2474" w:type="dxa"/>
            <w:shd w:val="clear" w:color="auto" w:fill="F2F6FA"/>
            <w:vAlign w:val="top"/>
          </w:tcPr>
          <w:p>
            <w:pPr>
              <w:pStyle w:val="Cell"/>
            </w:pPr>
            <w:r>
              <w:rPr>
                <w:b/>
                <w:sz w:val="19"/>
                <w:szCs w:val="19"/>
              </w:rPr>
              <w:t xml:space="preserve">Degrau intermediário</w:t>
            </w:r>
          </w:p>
        </w:tc>
      </w:tr>
      <w:tr>
        <w:tc>
          <w:tcPr>
            <w:tcW w:w="2408" w:type="dxa"/>
            <w:vAlign w:val="top"/>
          </w:tcPr>
          <w:p>
            <w:pPr>
              <w:pStyle w:val="Cell"/>
            </w:pPr>
            <w:r>
              <w:rPr>
                <w:sz w:val="19"/>
                <w:szCs w:val="19"/>
              </w:rPr>
              <w:t xml:space="preserve">Grande estratégia nacional de 20–30 anos</w:t>
            </w:r>
          </w:p>
        </w:tc>
        <w:tc>
          <w:tcPr>
            <w:tcW w:w="1494" w:type="dxa"/>
            <w:vAlign w:val="top"/>
          </w:tcPr>
          <w:p>
            <w:pPr>
              <w:pStyle w:val="Cell"/>
            </w:pPr>
            <w:r>
              <w:rPr>
                <w:sz w:val="19"/>
                <w:szCs w:val="19"/>
              </w:rPr>
              <w:t xml:space="preserve">WN, Palestra Magna I; WR-P3</w:t>
            </w:r>
          </w:p>
        </w:tc>
        <w:tc>
          <w:tcPr>
            <w:tcW w:w="2694" w:type="dxa"/>
            <w:vAlign w:val="top"/>
          </w:tcPr>
          <w:p>
            <w:pPr>
              <w:pStyle w:val="Cell"/>
            </w:pPr>
            <w:r>
              <w:rPr>
                <w:sz w:val="19"/>
                <w:szCs w:val="19"/>
              </w:rPr>
              <w:t xml:space="preserve">O GSI considera politicamente sensível; exige consenso interministerial improvável</w:t>
            </w:r>
          </w:p>
        </w:tc>
        <w:tc>
          <w:tcPr>
            <w:tcW w:w="2474" w:type="dxa"/>
            <w:vAlign w:val="top"/>
          </w:tcPr>
          <w:p>
            <w:pPr>
              <w:pStyle w:val="Cell"/>
            </w:pPr>
            <w:r>
              <w:rPr>
                <w:sz w:val="19"/>
                <w:szCs w:val="19"/>
              </w:rPr>
              <w:t xml:space="preserve">Política de princípios macro (VL); sistematizar a Casa de Governo (B1.a)</w:t>
            </w:r>
          </w:p>
        </w:tc>
      </w:tr>
      <w:tr>
        <w:tc>
          <w:tcPr>
            <w:tcW w:w="2408" w:type="dxa"/>
            <w:vAlign w:val="top"/>
          </w:tcPr>
          <w:p>
            <w:pPr>
              <w:pStyle w:val="Cell"/>
            </w:pPr>
            <w:r>
              <w:rPr>
                <w:sz w:val="19"/>
                <w:szCs w:val="19"/>
              </w:rPr>
              <w:t xml:space="preserve">Inteligência na Constituição (PEC)</w:t>
            </w:r>
          </w:p>
        </w:tc>
        <w:tc>
          <w:tcPr>
            <w:tcW w:w="1494" w:type="dxa"/>
            <w:vAlign w:val="top"/>
          </w:tcPr>
          <w:p>
            <w:pPr>
              <w:pStyle w:val="Cell"/>
            </w:pPr>
            <w:r>
              <w:rPr>
                <w:sz w:val="19"/>
                <w:szCs w:val="19"/>
              </w:rPr>
              <w:t xml:space="preserve">WN-GT4</w:t>
            </w:r>
          </w:p>
        </w:tc>
        <w:tc>
          <w:tcPr>
            <w:tcW w:w="2694" w:type="dxa"/>
            <w:vAlign w:val="top"/>
          </w:tcPr>
          <w:p>
            <w:pPr>
              <w:pStyle w:val="Cell"/>
            </w:pPr>
            <w:r>
              <w:rPr>
                <w:sz w:val="19"/>
                <w:szCs w:val="19"/>
              </w:rPr>
              <w:t xml:space="preserve">Depende do Congresso</w:t>
            </w:r>
          </w:p>
        </w:tc>
        <w:tc>
          <w:tcPr>
            <w:tcW w:w="2474" w:type="dxa"/>
            <w:vAlign w:val="top"/>
          </w:tcPr>
          <w:p>
            <w:pPr>
              <w:pStyle w:val="Cell"/>
            </w:pPr>
            <w:r>
              <w:rPr>
                <w:sz w:val="19"/>
                <w:szCs w:val="19"/>
              </w:rPr>
              <w:t xml:space="preserve">Bases tratadas (B2.a); credenciamento do receptor (B2.b)</w:t>
            </w:r>
          </w:p>
        </w:tc>
      </w:tr>
      <w:tr>
        <w:tc>
          <w:tcPr>
            <w:tcW w:w="2408" w:type="dxa"/>
            <w:vAlign w:val="top"/>
          </w:tcPr>
          <w:p>
            <w:pPr>
              <w:pStyle w:val="Cell"/>
            </w:pPr>
            <w:r>
              <w:rPr>
                <w:sz w:val="19"/>
                <w:szCs w:val="19"/>
              </w:rPr>
              <w:t xml:space="preserve">Presença permanente em toda a Amazônia</w:t>
            </w:r>
          </w:p>
        </w:tc>
        <w:tc>
          <w:tcPr>
            <w:tcW w:w="1494" w:type="dxa"/>
            <w:vAlign w:val="top"/>
          </w:tcPr>
          <w:p>
            <w:pPr>
              <w:pStyle w:val="Cell"/>
            </w:pPr>
            <w:r>
              <w:rPr>
                <w:sz w:val="19"/>
                <w:szCs w:val="19"/>
              </w:rPr>
              <w:t xml:space="preserve">WN, Palestra Magna I</w:t>
            </w:r>
          </w:p>
        </w:tc>
        <w:tc>
          <w:tcPr>
            <w:tcW w:w="2694" w:type="dxa"/>
            <w:vAlign w:val="top"/>
          </w:tcPr>
          <w:p>
            <w:pPr>
              <w:pStyle w:val="Cell"/>
            </w:pPr>
            <w:r>
              <w:rPr>
                <w:sz w:val="19"/>
                <w:szCs w:val="19"/>
              </w:rPr>
              <w:t xml:space="preserve">As Forças a declaram inalcançável</w:t>
            </w:r>
          </w:p>
        </w:tc>
        <w:tc>
          <w:tcPr>
            <w:tcW w:w="2474" w:type="dxa"/>
            <w:vAlign w:val="top"/>
          </w:tcPr>
          <w:p>
            <w:pPr>
              <w:pStyle w:val="Cell"/>
            </w:pPr>
            <w:r>
              <w:rPr>
                <w:sz w:val="19"/>
                <w:szCs w:val="19"/>
              </w:rPr>
              <w:t xml:space="preserve">Planejamento contínuo (A1.a); prioridade territorial (A1.c)</w:t>
            </w:r>
          </w:p>
        </w:tc>
      </w:tr>
      <w:tr>
        <w:tc>
          <w:tcPr>
            <w:tcW w:w="2408" w:type="dxa"/>
            <w:vAlign w:val="top"/>
          </w:tcPr>
          <w:p>
            <w:pPr>
              <w:pStyle w:val="Cell"/>
            </w:pPr>
            <w:r>
              <w:rPr>
                <w:sz w:val="19"/>
                <w:szCs w:val="19"/>
              </w:rPr>
              <w:t xml:space="preserve">Rever a Lei Kandir para tributar a exportação de ouro</w:t>
            </w:r>
          </w:p>
        </w:tc>
        <w:tc>
          <w:tcPr>
            <w:tcW w:w="1494" w:type="dxa"/>
            <w:vAlign w:val="top"/>
          </w:tcPr>
          <w:p>
            <w:pPr>
              <w:pStyle w:val="Cell"/>
            </w:pPr>
            <w:r>
              <w:rPr>
                <w:sz w:val="19"/>
                <w:szCs w:val="19"/>
              </w:rPr>
              <w:t xml:space="preserve">WN-GT2</w:t>
            </w:r>
          </w:p>
        </w:tc>
        <w:tc>
          <w:tcPr>
            <w:tcW w:w="2694" w:type="dxa"/>
            <w:vAlign w:val="top"/>
          </w:tcPr>
          <w:p>
            <w:pPr>
              <w:pStyle w:val="Cell"/>
            </w:pPr>
            <w:r>
              <w:rPr>
                <w:sz w:val="19"/>
                <w:szCs w:val="19"/>
              </w:rPr>
              <w:t xml:space="preserve">Imunidade constitucional</w:t>
            </w:r>
          </w:p>
        </w:tc>
        <w:tc>
          <w:tcPr>
            <w:tcW w:w="2474" w:type="dxa"/>
            <w:vAlign w:val="top"/>
          </w:tcPr>
          <w:p>
            <w:pPr>
              <w:pStyle w:val="Cell"/>
            </w:pPr>
            <w:r>
              <w:rPr>
                <w:sz w:val="19"/>
                <w:szCs w:val="19"/>
              </w:rPr>
              <w:t xml:space="preserve">Controle da classificação aduaneira (C2.a)</w:t>
            </w:r>
          </w:p>
        </w:tc>
      </w:tr>
      <w:tr>
        <w:tc>
          <w:tcPr>
            <w:tcW w:w="2408" w:type="dxa"/>
            <w:vAlign w:val="top"/>
          </w:tcPr>
          <w:p>
            <w:pPr>
              <w:pStyle w:val="Cell"/>
            </w:pPr>
            <w:r>
              <w:rPr>
                <w:sz w:val="19"/>
                <w:szCs w:val="19"/>
              </w:rPr>
              <w:t xml:space="preserve">Tipificar a grilagem com inversão do ônus da prova</w:t>
            </w:r>
          </w:p>
        </w:tc>
        <w:tc>
          <w:tcPr>
            <w:tcW w:w="1494" w:type="dxa"/>
            <w:vAlign w:val="top"/>
          </w:tcPr>
          <w:p>
            <w:pPr>
              <w:pStyle w:val="Cell"/>
            </w:pPr>
            <w:r>
              <w:rPr>
                <w:sz w:val="19"/>
                <w:szCs w:val="19"/>
              </w:rPr>
              <w:t xml:space="preserve">VL, CCPI</w:t>
            </w:r>
          </w:p>
        </w:tc>
        <w:tc>
          <w:tcPr>
            <w:tcW w:w="2694" w:type="dxa"/>
            <w:vAlign w:val="top"/>
          </w:tcPr>
          <w:p>
            <w:pPr>
              <w:pStyle w:val="Cell"/>
            </w:pPr>
            <w:r>
              <w:rPr>
                <w:sz w:val="19"/>
                <w:szCs w:val="19"/>
              </w:rPr>
              <w:t xml:space="preserve">Presunção de inocência</w:t>
            </w:r>
          </w:p>
        </w:tc>
        <w:tc>
          <w:tcPr>
            <w:tcW w:w="2474" w:type="dxa"/>
            <w:vAlign w:val="top"/>
          </w:tcPr>
          <w:p>
            <w:pPr>
              <w:pStyle w:val="Cell"/>
            </w:pPr>
            <w:r>
              <w:rPr>
                <w:sz w:val="19"/>
                <w:szCs w:val="19"/>
              </w:rPr>
              <w:t xml:space="preserve">Inversão administrativa no CAR (C4)</w:t>
            </w:r>
          </w:p>
        </w:tc>
      </w:tr>
      <w:tr>
        <w:tc>
          <w:tcPr>
            <w:tcW w:w="2408" w:type="dxa"/>
            <w:vAlign w:val="top"/>
          </w:tcPr>
          <w:p>
            <w:pPr>
              <w:pStyle w:val="Cell"/>
            </w:pPr>
            <w:r>
              <w:rPr>
                <w:sz w:val="19"/>
                <w:szCs w:val="19"/>
              </w:rPr>
              <w:t xml:space="preserve">Arcabouço tipo Decisão de Prüm</w:t>
            </w:r>
          </w:p>
        </w:tc>
        <w:tc>
          <w:tcPr>
            <w:tcW w:w="1494" w:type="dxa"/>
            <w:vAlign w:val="top"/>
          </w:tcPr>
          <w:p>
            <w:pPr>
              <w:pStyle w:val="Cell"/>
            </w:pPr>
            <w:r>
              <w:rPr>
                <w:sz w:val="19"/>
                <w:szCs w:val="19"/>
              </w:rPr>
              <w:t xml:space="preserve">WR-P1</w:t>
            </w:r>
          </w:p>
        </w:tc>
        <w:tc>
          <w:tcPr>
            <w:tcW w:w="2694" w:type="dxa"/>
            <w:vAlign w:val="top"/>
          </w:tcPr>
          <w:p>
            <w:pPr>
              <w:pStyle w:val="Cell"/>
            </w:pPr>
            <w:r>
              <w:rPr>
                <w:sz w:val="19"/>
                <w:szCs w:val="19"/>
              </w:rPr>
              <w:t xml:space="preserve">Pressupõe integração jurídica inexistente</w:t>
            </w:r>
          </w:p>
        </w:tc>
        <w:tc>
          <w:tcPr>
            <w:tcW w:w="2474" w:type="dxa"/>
            <w:vAlign w:val="top"/>
          </w:tcPr>
          <w:p>
            <w:pPr>
              <w:pStyle w:val="Cell"/>
            </w:pPr>
            <w:r>
              <w:rPr>
                <w:sz w:val="19"/>
                <w:szCs w:val="19"/>
              </w:rPr>
              <w:t xml:space="preserve">Promulgação de protocolos; protocolo de operação espelhada (F2)</w:t>
            </w:r>
          </w:p>
        </w:tc>
      </w:tr>
      <w:tr>
        <w:tc>
          <w:tcPr>
            <w:tcW w:w="2408" w:type="dxa"/>
            <w:vAlign w:val="top"/>
          </w:tcPr>
          <w:p>
            <w:pPr>
              <w:pStyle w:val="Cell"/>
            </w:pPr>
            <w:r>
              <w:rPr>
                <w:sz w:val="19"/>
                <w:szCs w:val="19"/>
              </w:rPr>
              <w:t xml:space="preserve">Integração vinculante entre os países</w:t>
            </w:r>
          </w:p>
        </w:tc>
        <w:tc>
          <w:tcPr>
            <w:tcW w:w="1494" w:type="dxa"/>
            <w:vAlign w:val="top"/>
          </w:tcPr>
          <w:p>
            <w:pPr>
              <w:pStyle w:val="Cell"/>
            </w:pPr>
            <w:r>
              <w:rPr>
                <w:sz w:val="19"/>
                <w:szCs w:val="19"/>
              </w:rPr>
              <w:t xml:space="preserve">WR-P3</w:t>
            </w:r>
          </w:p>
        </w:tc>
        <w:tc>
          <w:tcPr>
            <w:tcW w:w="2694" w:type="dxa"/>
            <w:vAlign w:val="top"/>
          </w:tcPr>
          <w:p>
            <w:pPr>
              <w:pStyle w:val="Cell"/>
            </w:pPr>
            <w:r>
              <w:rPr>
                <w:sz w:val="19"/>
                <w:szCs w:val="19"/>
              </w:rPr>
              <w:t xml:space="preserve">Falta convergência política</w:t>
            </w:r>
          </w:p>
        </w:tc>
        <w:tc>
          <w:tcPr>
            <w:tcW w:w="2474" w:type="dxa"/>
            <w:vAlign w:val="top"/>
          </w:tcPr>
          <w:p>
            <w:pPr>
              <w:pStyle w:val="Cell"/>
            </w:pPr>
            <w:r>
              <w:rPr>
                <w:sz w:val="19"/>
                <w:szCs w:val="19"/>
              </w:rPr>
              <w:t xml:space="preserve">Entregas na comissão de ilícitos da OTCA (F3.b)</w:t>
            </w:r>
          </w:p>
        </w:tc>
      </w:tr>
      <w:tr>
        <w:tc>
          <w:tcPr>
            <w:tcW w:w="2408" w:type="dxa"/>
            <w:vAlign w:val="top"/>
          </w:tcPr>
          <w:p>
            <w:pPr>
              <w:pStyle w:val="Cell"/>
            </w:pPr>
            <w:r>
              <w:rPr>
                <w:sz w:val="19"/>
                <w:szCs w:val="19"/>
              </w:rPr>
              <w:t xml:space="preserve">Fórum multilateral novo de defesa</w:t>
            </w:r>
          </w:p>
        </w:tc>
        <w:tc>
          <w:tcPr>
            <w:tcW w:w="1494" w:type="dxa"/>
            <w:vAlign w:val="top"/>
          </w:tcPr>
          <w:p>
            <w:pPr>
              <w:pStyle w:val="Cell"/>
            </w:pPr>
            <w:r>
              <w:rPr>
                <w:sz w:val="19"/>
                <w:szCs w:val="19"/>
              </w:rPr>
              <w:t xml:space="preserve">WR-P3</w:t>
            </w:r>
          </w:p>
        </w:tc>
        <w:tc>
          <w:tcPr>
            <w:tcW w:w="2694" w:type="dxa"/>
            <w:vAlign w:val="top"/>
          </w:tcPr>
          <w:p>
            <w:pPr>
              <w:pStyle w:val="Cell"/>
            </w:pPr>
            <w:r>
              <w:rPr>
                <w:sz w:val="19"/>
                <w:szCs w:val="19"/>
              </w:rPr>
              <w:t xml:space="preserve">OTCA sem mandato de defesa; missão precípua das Forças</w:t>
            </w:r>
          </w:p>
        </w:tc>
        <w:tc>
          <w:tcPr>
            <w:tcW w:w="2474" w:type="dxa"/>
            <w:vAlign w:val="top"/>
          </w:tcPr>
          <w:p>
            <w:pPr>
              <w:pStyle w:val="Cell"/>
            </w:pPr>
            <w:r>
              <w:rPr>
                <w:sz w:val="19"/>
                <w:szCs w:val="19"/>
              </w:rPr>
              <w:t xml:space="preserve">Canais bilaterais existentes (F3.c)</w:t>
            </w:r>
          </w:p>
        </w:tc>
      </w:tr>
      <w:tr>
        <w:tc>
          <w:tcPr>
            <w:tcW w:w="2408" w:type="dxa"/>
            <w:vAlign w:val="top"/>
          </w:tcPr>
          <w:p>
            <w:pPr>
              <w:pStyle w:val="Cell"/>
            </w:pPr>
            <w:r>
              <w:rPr>
                <w:sz w:val="19"/>
                <w:szCs w:val="19"/>
              </w:rPr>
              <w:t xml:space="preserve">Transição energética do transporte fluvial como política de segurança</w:t>
            </w:r>
          </w:p>
        </w:tc>
        <w:tc>
          <w:tcPr>
            <w:tcW w:w="1494" w:type="dxa"/>
            <w:vAlign w:val="top"/>
          </w:tcPr>
          <w:p>
            <w:pPr>
              <w:pStyle w:val="Cell"/>
            </w:pPr>
            <w:r>
              <w:rPr>
                <w:sz w:val="19"/>
                <w:szCs w:val="19"/>
              </w:rPr>
              <w:t xml:space="preserve">WR-P2</w:t>
            </w:r>
          </w:p>
        </w:tc>
        <w:tc>
          <w:tcPr>
            <w:tcW w:w="2694" w:type="dxa"/>
            <w:vAlign w:val="top"/>
          </w:tcPr>
          <w:p>
            <w:pPr>
              <w:pStyle w:val="Cell"/>
            </w:pPr>
            <w:r>
              <w:rPr>
                <w:sz w:val="19"/>
                <w:szCs w:val="19"/>
              </w:rPr>
              <w:t xml:space="preserve">Longo prazo e custo alto</w:t>
            </w:r>
          </w:p>
        </w:tc>
        <w:tc>
          <w:tcPr>
            <w:tcW w:w="2474" w:type="dxa"/>
            <w:vAlign w:val="top"/>
          </w:tcPr>
          <w:p>
            <w:pPr>
              <w:pStyle w:val="Cell"/>
            </w:pPr>
            <w:r>
              <w:rPr>
                <w:sz w:val="19"/>
                <w:szCs w:val="19"/>
              </w:rPr>
              <w:t xml:space="preserve">Estudo piloto em uma calha</w:t>
            </w:r>
          </w:p>
        </w:tc>
      </w:tr>
      <w:tr>
        <w:tc>
          <w:tcPr>
            <w:tcW w:w="2408" w:type="dxa"/>
            <w:vAlign w:val="top"/>
          </w:tcPr>
          <w:p>
            <w:pPr>
              <w:pStyle w:val="Cell"/>
            </w:pPr>
            <w:r>
              <w:rPr>
                <w:sz w:val="19"/>
                <w:szCs w:val="19"/>
              </w:rPr>
              <w:t xml:space="preserve">Sensoriamento soberano (satélite próprio)</w:t>
            </w:r>
          </w:p>
        </w:tc>
        <w:tc>
          <w:tcPr>
            <w:tcW w:w="1494" w:type="dxa"/>
            <w:vAlign w:val="top"/>
          </w:tcPr>
          <w:p>
            <w:pPr>
              <w:pStyle w:val="Cell"/>
            </w:pPr>
            <w:r>
              <w:rPr>
                <w:sz w:val="19"/>
                <w:szCs w:val="19"/>
              </w:rPr>
              <w:t xml:space="preserve">WN-GT1</w:t>
            </w:r>
          </w:p>
        </w:tc>
        <w:tc>
          <w:tcPr>
            <w:tcW w:w="2694" w:type="dxa"/>
            <w:vAlign w:val="top"/>
          </w:tcPr>
          <w:p>
            <w:pPr>
              <w:pStyle w:val="Cell"/>
            </w:pPr>
            <w:r>
              <w:rPr>
                <w:sz w:val="19"/>
                <w:szCs w:val="19"/>
              </w:rPr>
              <w:t xml:space="preserve">Investimento alto, fora do escopo</w:t>
            </w:r>
          </w:p>
        </w:tc>
        <w:tc>
          <w:tcPr>
            <w:tcW w:w="2474" w:type="dxa"/>
            <w:vAlign w:val="top"/>
          </w:tcPr>
          <w:p>
            <w:pPr>
              <w:pStyle w:val="Cell"/>
            </w:pPr>
            <w:r>
              <w:rPr>
                <w:sz w:val="19"/>
                <w:szCs w:val="19"/>
              </w:rPr>
              <w:t xml:space="preserve">Registrar</w:t>
            </w:r>
          </w:p>
        </w:tc>
      </w:tr>
      <w:tr>
        <w:tc>
          <w:tcPr>
            <w:tcW w:w="2408" w:type="dxa"/>
            <w:vAlign w:val="top"/>
          </w:tcPr>
          <w:p>
            <w:pPr>
              <w:pStyle w:val="Cell"/>
            </w:pPr>
            <w:r>
              <w:rPr>
                <w:sz w:val="19"/>
                <w:szCs w:val="19"/>
              </w:rPr>
              <w:t xml:space="preserve">Instituto Amazônico do Mercúrio</w:t>
            </w:r>
          </w:p>
        </w:tc>
        <w:tc>
          <w:tcPr>
            <w:tcW w:w="1494" w:type="dxa"/>
            <w:vAlign w:val="top"/>
          </w:tcPr>
          <w:p>
            <w:pPr>
              <w:pStyle w:val="Cell"/>
            </w:pPr>
            <w:r>
              <w:rPr>
                <w:sz w:val="19"/>
                <w:szCs w:val="19"/>
              </w:rPr>
              <w:t xml:space="preserve">WN-GT2</w:t>
            </w:r>
          </w:p>
        </w:tc>
        <w:tc>
          <w:tcPr>
            <w:tcW w:w="2694" w:type="dxa"/>
            <w:vAlign w:val="top"/>
          </w:tcPr>
          <w:p>
            <w:pPr>
              <w:pStyle w:val="Cell"/>
            </w:pPr>
            <w:r>
              <w:rPr>
                <w:sz w:val="19"/>
                <w:szCs w:val="19"/>
              </w:rPr>
              <w:t xml:space="preserve">Instituição nova</w:t>
            </w:r>
          </w:p>
        </w:tc>
        <w:tc>
          <w:tcPr>
            <w:tcW w:w="2474" w:type="dxa"/>
            <w:vAlign w:val="top"/>
          </w:tcPr>
          <w:p>
            <w:pPr>
              <w:pStyle w:val="Cell"/>
            </w:pPr>
            <w:r>
              <w:rPr>
                <w:sz w:val="19"/>
                <w:szCs w:val="19"/>
              </w:rPr>
              <w:t xml:space="preserve">Qualificar laboratórios existentes (G1.d)</w:t>
            </w:r>
          </w:p>
        </w:tc>
      </w:tr>
      <w:tr>
        <w:tc>
          <w:tcPr>
            <w:tcW w:w="2408" w:type="dxa"/>
            <w:vAlign w:val="top"/>
          </w:tcPr>
          <w:p>
            <w:pPr>
              <w:pStyle w:val="Cell"/>
            </w:pPr>
            <w:r>
              <w:rPr>
                <w:sz w:val="19"/>
                <w:szCs w:val="19"/>
              </w:rPr>
              <w:t xml:space="preserve">Relatório de impacto na segurança e na soberania</w:t>
            </w:r>
          </w:p>
        </w:tc>
        <w:tc>
          <w:tcPr>
            <w:tcW w:w="1494" w:type="dxa"/>
            <w:vAlign w:val="top"/>
          </w:tcPr>
          <w:p>
            <w:pPr>
              <w:pStyle w:val="Cell"/>
            </w:pPr>
            <w:r>
              <w:rPr>
                <w:sz w:val="19"/>
                <w:szCs w:val="19"/>
              </w:rPr>
              <w:t xml:space="preserve">WR-P2</w:t>
            </w:r>
          </w:p>
        </w:tc>
        <w:tc>
          <w:tcPr>
            <w:tcW w:w="2694" w:type="dxa"/>
            <w:vAlign w:val="top"/>
          </w:tcPr>
          <w:p>
            <w:pPr>
              <w:pStyle w:val="Cell"/>
            </w:pPr>
            <w:r>
              <w:rPr>
                <w:sz w:val="19"/>
                <w:szCs w:val="19"/>
              </w:rPr>
              <w:t xml:space="preserve">Instrumento novo de licenciamento</w:t>
            </w:r>
          </w:p>
        </w:tc>
        <w:tc>
          <w:tcPr>
            <w:tcW w:w="2474" w:type="dxa"/>
            <w:vAlign w:val="top"/>
          </w:tcPr>
          <w:p>
            <w:pPr>
              <w:pStyle w:val="Cell"/>
            </w:pPr>
            <w:r>
              <w:rPr>
                <w:sz w:val="19"/>
                <w:szCs w:val="19"/>
              </w:rPr>
              <w:t xml:space="preserve">Termo de referência do EIA (E5.a)</w:t>
            </w:r>
          </w:p>
        </w:tc>
      </w:tr>
      <w:tr>
        <w:tc>
          <w:tcPr>
            <w:tcW w:w="2408" w:type="dxa"/>
            <w:vAlign w:val="top"/>
          </w:tcPr>
          <w:p>
            <w:pPr>
              <w:pStyle w:val="Cell"/>
            </w:pPr>
            <w:r>
              <w:rPr>
                <w:sz w:val="19"/>
                <w:szCs w:val="19"/>
              </w:rPr>
              <w:t xml:space="preserve">Mineração regular com royalties em terra indígena</w:t>
            </w:r>
          </w:p>
        </w:tc>
        <w:tc>
          <w:tcPr>
            <w:tcW w:w="1494" w:type="dxa"/>
            <w:vAlign w:val="top"/>
          </w:tcPr>
          <w:p>
            <w:pPr>
              <w:pStyle w:val="Cell"/>
            </w:pPr>
            <w:r>
              <w:rPr>
                <w:sz w:val="19"/>
                <w:szCs w:val="19"/>
              </w:rPr>
              <w:t xml:space="preserve">WN-GT2</w:t>
            </w:r>
          </w:p>
        </w:tc>
        <w:tc>
          <w:tcPr>
            <w:tcW w:w="2694" w:type="dxa"/>
            <w:vAlign w:val="top"/>
          </w:tcPr>
          <w:p>
            <w:pPr>
              <w:pStyle w:val="Cell"/>
            </w:pPr>
            <w:r>
              <w:rPr>
                <w:sz w:val="19"/>
                <w:szCs w:val="19"/>
              </w:rPr>
              <w:t xml:space="preserve">Polêmica; depende do STF e do Congresso</w:t>
            </w:r>
          </w:p>
        </w:tc>
        <w:tc>
          <w:tcPr>
            <w:tcW w:w="2474" w:type="dxa"/>
            <w:vAlign w:val="top"/>
          </w:tcPr>
          <w:p>
            <w:pPr>
              <w:pStyle w:val="Cell"/>
            </w:pPr>
            <w:r>
              <w:rPr>
                <w:sz w:val="19"/>
                <w:szCs w:val="19"/>
              </w:rPr>
              <w:t xml:space="preserve">Não recomendada</w:t>
            </w:r>
          </w:p>
        </w:tc>
      </w:tr>
    </w:tbl>
    <w:p>
      <w:pPr>
        <w:pStyle w:val="Tight"/>
      </w:pPr>
    </w:p>
    <w:p>
      <w:pPr>
        <w:pStyle w:val="Heading1"/>
      </w:pPr>
      <w:r>
        <w:t xml:space="preserve">Anexo D — Alterações em relação à versão entregue no chat</w:t>
      </w:r>
    </w:p>
    <w:p>
      <w:pPr>
        <w:pStyle w:val="Bullet"/>
      </w:pPr>
      <w:r>
        <w:t xml:space="preserve">• B1: incluída a fala de Renato Sérgio de Lima no W2 [1:01:30] sobre a desconexão entre PPCDAm e Plano AMAS, que não constava das notas da varredura.</w:t>
      </w:r>
    </w:p>
    <w:p>
      <w:pPr>
        <w:pStyle w:val="Bullet"/>
      </w:pPr>
      <w:r>
        <w:t xml:space="preserve">• A2: incluídos o relato de segunda mão sobre os cinco servidores da ANM [WN-GT2] e a fala de Carolina Bastos sobre a dificuldade de manter servidores lotados [W1 27:40].</w:t>
      </w:r>
    </w:p>
    <w:p>
      <w:pPr>
        <w:pStyle w:val="Bullet"/>
      </w:pPr>
      <w:r>
        <w:t xml:space="preserve">• Identificação dos falantes dos webinários conferida nos cabeçalhos das transcrições (Carolina Bastos, Nilton Tubino, Helena Maués, Gen. Ricardo Peixoto, André Porreca, Rebeca Lima, Gen. Roberto Angrizani, Renato Sérgio de Lima, Edel Moraes, Ismael Nobre).</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1"/>
        <w:szCs w:val="21"/>
        <w:lang w:val="pt-BR"/>
      </w:rPr>
    </w:rPrDefault>
    <w:pPrDefault>
      <w:pPr>
        <w:spacing w:after="140" w:line="276" w:lineRule="auto"/>
        <w:jc w:val="both"/>
      </w:pPr>
    </w:pPrDefault>
  </w:docDefaults>
  <w:style w:type="paragraph" w:default="1" w:styleId="Normal">
    <w:name w:val="Normal"/>
    <w:qFormat/>
  </w:style>
  <w:style w:type="paragraph" w:styleId="TitleX">
    <w:name w:val="TitleX"/>
    <w:basedOn w:val="Normal"/>
    <w:pPr>
      <w:spacing w:after="60"/>
      <w:jc w:val="left"/>
    </w:pPr>
    <w:rPr>
      <w:b/>
      <w:sz w:val="38"/>
      <w:szCs w:val="38"/>
      <w:color w:val="1F3864"/>
    </w:rPr>
  </w:style>
  <w:style w:type="paragraph" w:styleId="SubtitleX">
    <w:name w:val="SubtitleX"/>
    <w:basedOn w:val="Normal"/>
    <w:pPr>
      <w:spacing w:after="280"/>
      <w:jc w:val="left"/>
    </w:pPr>
    <w:rPr>
      <w:color w:val="595959"/>
      <w:sz w:val="22"/>
      <w:szCs w:val="22"/>
    </w:rPr>
  </w:style>
  <w:style w:type="paragraph" w:styleId="Cell">
    <w:name w:val="Cell"/>
    <w:basedOn w:val="Normal"/>
    <w:pPr>
      <w:spacing w:after="40" w:line="240" w:lineRule="auto"/>
      <w:jc w:val="left"/>
    </w:pPr>
    <w:rPr>
      <w:sz w:val="19"/>
      <w:szCs w:val="19"/>
    </w:rPr>
  </w:style>
  <w:style w:type="paragraph" w:styleId="Tight">
    <w:name w:val="Tight"/>
    <w:basedOn w:val="Normal"/>
    <w:pPr>
      <w:spacing w:after="0" w:line="120" w:lineRule="auto"/>
    </w:pPr>
  </w:style>
  <w:style w:type="paragraph" w:styleId="Bullet">
    <w:name w:val="Bullet"/>
    <w:basedOn w:val="Normal"/>
    <w:pPr>
      <w:spacing w:after="60"/>
      <w:ind w:left="340" w:hanging="170"/>
      <w:jc w:val="left"/>
    </w:pPr>
  </w:style>
  <w:style w:type="paragraph" w:styleId="Heading1">
    <w:name w:val="heading 1"/>
    <w:basedOn w:val="Normal"/>
    <w:next w:val="Normal"/>
    <w:qFormat/>
    <w:pPr>
      <w:spacing w:before="340" w:after="160"/>
      <w:jc w:val="left"/>
      <w:outlineLvl w:val="0"/>
    </w:pPr>
    <w:rPr>
      <w:b/>
      <w:sz w:val="30"/>
      <w:szCs w:val="30"/>
      <w:color w:val="1F3864"/>
    </w:rPr>
  </w:style>
  <w:style w:type="paragraph" w:styleId="Heading2">
    <w:name w:val="heading 2"/>
    <w:basedOn w:val="Normal"/>
    <w:next w:val="Normal"/>
    <w:qFormat/>
    <w:pPr>
      <w:spacing w:before="280" w:after="140"/>
      <w:jc w:val="left"/>
      <w:outlineLvl w:val="1"/>
    </w:pPr>
    <w:rPr>
      <w:b/>
      <w:sz w:val="26"/>
      <w:szCs w:val="26"/>
      <w:color w:val="1F3864"/>
    </w:rPr>
  </w:style>
  <w:style w:type="paragraph" w:styleId="Heading3">
    <w:name w:val="heading 3"/>
    <w:basedOn w:val="Normal"/>
    <w:next w:val="Normal"/>
    <w:qFormat/>
    <w:pPr>
      <w:spacing w:before="240" w:after="120"/>
      <w:jc w:val="left"/>
      <w:outlineLvl w:val="2"/>
    </w:pPr>
    <w:rPr>
      <w:b/>
      <w:sz w:val="23"/>
      <w:szCs w:val="23"/>
      <w:color w:val="2E5496"/>
    </w:rPr>
  </w:style>
  <w:style w:type="paragraph" w:styleId="Heading4">
    <w:name w:val="heading 4"/>
    <w:basedOn w:val="Normal"/>
    <w:next w:val="Normal"/>
    <w:qFormat/>
    <w:pPr>
      <w:spacing w:before="200" w:after="100"/>
      <w:jc w:val="left"/>
      <w:outlineLvl w:val="3"/>
    </w:pPr>
    <w:rPr>
      <w:b/>
      <w:i/>
      <w:sz w:val="22"/>
      <w:szCs w:val="22"/>
      <w:color w:val="2E549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