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X"/>
      </w:pPr>
      <w:r>
        <w:t xml:space="preserve"> Edições de Lenira na v3 — revisão</w:t>
      </w:r>
    </w:p>
    <w:p>
      <w:pPr>
        <w:pStyle w:val="SubtitleX"/>
      </w:pPr>
      <w:r>
        <w:t xml:space="preserve"> Quatro pares de lacuna e recomendação no Eixo 1, mais os resíduos da renumeração</w:t>
      </w:r>
    </w:p>
    <w:p>
      <w:pPr>
        <w:pStyle w:val="Heading1"/>
      </w:pPr>
      <w:r>
        <w:t xml:space="preserve">1. Balanço</w:t>
      </w:r>
    </w:p>
    <w:p>
      <w:r>
        <w:t xml:space="preserve">Lenira editou quatro pares no Eixo 1 — Lacunas e Recomendações 1.4, 1.5 e 1.6 —, além de retoques em 1.4.4 e na Conclusão. Fui às transcrições conferir as fontes novas: </w:t>
      </w:r>
      <w:r>
        <w:rPr>
          <w:b/>
        </w:rPr>
        <w:t xml:space="preserve">as duas afirmações factuais que ela acrescentou se sustentam</w:t>
      </w:r>
      <w:r>
        <w:t xml:space="preserve">, e uma delas resolve um impasse que estava aberto entre Mariana e o texto.</w:t>
      </w:r>
    </w:p>
    <w:tbl>
      <w:tblPr>
        <w:tblW w:w="9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3282"/>
        <w:gridCol w:w="5788"/>
      </w:tblGrid>
      <w:tr>
        <w:trPr>
          <w:tblHeader/>
        </w:trPr>
        <w:tc>
          <w:tcPr>
            <w:tcW w:w="3282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Edição</w:t>
            </w:r>
          </w:p>
        </w:tc>
        <w:tc>
          <w:tcPr>
            <w:tcW w:w="5788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Avaliação</w:t>
            </w:r>
          </w:p>
        </w:tc>
      </w:tr>
      <w:tr>
        <w:tc>
          <w:tcPr>
            <w:tcW w:w="328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Lacuna 1.6 + Recomendação 1.6 (Ágata)</w:t>
            </w:r>
          </w:p>
        </w:tc>
        <w:tc>
          <w:tcPr>
            <w:tcW w:w="5788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a melhor das quatro</w:t>
            </w:r>
            <w:r>
              <w:rPr>
                <w:sz w:val="19"/>
                <w:szCs w:val="19"/>
              </w:rPr>
              <w:t xml:space="preserve"> — corrige o diagnóstico e fecha um comentário aberto</w:t>
            </w:r>
          </w:p>
        </w:tc>
      </w:tr>
      <w:tr>
        <w:tc>
          <w:tcPr>
            <w:tcW w:w="328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Recomendação 1.4 (PPIF)</w:t>
            </w:r>
          </w:p>
        </w:tc>
        <w:tc>
          <w:tcPr>
            <w:tcW w:w="578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ganho claro de precisão; dois reparos</w:t>
            </w:r>
          </w:p>
        </w:tc>
      </w:tr>
      <w:tr>
        <w:tc>
          <w:tcPr>
            <w:tcW w:w="328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Lacuna 1.5 (PPCDAm/AMAS)</w:t>
            </w:r>
          </w:p>
        </w:tc>
        <w:tc>
          <w:tcPr>
            <w:tcW w:w="578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dado novo bom, mas o parágrafo sai do próprio escopo e está sem nota</w:t>
            </w:r>
          </w:p>
        </w:tc>
      </w:tr>
      <w:tr>
        <w:tc>
          <w:tcPr>
            <w:tcW w:w="328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Recomendação 1.5 (PPCDAm/AMAS)</w:t>
            </w:r>
          </w:p>
        </w:tc>
        <w:tc>
          <w:tcPr>
            <w:tcW w:w="578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uma frase com inversão lógica que precisa ser corrigida antes de circular</w:t>
            </w:r>
          </w:p>
        </w:tc>
      </w:tr>
    </w:tbl>
    <w:p>
      <w:pPr>
        <w:pStyle w:val="Tight"/>
      </w:pPr>
    </w:p>
    <w:p>
      <w:pPr>
        <w:pStyle w:val="Heading1"/>
      </w:pPr>
      <w:r>
        <w:t xml:space="preserve">2. Lacuna 1.6 e Recomendação 1.6 — Operação Ágata</w:t>
      </w:r>
    </w:p>
    <w:p>
      <w:pPr>
        <w:pStyle w:val="Heading2"/>
      </w:pPr>
      <w:r>
        <w:t xml:space="preserve">2.1. O que a edição resolve</w:t>
      </w:r>
    </w:p>
    <w:p>
      <w:r>
        <w:t xml:space="preserve">Esta é a edição mais valiosa da rodada, e vale registrar por quê.</w:t>
      </w:r>
    </w:p>
    <w:p>
      <w:r>
        <w:t xml:space="preserve">O texto anterior dizia que a Ágata "não conta com um calendário fixo, sendo definida caso a caso". Isso gerava dois problemas: contradizia o parágrafo da seção 2.1 que afirma continuidade anual, e deixava sem resposta a objeção de Mariana no comentário 33 ("Escudo não é interagências").</w:t>
      </w:r>
    </w:p>
    <w:p>
      <w:r>
        <w:t xml:space="preserve">A versão de Lenira distingue dois planos — frentes perenes de um lado, grandes operações conjuntas do outro — e com isso </w:t>
      </w:r>
      <w:r>
        <w:rPr>
          <w:b/>
        </w:rPr>
        <w:t xml:space="preserve">os dois problemas somem de uma vez</w:t>
      </w:r>
      <w:r>
        <w:t xml:space="preserve">. Conferi contra a transcrição do Webinar 1 e a distinção é exatamente a que o Gen. Peixoto (CMA) apresentou:</w:t>
      </w:r>
    </w:p>
    <w:p>
      <w:r>
        <w:t xml:space="preserve">&gt; "[12:40] No tocante à prontidão operacional, ela é desencadeada por meio de operações recorrentes e algumas perenes, com destaque para as Operações Ágata. Temos a Ágata Escudo, a Ágata Curaretinga, a Ágata Curare e a </w:t>
      </w:r>
      <w:r>
        <w:rPr>
          <w:b/>
        </w:rPr>
        <w:t xml:space="preserve">Ágata Conjunta</w:t>
      </w:r>
      <w:r>
        <w:t xml:space="preserve">, em que as três Forças Armadas atuam conjuntamente na região amazônica."</w:t>
      </w:r>
    </w:p>
    <w:p>
      <w:r>
        <w:t xml:space="preserve">&gt;</w:t>
      </w:r>
    </w:p>
    <w:p>
      <w:r>
        <w:t xml:space="preserve">&gt; "[13:10] A Ágata Escudo, por exemplo, </w:t>
      </w:r>
      <w:r>
        <w:rPr>
          <w:b/>
        </w:rPr>
        <w:t xml:space="preserve">é perene</w:t>
      </w:r>
      <w:r>
        <w:t xml:space="preserve">."</w:t>
      </w:r>
    </w:p>
    <w:p>
      <w:r>
        <w:t xml:space="preserve">&gt;</w:t>
      </w:r>
    </w:p>
    <w:p>
      <w:r>
        <w:t xml:space="preserve">&gt; "[13:50] Em toda a faixa de fronteira, nas principais vias penetrantes, temos uma tropa neste momento, </w:t>
      </w:r>
      <w:r>
        <w:rPr>
          <w:b/>
        </w:rPr>
        <w:t xml:space="preserve">24 horas por dia</w:t>
      </w:r>
      <w:r>
        <w:t xml:space="preserve">, realizando alguma ação preventiva ou repressiva."</w:t>
      </w:r>
    </w:p>
    <w:p>
      <w:r>
        <w:t xml:space="preserve">Ou seja: "Ágata" não é uma operação, é uma família. A Escudo é perene e do Exército; a </w:t>
      </w:r>
      <w:r>
        <w:rPr>
          <w:b/>
        </w:rPr>
        <w:t xml:space="preserve">Conjunta</w:t>
      </w:r>
      <w:r>
        <w:t xml:space="preserve"> é a que reúne as três Forças. Mariana estava certa ao dizer que a Escudo não é interagências, e Lenira estava certa ao usá-la como exemplo de perenidade. </w:t>
      </w:r>
      <w:r>
        <w:rPr>
          <w:b/>
        </w:rPr>
        <w:t xml:space="preserve">O comentário 33 pode ser fechado</w:t>
      </w:r>
      <w:r>
        <w:t xml:space="preserve"> com essa explicação.</w:t>
      </w:r>
    </w:p>
    <w:p>
      <w:r>
        <w:t xml:space="preserve">A mudança de título acompanha corretamente: "intermitência </w:t>
      </w:r>
      <w:r>
        <w:rPr>
          <w:b/>
        </w:rPr>
        <w:t xml:space="preserve">e à oscilação orçamentária</w:t>
      </w:r>
      <w:r>
        <w:t xml:space="preserve">".</w:t>
      </w:r>
    </w:p>
    <w:p>
      <w:pPr>
        <w:pStyle w:val="Heading2"/>
      </w:pPr>
      <w:r>
        <w:t xml:space="preserve">2.2. O que precisa de reparo</w:t>
      </w:r>
    </w:p>
    <w:p>
      <w:r>
        <w:rPr>
          <w:b/>
        </w:rPr>
        <w:t xml:space="preserve">A nota 59 duplica, em forma pior, uma nota que já existe.</w:t>
      </w:r>
      <w:r>
        <w:t xml:space="preserve"> O mesmo PDF do Ministério da Defesa já é citado no §243 como nota 35, em forma completa:</w:t>
      </w:r>
    </w:p>
    <w:p>
      <w:pPr>
        <w:pStyle w:val="Bullet"/>
      </w:pPr>
      <w:r>
        <w:t xml:space="preserve">• </w:t>
      </w:r>
      <w:r>
        <w:rPr>
          <w:b/>
        </w:rPr>
        <w:t xml:space="preserve">Nota 35 (§243):</w:t>
      </w:r>
      <w:r>
        <w:t xml:space="preserve"> "BRASIL. Ministério da Defesa. </w:t>
      </w:r>
      <w:r>
        <w:rPr>
          <w:i/>
        </w:rPr>
        <w:t xml:space="preserve">Histórico da Operação Ágata: resumo e resultados</w:t>
      </w:r>
      <w:r>
        <w:t xml:space="preserve">. Brasília, DF: Ministério da Defesa, 2026. 1 apresentação em slides (PDF). Disponível em: [...]. Acesso em: 24 set. 2026."</w:t>
      </w:r>
    </w:p>
    <w:p>
      <w:pPr>
        <w:pStyle w:val="Bullet"/>
      </w:pPr>
      <w:r>
        <w:t xml:space="preserve">• </w:t>
      </w:r>
      <w:r>
        <w:rPr>
          <w:b/>
        </w:rPr>
        <w:t xml:space="preserve">Nota 59 (§322):</w:t>
      </w:r>
      <w:r>
        <w:t xml:space="preserve"> "Operação Ágata. Plano Estratégico de Fronteiras. Disponível em: [...]"</w:t>
      </w:r>
    </w:p>
    <w:p>
      <w:r>
        <w:t xml:space="preserve">É o mesmo arquivo, com título trocado e sem autor, data ou acesso. </w:t>
      </w:r>
      <w:r>
        <w:rPr>
          <w:b/>
        </w:rPr>
        <w:t xml:space="preserve">Sugestão:</w:t>
      </w:r>
      <w:r>
        <w:t xml:space="preserve"> substituir a nota 59 pela forma da nota 35. Este é o sétimo caso de fonte citada duas vezes em formas divergentes no documento.</w:t>
      </w:r>
    </w:p>
    <w:p>
      <w:r>
        <w:rPr>
          <w:b/>
        </w:rPr>
        <w:t xml:space="preserve">O dado de 84% precisa de âncora específica e colide com outro 84%.</w:t>
      </w:r>
      <w:r>
        <w:t xml:space="preserve"> Dois pontos distintos:</w:t>
      </w:r>
    </w:p>
    <w:p>
      <w:pPr>
        <w:pStyle w:val="Bullet"/>
      </w:pPr>
      <w:r>
        <w:t xml:space="preserve">• A nota aponta para o PDF inteiro. Para um número tão forte — queda de mais de 84% entre 2022 e 2025 —, convém indicar onde ele está: lâmina, tabela ou exercício orçamentário. É o tipo de número que um leitor do setor de defesa vai querer checar.</w:t>
      </w:r>
    </w:p>
    <w:p>
      <w:pPr>
        <w:pStyle w:val="Bullet"/>
      </w:pPr>
      <w:r>
        <w:t xml:space="preserve">• A Conclusão já usa "84%" para coisa inteiramente diversa: </w:t>
      </w:r>
      <w:r>
        <w:rPr>
          <w:i/>
        </w:rPr>
        <w:t xml:space="preserve">"reduziu em 84% a produção registrada pelos garimpos"</w:t>
      </w:r>
      <w:r>
        <w:t xml:space="preserve">. Dois 84% sem relação, no mesmo documento. Não é erro, mas é armadilha de leitura. </w:t>
      </w:r>
      <w:r>
        <w:rPr>
          <w:b/>
        </w:rPr>
        <w:t xml:space="preserve">Sugestão:</w:t>
      </w:r>
      <w:r>
        <w:t xml:space="preserve"> dar os valores absolutos ("de R$ X em 2022 para R$ Y em 2025") ou escrever "mais de quatro quintos".</w:t>
      </w:r>
    </w:p>
    <w:p>
      <w:r>
        <w:rPr>
          <w:b/>
        </w:rPr>
        <w:t xml:space="preserve">Padronizar o nome.</w:t>
      </w:r>
      <w:r>
        <w:t xml:space="preserve"> O texto diz "Operação Ágata Escudo"; a nota 20, em outro ponto do documento, cita uma matéria do Exército sobre "Operação Escudo". Pela transcrição, a forma correta é </w:t>
      </w:r>
      <w:r>
        <w:rPr>
          <w:b/>
        </w:rPr>
        <w:t xml:space="preserve">Ágata Escudo</w:t>
      </w:r>
      <w:r>
        <w:t xml:space="preserve">. Vale uniformizar nos dois lugares e, se couber, registrar em nota que se trata de frente perene conduzida pelo Exército, distinta da Ágata Conjunta — o que também deixa registrada a resposta a Mariana.</w:t>
      </w:r>
    </w:p>
    <w:p>
      <w:r>
        <w:rPr>
          <w:b/>
        </w:rPr>
        <w:t xml:space="preserve">O §323 ficou com uma frase órfã.</w:t>
      </w:r>
      <w:r>
        <w:t xml:space="preserve"> Depois do trecho excluído, sobra sozinha: </w:t>
      </w:r>
      <w:r>
        <w:rPr>
          <w:i/>
        </w:rPr>
        <w:t xml:space="preserve">"Essa avaliação foi reiterada por diversos representantes das forças de segurança e defesa durante o Workshop Regional."</w:t>
      </w:r>
      <w:r>
        <w:t xml:space="preserve"> Uma vez aceita a exclusão, ela vira um parágrafo de uma linha cujo "essa avaliação" aponta para o parágrafo anterior. </w:t>
      </w:r>
      <w:r>
        <w:rPr>
          <w:b/>
        </w:rPr>
        <w:t xml:space="preserve">Sugestão:</w:t>
      </w:r>
      <w:r>
        <w:t xml:space="preserve"> incorporá-la ao fim do §322.</w:t>
      </w:r>
    </w:p>
    <w:p>
      <w:pPr>
        <w:pStyle w:val="Heading2"/>
      </w:pPr>
      <w:r>
        <w:t xml:space="preserve">2.3. Recomendação 1.6 — dois ajustes</w:t>
      </w:r>
    </w:p>
    <w:p>
      <w:r>
        <w:rPr>
          <w:b/>
        </w:rPr>
        <w:t xml:space="preserve">Como está (trecho):</w:t>
      </w:r>
      <w:r>
        <w:t xml:space="preserve"> "A medida deve institucionalizar o equilíbrio entre as ações perenes de controle de fronteira e o engajamento regular de forças conjuntas com agências de segurança e fiscalização, como o </w:t>
      </w:r>
      <w:r>
        <w:rPr>
          <w:b/>
        </w:rPr>
        <w:t xml:space="preserve">IBAMA, ICMBio, Polícia Federal etc.</w:t>
      </w:r>
      <w:r>
        <w:t xml:space="preserve"> Isso assegurará a continuidade da presença estatal integrada..."</w:t>
      </w:r>
    </w:p>
    <w:p>
      <w:r>
        <w:t xml:space="preserve">Três reparos pequenos: "IBAMA" em caixa-alta destoa das 24 ocorrências de "Ibama" no documento; faltam os artigos; e "etc." dentro de uma recomendação deixa indeterminado justamente o que a recomendação deveria fixar.</w:t>
      </w:r>
    </w:p>
    <w:p>
      <w:r>
        <w:rPr>
          <w:b/>
        </w:rPr>
        <w:t xml:space="preserve">Sugestão:</w:t>
      </w:r>
      <w:r>
        <w:t xml:space="preserve"> "...com agências de segurança e fiscalização, entre elas o Ibama, o ICMBio e a Polícia Federal. A medida assegura a continuidade da presença estatal integrada..."</w:t>
      </w:r>
    </w:p>
    <w:p>
      <w:r>
        <w:rPr>
          <w:b/>
        </w:rPr>
        <w:t xml:space="preserve">Falta o destinatário — e agora ele ficou mais fácil de nomear.</w:t>
      </w:r>
      <w:r>
        <w:t xml:space="preserve"> Esta é uma das três recomendações do documento que descrevem o ato sem dizer a quem cabe: "O protocolo deve estabelecer..." — quem edita o protocolo? Com a dimensão orçamentária que Lenira acrescentou, os destinatários ficam evidentes.</w:t>
      </w:r>
    </w:p>
    <w:p>
      <w:r>
        <w:rPr>
          <w:b/>
        </w:rPr>
        <w:t xml:space="preserve">Sugestão de abertura para o §363:</w:t>
      </w:r>
      <w:r>
        <w:t xml:space="preserve"> "Edição, pelo Ministério da Defesa por meio do Estado-Maior Conjunto das Forças Armadas (EMCFA), de protocolo que estabeleça periodicidade mínima obrigatória e calendário definido para as Operações Ágata, acompanhada da inscrição da ação em rubrica orçamentária própria na Lei Orçamentária Anual, de modo a reduzir a dependência de decisões políticas pontuais e de oscilações financeiras anuais."</w:t>
      </w:r>
    </w:p>
    <w:p>
      <w:r>
        <w:t xml:space="preserve">Isso converte a recomendação de descrição em pauta de incidência — e o EMCFA já é nomeado na lacuna, então não há informação nova a checar.</w:t>
      </w:r>
    </w:p>
    <w:p>
      <w:pPr>
        <w:pStyle w:val="Heading1"/>
      </w:pPr>
      <w:r>
        <w:t xml:space="preserve">3. Lacuna 1.5 e Recomendação 1.5 — PPCDAm e Plano AMAS</w:t>
      </w:r>
    </w:p>
    <w:p>
      <w:pPr>
        <w:pStyle w:val="Heading2"/>
      </w:pPr>
      <w:r>
        <w:t xml:space="preserve">3.1. O dado novo se confirma, mas tem uma ressalva da própria transcrição</w:t>
      </w:r>
    </w:p>
    <w:p>
      <w:r>
        <w:t xml:space="preserve">O número de Lenira está no Webinar 2, quase literal:</w:t>
      </w:r>
    </w:p>
    <w:p>
      <w:r>
        <w:t xml:space="preserve">&gt; "[1:01:30] E aí — e isso não é nenhum tipo de crítica conjuntural, mas estrutural — o PPCDAm não conversa com o Plano AMAS, do Ministério da Justiça, por mais que o AMAS tenha como objetivo erradicar o desmatamento. Você tem um enorme investimento feito com o BNDES, importantíssimo, para ter comando e controle policial a partir do AMAS — quase R$ 2 bilhões — que estruturalmente não está conversando com o PPCDAm e com aqueles responsáveis pela sua implementação."</w:t>
      </w:r>
    </w:p>
    <w:p>
      <w:r>
        <w:rPr>
          <w:b/>
        </w:rPr>
        <w:t xml:space="preserve">Ressalva importante:</w:t>
      </w:r>
      <w:r>
        <w:t xml:space="preserve"> a tabela de verificação da própria transcrição registra que o áudio estava degradado nesse ponto — o original trazia "quase R bilhões de reais", e o valor foi reconstruído pelo contexto, com a marcação "</w:t>
      </w:r>
      <w:r>
        <w:rPr>
          <w:b/>
        </w:rPr>
        <w:t xml:space="preserve">Conferir o número exato</w:t>
      </w:r>
      <w:r>
        <w:t xml:space="preserve">". Como é o único número do parágrafo e vem de um webinar público, dá para confirmá-lo em fonte primária (BNDES ou MJSP) antes de publicar. Enquanto isso não acontece, vale manter o dado e a nota com a fonte do webinar.</w:t>
      </w:r>
    </w:p>
    <w:p>
      <w:r>
        <w:rPr>
          <w:b/>
        </w:rPr>
        <w:t xml:space="preserve">O parágrafo está sem nota de rodapé.</w:t>
      </w:r>
      <w:r>
        <w:t xml:space="preserve"> É a correção mais urgente deste trecho: uma cifra de R$ 2 bilhões sem referência, em um documento que acabou de passar por uma discussão sobre atribuição, é exatamente o que não pode circular.</w:t>
      </w:r>
    </w:p>
    <w:p>
      <w:pPr>
        <w:pStyle w:val="Heading2"/>
      </w:pPr>
      <w:r>
        <w:t xml:space="preserve">3.2. O parágrafo sai do escopo da própria lacuna</w:t>
      </w:r>
    </w:p>
    <w:p>
      <w:r>
        <w:t xml:space="preserve">A lacuna se chama "Falta de coordenação operacional entre o PPCDAm e o Plano AMAS". As duas primeiras frases cumprem isso. As duas últimas vão para outro lugar:</w:t>
      </w:r>
    </w:p>
    <w:p>
      <w:r>
        <w:t xml:space="preserve">&gt; "...resulta em ações paralelas, esvaziamento da governança pública e forte penetração de uma economia controlada pelo crime organizado, que passa a influenciar </w:t>
      </w:r>
      <w:r>
        <w:rPr>
          <w:b/>
        </w:rPr>
        <w:t xml:space="preserve">lógicas paroquiais</w:t>
      </w:r>
      <w:r>
        <w:t xml:space="preserve"> e políticas locais. Essa descoordenação acaba sendo explorada pelas organizações criminosas como vantagem estratégica para garantir o domínio territorial de rotas de escoamento e o controle de infraestruturas críticas — como portos, aeroportos, rodovias e ferrovias —, concentrando os maiores índices de violência justamente nos municípios estratégicos para a logística da economia ilícita."</w:t>
      </w:r>
    </w:p>
    <w:p>
      <w:r>
        <w:t xml:space="preserve">Três problemas:</w:t>
      </w:r>
    </w:p>
    <w:p>
      <w:pPr>
        <w:pStyle w:val="Bullet"/>
      </w:pPr>
      <w:r>
        <w:t xml:space="preserve">• </w:t>
      </w:r>
      <w:r>
        <w:rPr>
          <w:b/>
        </w:rPr>
        <w:t xml:space="preserve">Escopo.</w:t>
      </w:r>
      <w:r>
        <w:t xml:space="preserve"> Domínio territorial, infraestrutura crítica e concentração de violência são matéria da seção 3 e da abertura do Eixo 1, não do diagnóstico de coordenação entre dois programas. O leitor que procura a lacuna encontra um panorama.</w:t>
      </w:r>
    </w:p>
    <w:p>
      <w:pPr>
        <w:pStyle w:val="Bullet"/>
      </w:pPr>
      <w:r>
        <w:t xml:space="preserve">• </w:t>
      </w:r>
      <w:r>
        <w:rPr>
          <w:b/>
        </w:rPr>
        <w:t xml:space="preserve">Cadeia causal sem fonte.</w:t>
      </w:r>
      <w:r>
        <w:t xml:space="preserve"> A frase afirma que a descoordenação entre PPCDAm e AMAS produz domínio territorial e concentração de violência em municípios logísticos. É uma tese forte, e nenhum dos elos está referenciado.</w:t>
      </w:r>
    </w:p>
    <w:p>
      <w:pPr>
        <w:pStyle w:val="Bullet"/>
      </w:pPr>
      <w:r>
        <w:t xml:space="preserve">• </w:t>
      </w:r>
      <w:r>
        <w:rPr>
          <w:b/>
        </w:rPr>
        <w:t xml:space="preserve">"lógicas paroquiais"</w:t>
      </w:r>
      <w:r>
        <w:t xml:space="preserve"> é jargão e, na frase, é difícil de decifrar.</w:t>
      </w:r>
    </w:p>
    <w:p>
      <w:r>
        <w:rPr>
          <w:b/>
        </w:rPr>
        <w:t xml:space="preserve">Também se perdeu algo bom do texto antigo.</w:t>
      </w:r>
      <w:r>
        <w:t xml:space="preserve"> A versão anterior tinha o paradoxo formulado com precisão — </w:t>
      </w:r>
      <w:r>
        <w:rPr>
          <w:i/>
        </w:rPr>
        <w:t xml:space="preserve">"estejam normativamente alinhados, tanto em seus eixos quanto em seus objetivos estratégicos... esse alinhamento não se traduz em coordenação operacional"</w:t>
      </w:r>
      <w:r>
        <w:t xml:space="preserve"> — e nomeava a consequência operacional, </w:t>
      </w:r>
      <w:r>
        <w:rPr>
          <w:i/>
        </w:rPr>
        <w:t xml:space="preserve">"duplicação de esforços"</w:t>
      </w:r>
      <w:r>
        <w:t xml:space="preserve">. A nova diz "compartilhem objetivos estratégicos semelhantes", que é mais fraco, e abandona a duplicação.</w:t>
      </w:r>
    </w:p>
    <w:p>
      <w:r>
        <w:rPr>
          <w:b/>
        </w:rPr>
        <w:t xml:space="preserve">Versão sugerida, que preserva o dado de Lenira e recupera o que se perdeu:</w:t>
      </w:r>
    </w:p>
    <w:p>
      <w:r>
        <w:t xml:space="preserve">"Embora o Plano AMAS e o PPCDAm estejam normativamente alinhados, tanto em seus eixos quanto em seus objetivos estratégicos — conforme previsto na 5ª fase do PPCDAm —, esse alinhamento não se traduz em coordenação operacional. O Webinar 2 evidenciou a ausência de diálogo institucional entre os dois, com consequência direta sobre o emprego de recursos: os quase R$ 2 bilhões aportados via BNDES para comando e controle policial no âmbito do AMAS não se articulam com o cronograma de fiscalização ambiental conduzido pelos responsáveis pela execução do PPCDAm.[nota: Webinar 2, com marcação de tempo] O resultado são ações paralelas, duplicação de esforços e perda de efeito de investimentos que, coordenados, se reforçariam."</w:t>
      </w:r>
    </w:p>
    <w:p>
      <w:r>
        <w:t xml:space="preserve">Fica em 95 palavras, dentro do padrão editorial, não sai do escopo e não afirma nada sem lastro. O conteúdo sobre domínio territorial e infraestrutura crítica, se a equipe quiser mantê-lo, cabe melhor na abertura do Eixo 1, que já trata do tema.</w:t>
      </w:r>
    </w:p>
    <w:p>
      <w:pPr>
        <w:pStyle w:val="Heading2"/>
      </w:pPr>
      <w:r>
        <w:t xml:space="preserve">3.3. Recomendação 1.5 — uma frase precisa ser corrigida antes de circular</w:t>
      </w:r>
    </w:p>
    <w:p>
      <w:r>
        <w:t xml:space="preserve">O título novo é um ganho: "Alinhamento das diretrizes operacionais" → "</w:t>
      </w:r>
      <w:r>
        <w:rPr>
          <w:b/>
        </w:rPr>
        <w:t xml:space="preserve">Integração operacional e orçamentária</w:t>
      </w:r>
      <w:r>
        <w:t xml:space="preserve"> entre o PPCDAm e o Plano AMAS". E a criação de um comitê gestor conjunto é um dispositivo institucional concreto, melhor do que o protocolo isolado da versão anterior.</w:t>
      </w:r>
    </w:p>
    <w:p>
      <w:r>
        <w:t xml:space="preserve">Mas a frase final tem uma inversão lógica:</w:t>
      </w:r>
    </w:p>
    <w:p>
      <w:r>
        <w:t xml:space="preserve">&gt; "...garantindo que as ações estatais sejam capazes de </w:t>
      </w:r>
      <w:r>
        <w:rPr>
          <w:b/>
        </w:rPr>
        <w:t xml:space="preserve">proteger às infraestruturas críticas e às rotas logísticas utilizadas pelas organizações criminosas</w:t>
      </w:r>
      <w:r>
        <w:t xml:space="preserve"> na região."</w:t>
      </w:r>
    </w:p>
    <w:p>
      <w:r>
        <w:t xml:space="preserve">Lido ao pé da letra, o Estado deve proteger as rotas usadas pelo crime organizado. Some-se a crase indevida — "proteger" é transitivo direto, "proteger </w:t>
      </w:r>
      <w:r>
        <w:rPr>
          <w:b/>
        </w:rPr>
        <w:t xml:space="preserve">as</w:t>
      </w:r>
      <w:r>
        <w:t xml:space="preserve"> infraestruturas" — e a frase fica difícil de defender se alguém a destacar.</w:t>
      </w:r>
    </w:p>
    <w:p>
      <w:r>
        <w:rPr>
          <w:b/>
        </w:rPr>
        <w:t xml:space="preserve">Um segundo ponto, de vocabulário.</w:t>
      </w:r>
      <w:r>
        <w:t xml:space="preserve"> A mesma frase diz "</w:t>
      </w:r>
      <w:r>
        <w:rPr>
          <w:b/>
        </w:rPr>
        <w:t xml:space="preserve">harmonizam-se</w:t>
      </w:r>
      <w:r>
        <w:t xml:space="preserve"> os fluxos de inteligência e o planejamento de operações conjuntas". A equipe fixou a distinção: coordenação para ação, harmonização para norma. Foi por isso que o §254 passou de "harmonização" para "coordenação entre marcos legais" — mudança que a própria Lenira endossou no comentário 36. Fluxo de inteligência e planejamento de operação são ação.</w:t>
      </w:r>
    </w:p>
    <w:p>
      <w:r>
        <w:rPr>
          <w:b/>
        </w:rPr>
        <w:t xml:space="preserve">Versão sugerida para o §367:</w:t>
      </w:r>
    </w:p>
    <w:p>
      <w:r>
        <w:t xml:space="preserve">"Edição de protocolo formal e criação de um comitê gestor conjunto, composto por representantes do MMA e do MJSP, para assegurar a sinergia entre as diretrizes operacionais do PPCDAm e do Plano AMAS no combate ao desmatamento. O arranjo deve alinhar a aplicação dos recursos do AMAS ao cronograma de fiscalização ambiental do PPCDAm, evitando a duplicação de esforços, e coordenar os fluxos de inteligência e o planejamento de operações conjuntas, de modo que a ação estatal alcance as rotas de escoamento e as infraestruturas críticas hoje exploradas pelas organizações criminosas na região."</w:t>
      </w:r>
    </w:p>
    <w:p>
      <w:r>
        <w:t xml:space="preserve">"Alcance as rotas... hoje exploradas pelas organizações criminosas" diz o que a frase original queria dizer, sem a inversão.</w:t>
      </w:r>
    </w:p>
    <w:p>
      <w:pPr>
        <w:pStyle w:val="Heading1"/>
      </w:pPr>
      <w:r>
        <w:t xml:space="preserve">4. Recomendação 1.4 — PPIF</w:t>
      </w:r>
    </w:p>
    <w:p>
      <w:r>
        <w:t xml:space="preserve">A reescrita é claramente melhor que a anterior: nomeia os dois decretos, exige "membros plenos e com direito a voto", invoca o precedente e enquadra o problema como assimetria entre quem opera na ponta e quem senta no planejamento. A nota 61 está bem formatada. Dois reparos:</w:t>
      </w:r>
    </w:p>
    <w:p>
      <w:r>
        <w:rPr>
          <w:b/>
        </w:rPr>
        <w:t xml:space="preserve">Erro de digitação no título:</w:t>
      </w:r>
      <w:r>
        <w:t xml:space="preserve"> "Recomendação 1.4: Inclusão institucional permanente </w:t>
      </w:r>
      <w:r>
        <w:rPr>
          <w:b/>
        </w:rPr>
        <w:t xml:space="preserve">do do</w:t>
      </w:r>
      <w:r>
        <w:t xml:space="preserve"> Ibama e do ICMBio no Colegiado do PPIF". A inserção "institucional permanente do " entrou antes de um "do" que já existia.</w:t>
      </w:r>
    </w:p>
    <w:p>
      <w:r>
        <w:rPr>
          <w:b/>
        </w:rPr>
        <w:t xml:space="preserve">Precisão dos ministérios.</w:t>
      </w:r>
      <w:r>
        <w:t xml:space="preserve"> O texto antigo trazia os nomes completos — "Ministério do Desenvolvimento Regional e Ministério da Agricultura, Pecuária e Abastecimento". O novo abrevia para "Ministérios da Agricultura e do Desenvolvimento Regional". Como o Ministério do Desenvolvimento Regional foi reestruturado em 2023, convém preservar o nome vigente à época do Decreto nº 11.273/2022, com a marcação "à época" — caso contrário, um leitor que procure a pasta hoje não a encontra.</w:t>
      </w:r>
    </w:p>
    <w:p>
      <w:r>
        <w:rPr>
          <w:b/>
        </w:rPr>
        <w:t xml:space="preserve">Sugestão:</w:t>
      </w:r>
      <w:r>
        <w:t xml:space="preserve"> "...replica o precedente regulatório que incluiu como membros plenos o Ministério da Agricultura, Pecuária e Abastecimento e o então Ministério do Desenvolvimento Regional..."</w:t>
      </w:r>
    </w:p>
    <w:p>
      <w:r>
        <w:t xml:space="preserve">Nota menor: "a atual dependência de arranjos informais e </w:t>
      </w:r>
      <w:r>
        <w:rPr>
          <w:b/>
        </w:rPr>
        <w:t xml:space="preserve">voluntarismos</w:t>
      </w:r>
      <w:r>
        <w:t xml:space="preserve">" — o plural soa estranho; "de arranjos informais e da boa vontade individual" diz o mesmo e conversa com a formulação usada no resto do documento ("depende de contatos pessoais").</w:t>
      </w:r>
    </w:p>
    <w:p>
      <w:pPr>
        <w:pStyle w:val="Heading1"/>
      </w:pPr>
      <w:r>
        <w:t xml:space="preserve">5. Resíduos da renumeração</w:t>
      </w:r>
    </w:p>
    <w:p>
      <w:r>
        <w:t xml:space="preserve">A renumeração está feita e a numeração composta foi adotada nos três eixos — isso fecha, de uma vez, o problema de citação externa que a análise de estrutura apontou. Ficaram quatro resíduos:</w:t>
      </w:r>
    </w:p>
    <w:p>
      <w:r>
        <w:rPr>
          <w:b/>
        </w:rPr>
        <w:t xml:space="preserve">As recomendações do Eixo 1 estão com os números certos, mas fora de ordem na página.</w:t>
      </w:r>
      <w:r>
        <w:t xml:space="preserve"> A sequência física é hoje:</w:t>
      </w:r>
    </w:p>
    <w:p>
      <w:r>
        <w:t xml:space="preserve">&gt; 1.1 · 1.2 · 1.3 · </w:t>
      </w:r>
      <w:r>
        <w:rPr>
          <w:b/>
        </w:rPr>
        <w:t xml:space="preserve">1.6</w:t>
      </w:r>
      <w:r>
        <w:t xml:space="preserve"> · </w:t>
      </w:r>
      <w:r>
        <w:rPr>
          <w:b/>
        </w:rPr>
        <w:t xml:space="preserve">1.5</w:t>
      </w:r>
      <w:r>
        <w:t xml:space="preserve"> · 1.7 · 1.8 · 1.9 · 1.10 · 1.11 · 1.12 · 1.13 · </w:t>
      </w:r>
      <w:r>
        <w:rPr>
          <w:b/>
        </w:rPr>
        <w:t xml:space="preserve">1.4</w:t>
      </w:r>
    </w:p>
    <w:p>
      <w:r>
        <w:t xml:space="preserve">Três blocos precisam mudar de lugar: 1.5 antes de 1.6, e 1.4 subindo de último para quarto. É consequência de ter renumerado as etiquetas no lugar em vez de mover os blocos — e, como está, o leitor que percorre a lista vê a sequência quebrar duas vezes.</w:t>
      </w:r>
    </w:p>
    <w:p>
      <w:r>
        <w:rPr>
          <w:b/>
        </w:rPr>
        <w:t xml:space="preserve">A Lacuna 1.1 perdeu os dois-pontos.</w:t>
      </w:r>
      <w:r>
        <w:t xml:space="preserve"> Está "Lacuna 1.1 Ausência de um documento estratégico..." enquanto as 36 demais trazem "Lacuna 1.2:", "Recomendação 2.5:" e assim por diante.</w:t>
      </w:r>
    </w:p>
    <w:p>
      <w:r>
        <w:rPr>
          <w:b/>
        </w:rPr>
        <w:t xml:space="preserve">A Lacuna 1.13 continua com o parêntese de 21 palavras no título</w:t>
      </w:r>
      <w:r>
        <w:t xml:space="preserve">, único caso entre os 37.</w:t>
      </w:r>
    </w:p>
    <w:p>
      <w:r>
        <w:rPr>
          <w:b/>
        </w:rPr>
        <w:t xml:space="preserve">O sumário segue desatualizado</w:t>
      </w:r>
      <w:r>
        <w:t xml:space="preserve"> — continua exibindo os títulos anteriores. Com a renumeração recém-feita, vale atualizar o campo antes de qualquer envio.</w:t>
      </w:r>
    </w:p>
    <w:p>
      <w:pPr>
        <w:pStyle w:val="Heading1"/>
      </w:pPr>
      <w:r>
        <w:t xml:space="preserve">6. Seção 2.1 — o que foi e o que não foi corrigido</w:t>
      </w:r>
    </w:p>
    <w:p>
      <w:r>
        <w:t xml:space="preserve">Como a seção foi mexida entre as versões, confiro o estado dos pontos levantados ontem:</w:t>
      </w:r>
    </w:p>
    <w:tbl>
      <w:tblPr>
        <w:tblW w:w="9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2987"/>
        <w:gridCol w:w="6083"/>
      </w:tblGrid>
      <w:tr>
        <w:trPr>
          <w:tblHeader/>
        </w:trPr>
        <w:tc>
          <w:tcPr>
            <w:tcW w:w="2987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Ponto</w:t>
            </w:r>
          </w:p>
        </w:tc>
        <w:tc>
          <w:tcPr>
            <w:tcW w:w="6083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w="298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Conama "de 6 para 23 membros"</w:t>
            </w:r>
          </w:p>
        </w:tc>
        <w:tc>
          <w:tcPr>
            <w:tcW w:w="6083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corrigido</w:t>
            </w:r>
            <w:r>
              <w:rPr>
                <w:sz w:val="19"/>
                <w:szCs w:val="19"/>
              </w:rPr>
              <w:t xml:space="preserve"> — agora "de 96 para 23"</w:t>
            </w:r>
          </w:p>
        </w:tc>
      </w:tr>
      <w:tr>
        <w:tc>
          <w:tcPr>
            <w:tcW w:w="298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PRODES, ano truncado "201"</w:t>
            </w:r>
          </w:p>
        </w:tc>
        <w:tc>
          <w:tcPr>
            <w:tcW w:w="6083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corrigido</w:t>
            </w:r>
            <w:r>
              <w:rPr>
                <w:sz w:val="19"/>
                <w:szCs w:val="19"/>
              </w:rPr>
              <w:t xml:space="preserve"> — agora 2021</w:t>
            </w:r>
          </w:p>
        </w:tc>
      </w:tr>
      <w:tr>
        <w:tc>
          <w:tcPr>
            <w:tcW w:w="298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PRODES, valor</w:t>
            </w:r>
          </w:p>
        </w:tc>
        <w:tc>
          <w:tcPr>
            <w:tcW w:w="6083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não corrigido</w:t>
            </w:r>
            <w:r>
              <w:rPr>
                <w:sz w:val="19"/>
                <w:szCs w:val="19"/>
              </w:rPr>
              <w:t xml:space="preserve"> — segue "13.308 km²"; o dado do INPE para 2021 é </w:t>
            </w:r>
            <w:r>
              <w:rPr>
                <w:b/>
                <w:sz w:val="19"/>
                <w:szCs w:val="19"/>
              </w:rPr>
              <w:t xml:space="preserve">13.038 km²</w:t>
            </w:r>
          </w:p>
        </w:tc>
      </w:tr>
      <w:tr>
        <w:tc>
          <w:tcPr>
            <w:tcW w:w="298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Censipam "criado então junto à Presidência"</w:t>
            </w:r>
          </w:p>
        </w:tc>
        <w:tc>
          <w:tcPr>
            <w:tcW w:w="6083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não corrigido</w:t>
            </w:r>
            <w:r>
              <w:rPr>
                <w:sz w:val="19"/>
                <w:szCs w:val="19"/>
              </w:rPr>
              <w:t xml:space="preserve"> — segue contradizendo a nota 30, que registra transferência vinda do Ministério da Defesa</w:t>
            </w:r>
          </w:p>
        </w:tc>
      </w:tr>
      <w:tr>
        <w:tc>
          <w:tcPr>
            <w:tcW w:w="298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Ágata "realizadas anualmente desde 2011"</w:t>
            </w:r>
          </w:p>
        </w:tc>
        <w:tc>
          <w:tcPr>
            <w:tcW w:w="6083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não corrigido</w:t>
            </w:r>
            <w:r>
              <w:rPr>
                <w:sz w:val="19"/>
                <w:szCs w:val="19"/>
              </w:rPr>
              <w:t xml:space="preserve"> — ver abaixo</w:t>
            </w:r>
          </w:p>
        </w:tc>
      </w:tr>
      <w:tr>
        <w:tc>
          <w:tcPr>
            <w:tcW w:w="298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Espaçamento e pontuação</w:t>
            </w:r>
          </w:p>
        </w:tc>
        <w:tc>
          <w:tcPr>
            <w:tcW w:w="608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parcialmente; o §242 ganhou um "r" solto no início do parágrafo</w:t>
            </w:r>
          </w:p>
        </w:tc>
      </w:tr>
    </w:tbl>
    <w:p>
      <w:pPr>
        <w:pStyle w:val="Tight"/>
      </w:pPr>
    </w:p>
    <w:p>
      <w:r>
        <w:rPr>
          <w:b/>
        </w:rPr>
        <w:t xml:space="preserve">O caso da Ágata merece atenção porque piorou.</w:t>
      </w:r>
      <w:r>
        <w:t xml:space="preserve"> O §243 continua afirmando que as Operações Ágata vêm "sendo realizadas anualmente desde 2011", enquanto a Lacuna 1.6, reescrita por Lenira, sustenta que as grandes operações conjuntas "dependem de acionamentos pontuais e disponibilidades financeiras eventuais" e registra queda de mais de 84% nos recursos entre 2022 e 2025. Agora não são mais duas formulações imprecisas: são duas afirmações incompatíveis, de dois autores, a quarenta parágrafos de distância.</w:t>
      </w:r>
    </w:p>
    <w:p>
      <w:r>
        <w:t xml:space="preserve">A boa notícia é que a versão de Lenira dá a redação certa para os dois lugares. </w:t>
      </w:r>
      <w:r>
        <w:rPr>
          <w:b/>
        </w:rPr>
        <w:t xml:space="preserve">Sugestão para o §243:</w:t>
      </w:r>
      <w:r>
        <w:t xml:space="preserve"> "A trajetória de defesa oscilou de outro modo. A Operação Ágata manteve-se como instrumento recorrente desde 2011, com frentes perenes de controle de fronteira, mas as grandes operações conjuntas dependeram de acionamentos pontuais e de dotações orçamentárias variáveis ao longo da última década."</w:t>
      </w:r>
    </w:p>
    <w:p>
      <w:r>
        <w:t xml:space="preserve">Assim os dois parágrafos passam a dizer a mesma coisa, e o da seção 2.1 anuncia o que a Lacuna 1.6 vai detalhar.</w:t>
      </w:r>
    </w:p>
    <w:p>
      <w:pPr>
        <w:pStyle w:val="Heading1"/>
      </w:pPr>
      <w:r>
        <w:t xml:space="preserve">7. Ordem sugerida</w:t>
      </w:r>
    </w:p>
    <w:p>
      <w:pPr>
        <w:pStyle w:val="Bullet"/>
      </w:pPr>
      <w:r>
        <w:t xml:space="preserve">1. Corrigir a frase de inversão lógica na Recomendação 1.5 (§367) — é a única que representa risco se o documento circular hoje</w:t>
      </w:r>
    </w:p>
    <w:p>
      <w:pPr>
        <w:pStyle w:val="Bullet"/>
      </w:pPr>
      <w:r>
        <w:t xml:space="preserve">2. Inserir a nota do Webinar 2 na Lacuna 1.5 (§318)</w:t>
      </w:r>
    </w:p>
    <w:p>
      <w:pPr>
        <w:pStyle w:val="Bullet"/>
      </w:pPr>
      <w:r>
        <w:t xml:space="preserve">3. Corrigir "do do" no título da Recomendação 1.4</w:t>
      </w:r>
    </w:p>
    <w:p>
      <w:pPr>
        <w:pStyle w:val="Bullet"/>
      </w:pPr>
      <w:r>
        <w:t xml:space="preserve">4. Substituir a nota 59 pela forma da nota 35</w:t>
      </w:r>
    </w:p>
    <w:p>
      <w:pPr>
        <w:pStyle w:val="Bullet"/>
      </w:pPr>
      <w:r>
        <w:t xml:space="preserve">5. Reordenar fisicamente as Recomendações 1.4, 1.5 e 1.6</w:t>
      </w:r>
    </w:p>
    <w:p>
      <w:pPr>
        <w:pStyle w:val="Bullet"/>
      </w:pPr>
      <w:r>
        <w:t xml:space="preserve">6. Alinhar o §243 com a Lacuna 1.6</w:t>
      </w:r>
    </w:p>
    <w:p>
      <w:pPr>
        <w:pStyle w:val="Bullet"/>
      </w:pPr>
      <w:r>
        <w:t xml:space="preserve">7. Corrigir "13.308" → "13.038" e o "r" solto no §242</w:t>
      </w:r>
    </w:p>
    <w:p>
      <w:pPr>
        <w:pStyle w:val="Bullet"/>
      </w:pPr>
      <w:r>
        <w:t xml:space="preserve">8. Corrigir o trecho do Censipam no §241</w:t>
      </w:r>
    </w:p>
    <w:p>
      <w:pPr>
        <w:pStyle w:val="Bullet"/>
      </w:pPr>
      <w:r>
        <w:t xml:space="preserve">9. Nomear o destinatário na Recomendação 1.6</w:t>
      </w:r>
    </w:p>
    <w:p>
      <w:pPr>
        <w:pStyle w:val="Bullet"/>
      </w:pPr>
      <w:r>
        <w:t xml:space="preserve">10. Enxugar a Lacuna 1.5 conforme 3.2</w:t>
      </w:r>
    </w:p>
    <w:p>
      <w:pPr>
        <w:pStyle w:val="Bullet"/>
      </w:pPr>
      <w:r>
        <w:t xml:space="preserve">11. Atualizar o sumário</w:t>
      </w:r>
    </w:p>
    <w:p>
      <w:r>
        <w:t xml:space="preserve">Os itens 1 a 4 levam menos de vinte minutos somados.</w:t>
      </w:r>
    </w:p>
    <w:p>
      <w:r>
        <w:rPr>
          <w:i/>
        </w:rPr>
        <w:t xml:space="preserve">Observação: sua mensagem foi cortada no ponto em que listaria os trechos. Revisei todas as edições de Lenira na v3 — se havia outros trechos específicos em mente, me diga quais e eu foco neles.</w:t>
      </w:r>
    </w:p>
    <w:sectPr>
      <w:pgSz w:w="11906" w:h="16838"/>
      <w:pgMar w:top="1418" w:right="1418" w:bottom="1418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pt-BR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  <w:qFormat/>
  </w:style>
  <w:style w:type="paragraph" w:styleId="TitleX">
    <w:name w:val="TitleX"/>
    <w:basedOn w:val="Normal"/>
    <w:pPr>
      <w:spacing w:after="60"/>
      <w:jc w:val="left"/>
    </w:pPr>
    <w:rPr>
      <w:b/>
      <w:sz w:val="38"/>
      <w:szCs w:val="38"/>
      <w:color w:val="1F3864"/>
    </w:rPr>
  </w:style>
  <w:style w:type="paragraph" w:styleId="SubtitleX">
    <w:name w:val="SubtitleX"/>
    <w:basedOn w:val="Normal"/>
    <w:pPr>
      <w:spacing w:after="280"/>
      <w:jc w:val="left"/>
    </w:pPr>
    <w:rPr>
      <w:color w:val="595959"/>
      <w:sz w:val="22"/>
      <w:szCs w:val="22"/>
    </w:rPr>
  </w:style>
  <w:style w:type="paragraph" w:styleId="Cell">
    <w:name w:val="Cell"/>
    <w:basedOn w:val="Normal"/>
    <w:pPr>
      <w:spacing w:after="40" w:line="240" w:lineRule="auto"/>
      <w:jc w:val="left"/>
    </w:pPr>
    <w:rPr>
      <w:sz w:val="19"/>
      <w:szCs w:val="19"/>
    </w:rPr>
  </w:style>
  <w:style w:type="paragraph" w:styleId="Tight">
    <w:name w:val="Tight"/>
    <w:basedOn w:val="Normal"/>
    <w:pPr>
      <w:spacing w:after="0" w:line="120" w:lineRule="auto"/>
    </w:pPr>
  </w:style>
  <w:style w:type="paragraph" w:styleId="Bullet">
    <w:name w:val="Bullet"/>
    <w:basedOn w:val="Normal"/>
    <w:pPr>
      <w:spacing w:after="60"/>
      <w:ind w:left="340" w:hanging="170"/>
      <w:jc w:val="left"/>
    </w:pPr>
  </w:style>
  <w:style w:type="paragraph" w:styleId="Heading1">
    <w:name w:val="heading 1"/>
    <w:basedOn w:val="Normal"/>
    <w:next w:val="Normal"/>
    <w:qFormat/>
    <w:pPr>
      <w:spacing w:before="340" w:after="160"/>
      <w:jc w:val="left"/>
      <w:outlineLvl w:val="0"/>
    </w:pPr>
    <w:rPr>
      <w:b/>
      <w:sz w:val="30"/>
      <w:szCs w:val="30"/>
      <w:color w:val="1F3864"/>
    </w:rPr>
  </w:style>
  <w:style w:type="paragraph" w:styleId="Heading2">
    <w:name w:val="heading 2"/>
    <w:basedOn w:val="Normal"/>
    <w:next w:val="Normal"/>
    <w:qFormat/>
    <w:pPr>
      <w:spacing w:before="280" w:after="140"/>
      <w:jc w:val="left"/>
      <w:outlineLvl w:val="1"/>
    </w:pPr>
    <w:rPr>
      <w:b/>
      <w:sz w:val="26"/>
      <w:szCs w:val="26"/>
      <w:color w:val="1F3864"/>
    </w:rPr>
  </w:style>
  <w:style w:type="paragraph" w:styleId="Heading3">
    <w:name w:val="heading 3"/>
    <w:basedOn w:val="Normal"/>
    <w:next w:val="Normal"/>
    <w:qFormat/>
    <w:pPr>
      <w:spacing w:before="240" w:after="120"/>
      <w:jc w:val="left"/>
      <w:outlineLvl w:val="2"/>
    </w:pPr>
    <w:rPr>
      <w:b/>
      <w:sz w:val="23"/>
      <w:szCs w:val="23"/>
      <w:color w:val="2E5496"/>
    </w:rPr>
  </w:style>
  <w:style w:type="paragraph" w:styleId="Heading4">
    <w:name w:val="heading 4"/>
    <w:basedOn w:val="Normal"/>
    <w:next w:val="Normal"/>
    <w:qFormat/>
    <w:pPr>
      <w:spacing w:before="200" w:after="100"/>
      <w:jc w:val="left"/>
      <w:outlineLvl w:val="3"/>
    </w:pPr>
    <w:rPr>
      <w:b/>
      <w:i/>
      <w:sz w:val="22"/>
      <w:szCs w:val="22"/>
      <w:color w:val="2E549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