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X"/>
      </w:pPr>
      <w:r>
        <w:t xml:space="preserve"> Reajustes na Agenda a partir da reunião de 23/09</w:t>
      </w:r>
    </w:p>
    <w:p>
      <w:pPr>
        <w:pStyle w:val="SubtitleX"/>
      </w:pPr>
      <w:r>
        <w:t xml:space="preserve"> Lista priorizada — o que muda, onde está, e em que ordem fazer</w:t>
      </w:r>
    </w:p>
    <w:p>
      <w:pPr>
        <w:pStyle w:val="Heading1"/>
      </w:pPr>
      <w:r>
        <w:t xml:space="preserve">Antes da lista: duas frentes, não uma</w:t>
      </w:r>
    </w:p>
    <w:p>
      <w:r>
        <w:t xml:space="preserve">A reunião produziu </w:t>
      </w:r>
      <w:r>
        <w:rPr>
          <w:b/>
        </w:rPr>
        <w:t xml:space="preserve">duas decisões de natureza diferente</w:t>
      </w:r>
      <w:r>
        <w:t xml:space="preserve"> que a ata apresenta em uma única lista de prioridades. Vale separá-las, porque o caminho crítico de cada uma é distinto:</w:t>
      </w:r>
    </w:p>
    <w:p>
      <w:pPr>
        <w:pStyle w:val="Bullet"/>
      </w:pPr>
      <w:r>
        <w:t xml:space="preserve">• </w:t>
      </w:r>
      <w:r>
        <w:rPr>
          <w:b/>
        </w:rPr>
        <w:t xml:space="preserve">Frente A — o giro terminológico.</w:t>
      </w:r>
      <w:r>
        <w:t xml:space="preserve"> Substituir "segurança multidimensional" por uma formulação sobre "múltiplas dimensões de segurança", sem referenciar a OEA. É uma decisão única que, uma vez tomada, se aplica de forma quase mecânica a </w:t>
      </w:r>
      <w:r>
        <w:rPr>
          <w:b/>
        </w:rPr>
        <w:t xml:space="preserve">17 ocorrências</w:t>
      </w:r>
      <w:r>
        <w:t xml:space="preserve"> no corpo do texto (mais 6 no sumário, que se atualizam sozinhas).</w:t>
      </w:r>
    </w:p>
    <w:p>
      <w:pPr>
        <w:pStyle w:val="Bullet"/>
      </w:pPr>
      <w:r>
        <w:t xml:space="preserve">• </w:t>
      </w:r>
      <w:r>
        <w:rPr>
          <w:b/>
        </w:rPr>
        <w:t xml:space="preserve">Frente B — a revisão crítica por originalidade e atribuição.</w:t>
      </w:r>
      <w:r>
        <w:t xml:space="preserve"> É a que Mariana priorizou na ordem </w:t>
      </w:r>
      <w:r>
        <w:rPr>
          <w:b/>
        </w:rPr>
        <w:t xml:space="preserve">(1) conclusão, (2) apresentação, (3) Forças Armadas</w:t>
      </w:r>
      <w:r>
        <w:t xml:space="preserve">. Aqui não há decisão única: é trabalho de parágrafo a parágrafo.</w:t>
      </w:r>
    </w:p>
    <w:p>
      <w:r>
        <w:rPr>
          <w:b/>
        </w:rPr>
        <w:t xml:space="preserve">Por que a ordem importa:</w:t>
      </w:r>
      <w:r>
        <w:t xml:space="preserve"> a conclusão e a apresentação </w:t>
      </w:r>
      <w:r>
        <w:rPr>
          <w:i/>
        </w:rPr>
        <w:t xml:space="preserve">repetem</w:t>
      </w:r>
      <w:r>
        <w:t xml:space="preserve"> o que a seção 1.4.1 estabelece. Reescrever a conclusão antes de decidir a fórmula substituta significa reescrevê-la duas vezes. Por isso a recomendação é: </w:t>
      </w:r>
      <w:r>
        <w:rPr>
          <w:b/>
        </w:rPr>
        <w:t xml:space="preserve">tomar a decisão terminológica primeiro (Bloco 0, ~30 minutos de reunião), e só então entrar na ordem 1-2-3 que a equipe definiu.</w:t>
      </w:r>
    </w:p>
    <w:p>
      <w:pPr>
        <w:pStyle w:val="Heading1"/>
      </w:pPr>
      <w:r>
        <w:t xml:space="preserve">Bloco 0 — A decisão que destrava as demais</w:t>
      </w:r>
    </w:p>
    <w:p>
      <w:pPr>
        <w:pStyle w:val="Heading2"/>
      </w:pPr>
      <w:r>
        <w:t xml:space="preserve">0.1. Boa notícia: a fórmula substituta já está escrita no documento</w:t>
      </w:r>
    </w:p>
    <w:p>
      <w:r>
        <w:t xml:space="preserve">A Agenda já contém, na abertura da seção 2 (§309), um parágrafo que diz exatamente o que a equipe decidiu passar a dizer — sem o termo contestado, sem a OEA, e com as mesmas quatro vertentes:</w:t>
      </w:r>
    </w:p>
    <w:p>
      <w:r>
        <w:rPr>
          <w:b/>
        </w:rPr>
        <w:t xml:space="preserve">Texto que já está no documento (§309, abertura da seção 2):</w:t>
      </w:r>
    </w:p>
    <w:p>
      <w:r>
        <w:t xml:space="preserve">"A Agenda parte do entendimento de que a segurança na Amazônia se manifesta em </w:t>
      </w:r>
      <w:r>
        <w:rPr>
          <w:b/>
        </w:rPr>
        <w:t xml:space="preserve">múltiplas vertentes</w:t>
      </w:r>
      <w:r>
        <w:t xml:space="preserve">, entre as quais a pública, a territorial, a climática e a humana, compreendida esta última como as condições econômicas, alimentares e sanitárias das populações da região. Essas vertentes se influenciam mutuamente, de modo que a deterioração de uma delas tende a agravar as demais."</w:t>
      </w:r>
    </w:p>
    <w:p>
      <w:r>
        <w:t xml:space="preserve">Isso muda o custo do Bloco 4 (bases conceituais): não é escrever uma seção do zero, é </w:t>
      </w:r>
      <w:r>
        <w:rPr>
          <w:b/>
        </w:rPr>
        <w:t xml:space="preserve">promover §309 ao lugar de 1.4.1</w:t>
      </w:r>
      <w:r>
        <w:t xml:space="preserve"> e reduzir §309 a uma remissão. O documento passa a ter uma definição só, em vez de duas.</w:t>
      </w:r>
    </w:p>
    <w:p>
      <w:pPr>
        <w:pStyle w:val="Heading2"/>
      </w:pPr>
      <w:r>
        <w:t xml:space="preserve">0.2. Ponto de atenção sobre a fórmula escolhida</w:t>
      </w:r>
    </w:p>
    <w:p>
      <w:r>
        <w:t xml:space="preserve">A expressão que a equipe elegeu — "múltiplas dimensões de segurança" — é </w:t>
      </w:r>
      <w:r>
        <w:rPr>
          <w:b/>
        </w:rPr>
        <w:t xml:space="preserve">literalmente a expressão do documento Igarapé / FBSP / S&amp;C de 2022</w:t>
      </w:r>
      <w:r>
        <w:t xml:space="preserve">, citado na Agenda em §285:</w:t>
      </w:r>
    </w:p>
    <w:p>
      <w:r>
        <w:t xml:space="preserve">"A Amazônia requer um planejamento estratégico que repactue o contrato social com as populações locais e que envolva </w:t>
      </w:r>
      <w:r>
        <w:rPr>
          <w:b/>
        </w:rPr>
        <w:t xml:space="preserve">múltiplas dimensões de segurança</w:t>
      </w:r>
      <w:r>
        <w:t xml:space="preserve"> — pública, ambiental, nacional, alimentar e jurídica."</w:t>
      </w:r>
    </w:p>
    <w:p>
      <w:r>
        <w:t xml:space="preserve">Isso </w:t>
      </w:r>
      <w:r>
        <w:rPr>
          <w:b/>
        </w:rPr>
        <w:t xml:space="preserve">não é um problema de plágio</w:t>
      </w:r>
      <w:r>
        <w:t xml:space="preserve"> — o S&amp;C é coautor daquele documento. Mas tem duas consequências práticas:</w:t>
      </w:r>
    </w:p>
    <w:p>
      <w:pPr>
        <w:pStyle w:val="Bullet"/>
      </w:pPr>
      <w:r>
        <w:t xml:space="preserve">1. A fórmula não pode ser apresentada como formulação nova do Centro. Ela é uma </w:t>
      </w:r>
      <w:r>
        <w:rPr>
          <w:b/>
        </w:rPr>
        <w:t xml:space="preserve">retomada</w:t>
      </w:r>
      <w:r>
        <w:t xml:space="preserve"> de trabalho próprio anterior.</w:t>
      </w:r>
    </w:p>
    <w:p>
      <w:pPr>
        <w:pStyle w:val="Bullet"/>
      </w:pPr>
      <w:r>
        <w:t xml:space="preserve">2. Isso resolve, e não agrava, a preocupação de Larissa ("deixar claro o que é a contribuição original do centro"). A saída mais forte é </w:t>
      </w:r>
      <w:r>
        <w:rPr>
          <w:b/>
        </w:rPr>
        <w:t xml:space="preserve">declarar a linhagem</w:t>
      </w:r>
      <w:r>
        <w:t xml:space="preserve">: a Agenda retoma uma formulação que o S&amp;C ajudou a produzir em 2022 e a desenvolve para o plano regional. Declarar continuidade é mais defensável do que reescrever para disfarçar proximidade.</w:t>
      </w:r>
    </w:p>
    <w:p>
      <w:pPr>
        <w:pStyle w:val="Heading2"/>
      </w:pPr>
      <w:r>
        <w:t xml:space="preserve">0.3. Três sub-decisões a fechar na reunião</w:t>
      </w:r>
    </w:p>
    <w:p>
      <w:r>
        <w:rPr>
          <w:b/>
        </w:rPr>
        <w:t xml:space="preserve">(a) Qual fórmula, e onde cada uma entra.</w:t>
      </w:r>
      <w:r>
        <w:t xml:space="preserve"> As duas opções de Larissa não são alternativas — são complementares e cobrem funções diferentes: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2572"/>
        <w:gridCol w:w="2260"/>
        <w:gridCol w:w="4238"/>
      </w:tblGrid>
      <w:tr>
        <w:trPr>
          <w:tblHeader/>
        </w:trPr>
        <w:tc>
          <w:tcPr>
            <w:tcW w:w="2572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Expressão</w:t>
            </w:r>
          </w:p>
        </w:tc>
        <w:tc>
          <w:tcPr>
            <w:tcW w:w="2260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Função</w:t>
            </w:r>
          </w:p>
        </w:tc>
        <w:tc>
          <w:tcPr>
            <w:tcW w:w="4238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Onde usar</w:t>
            </w:r>
          </w:p>
        </w:tc>
      </w:tr>
      <w:tr>
        <w:tc>
          <w:tcPr>
            <w:tcW w:w="257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múltiplas dimensões da segurança</w:t>
            </w:r>
          </w:p>
        </w:tc>
        <w:tc>
          <w:tcPr>
            <w:tcW w:w="226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descritiva, corrente</w:t>
            </w:r>
          </w:p>
        </w:tc>
        <w:tc>
          <w:tcPr>
            <w:tcW w:w="423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corpo do texto, sempre que hoje há o termo</w:t>
            </w:r>
          </w:p>
        </w:tc>
      </w:tr>
      <w:tr>
        <w:tc>
          <w:tcPr>
            <w:tcW w:w="257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abordagem ampliada da segurança</w:t>
            </w:r>
          </w:p>
        </w:tc>
        <w:tc>
          <w:tcPr>
            <w:tcW w:w="226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nomeia o movimento teórico</w:t>
            </w:r>
          </w:p>
        </w:tc>
        <w:tc>
          <w:tcPr>
            <w:tcW w:w="423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uma vez só, em 1.4.1, ao explicar a base conceitual</w:t>
            </w:r>
          </w:p>
        </w:tc>
      </w:tr>
      <w:tr>
        <w:tc>
          <w:tcPr>
            <w:tcW w:w="257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segurança multidimensional</w:t>
            </w:r>
          </w:p>
        </w:tc>
        <w:tc>
          <w:tcPr>
            <w:tcW w:w="226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423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apenas em títulos bibliográficos de terceiros (notas 13, 14, 34)</w:t>
            </w:r>
          </w:p>
        </w:tc>
      </w:tr>
    </w:tbl>
    <w:p>
      <w:pPr>
        <w:pStyle w:val="Tight"/>
      </w:pPr>
    </w:p>
    <w:p>
      <w:r>
        <w:rPr>
          <w:b/>
        </w:rPr>
        <w:t xml:space="preserve">(b) Qual âncora teórica substitui a OEA.</w:t>
      </w:r>
      <w:r>
        <w:t xml:space="preserve"> A ata registra a proposta de Mariana: "referenciar a ampliação do conceito de segurança nas Relações Internacionais". Três candidatas, em ordem de segurança política decrescente:</w:t>
      </w:r>
    </w:p>
    <w:p>
      <w:pPr>
        <w:pStyle w:val="Bullet"/>
      </w:pPr>
      <w:r>
        <w:t xml:space="preserve">• </w:t>
      </w:r>
      <w:r>
        <w:rPr>
          <w:b/>
        </w:rPr>
        <w:t xml:space="preserve">BUZAN, WÆVER e DE WILDE (1998)</w:t>
      </w:r>
      <w:r>
        <w:t xml:space="preserve"> — o alargamento setorial do conceito de segurança (militar, político, econômico, societal e ambiental). É a referência acadêmica padrão, anterior e independente da OEA, e não tem carga hemisférica.</w:t>
      </w:r>
    </w:p>
    <w:p>
      <w:pPr>
        <w:pStyle w:val="Bullet"/>
      </w:pPr>
      <w:r>
        <w:t xml:space="preserve">• </w:t>
      </w:r>
      <w:r>
        <w:rPr>
          <w:b/>
        </w:rPr>
        <w:t xml:space="preserve">PNUD, Relatório de Desenvolvimento Humano de 1994</w:t>
      </w:r>
      <w:r>
        <w:t xml:space="preserve"> — origem do conceito de segurança humana em termos de política pública. É ONU, não OEA — o que, no momento político que Larissa descreveu, é exatamente o contraste desejável.</w:t>
      </w:r>
    </w:p>
    <w:p>
      <w:pPr>
        <w:pStyle w:val="Bullet"/>
      </w:pPr>
      <w:r>
        <w:t xml:space="preserve">• </w:t>
      </w:r>
      <w:r>
        <w:rPr>
          <w:b/>
        </w:rPr>
        <w:t xml:space="preserve">Documentos brasileiros de defesa</w:t>
      </w:r>
      <w:r>
        <w:t xml:space="preserve"> (Política Nacional de Defesa, Livro Branco) e seu tratamento de ameaças transversais — é a âncora que fala a língua do setor de defesa. </w:t>
      </w:r>
      <w:r>
        <w:rPr>
          <w:i/>
        </w:rPr>
        <w:t xml:space="preserve">Requer conferência da redação exata antes de citar; não incluí formulação aqui porque não confirmei o texto vigente.</w:t>
      </w:r>
    </w:p>
    <w:p>
      <w:r>
        <w:t xml:space="preserve">Recomendação: as duas primeiras como nota de rodapé em 1.4.1, a terceira se a equipe quiser o gesto explícito em direção ao Ministério da Defesa.</w:t>
      </w:r>
    </w:p>
    <w:p>
      <w:r>
        <w:rPr>
          <w:b/>
        </w:rPr>
        <w:t xml:space="preserve">(c) O que fazer com "mandato multidimensional".</w:t>
      </w:r>
      <w:r>
        <w:t xml:space="preserve"> Ocorre 4 vezes (§379, §381, §453 e o sumário) com sentido </w:t>
      </w:r>
      <w:r>
        <w:rPr>
          <w:b/>
        </w:rPr>
        <w:t xml:space="preserve">diferente</w:t>
      </w:r>
      <w:r>
        <w:t xml:space="preserve">: não é a concepção de segurança, é o alcance setorial de um colegiado. Aqui há uma substituição limpa, e ela </w:t>
      </w:r>
      <w:r>
        <w:rPr>
          <w:b/>
        </w:rPr>
        <w:t xml:space="preserve">já está no documento</w:t>
      </w:r>
      <w:r>
        <w:t xml:space="preserve">: §571 usa "mandato territorial e multissetorial". Adotar essa expressão resolve as 4 ocorrências sem perda de sentido e aumenta a coerência interna.</w:t>
      </w:r>
    </w:p>
    <w:p>
      <w:pPr>
        <w:pStyle w:val="Heading1"/>
      </w:pPr>
      <w:r>
        <w:t xml:space="preserve">Prioridade 1 — Conclusão</w:t>
      </w:r>
    </w:p>
    <w:p>
      <w:pPr>
        <w:pStyle w:val="Heading2"/>
      </w:pPr>
      <w:r>
        <w:t xml:space="preserve">1.1. O dado que sustenta a leitura de Mariana</w:t>
      </w:r>
    </w:p>
    <w:p>
      <w:r>
        <w:t xml:space="preserve">Vale ter esse número na reunião, porque é verificável e torna o diagnóstico menos subjetivo: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4018"/>
        <w:gridCol w:w="2202"/>
        <w:gridCol w:w="2850"/>
      </w:tblGrid>
      <w:tr>
        <w:trPr>
          <w:tblHeader/>
        </w:trPr>
        <w:tc>
          <w:tcPr>
            <w:tcW w:w="4018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Seção</w:t>
            </w:r>
          </w:p>
        </w:tc>
        <w:tc>
          <w:tcPr>
            <w:tcW w:w="2202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Parágrafos</w:t>
            </w:r>
          </w:p>
        </w:tc>
        <w:tc>
          <w:tcPr>
            <w:tcW w:w="2850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Notas de rodapé</w:t>
            </w:r>
          </w:p>
        </w:tc>
      </w:tr>
      <w:tr>
        <w:tc>
          <w:tcPr>
            <w:tcW w:w="401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Apresentação (§230–§244)</w:t>
            </w:r>
          </w:p>
        </w:tc>
        <w:tc>
          <w:tcPr>
            <w:tcW w:w="220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w="285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w="401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Conclusão (§657–§690)</w:t>
            </w:r>
          </w:p>
        </w:tc>
        <w:tc>
          <w:tcPr>
            <w:tcW w:w="220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285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</w:t>
            </w:r>
          </w:p>
        </w:tc>
      </w:tr>
    </w:tbl>
    <w:p>
      <w:pPr>
        <w:pStyle w:val="Tight"/>
      </w:pPr>
    </w:p>
    <w:p>
      <w:r>
        <w:t xml:space="preserve">A conclusão tem </w:t>
      </w:r>
      <w:r>
        <w:rPr>
          <w:b/>
        </w:rPr>
        <w:t xml:space="preserve">o dobro de parágrafos da apresentação e um quinto das notas</w:t>
      </w:r>
      <w:r>
        <w:t xml:space="preserve">. Não é uma impressão: é o padrão de texto que afirma sem ancorar, e é exatamente o que uma ferramenta antiplágio vai destacar.</w:t>
      </w:r>
    </w:p>
    <w:p>
      <w:pPr>
        <w:pStyle w:val="Heading2"/>
      </w:pPr>
      <w:r>
        <w:t xml:space="preserve">1.2. Seis afirmações quantitativas sem nota — todas já ancoradas em outro ponto da Agenda</w:t>
      </w:r>
    </w:p>
    <w:p>
      <w:r>
        <w:t xml:space="preserve">Este é o conserto mais barato do documento inteiro: os dados </w:t>
      </w:r>
      <w:r>
        <w:rPr>
          <w:b/>
        </w:rPr>
        <w:t xml:space="preserve">não estão errados nem são de terceiros não creditados</w:t>
      </w:r>
      <w:r>
        <w:t xml:space="preserve">. Estão corretos e citados em outras seções. Falta repetir a nota.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1479"/>
        <w:gridCol w:w="4134"/>
        <w:gridCol w:w="3457"/>
      </w:tblGrid>
      <w:tr>
        <w:trPr>
          <w:tblHeader/>
        </w:trPr>
        <w:tc>
          <w:tcPr>
            <w:tcW w:w="1479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§</w:t>
            </w:r>
          </w:p>
        </w:tc>
        <w:tc>
          <w:tcPr>
            <w:tcW w:w="4134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Afirmação sem nota</w:t>
            </w:r>
          </w:p>
        </w:tc>
        <w:tc>
          <w:tcPr>
            <w:tcW w:w="3457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Onde a fonte já está</w:t>
            </w:r>
          </w:p>
        </w:tc>
      </w:tr>
      <w:tr>
        <w:tc>
          <w:tcPr>
            <w:tcW w:w="147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§661 e §684</w:t>
            </w:r>
          </w:p>
        </w:tc>
        <w:tc>
          <w:tcPr>
            <w:tcW w:w="41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178 municípios (2023) → 344 (2025); 93% em dois anos</w:t>
            </w:r>
          </w:p>
        </w:tc>
        <w:tc>
          <w:tcPr>
            <w:tcW w:w="345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Apresentação, §232, nota 2 (FBSP/Cartografias)</w:t>
            </w:r>
          </w:p>
        </w:tc>
      </w:tr>
      <w:tr>
        <w:tc>
          <w:tcPr>
            <w:tcW w:w="147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§669</w:t>
            </w:r>
          </w:p>
        </w:tc>
        <w:tc>
          <w:tcPr>
            <w:tcW w:w="41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queda de 84% na produção registrada pelos garimpos</w:t>
            </w:r>
          </w:p>
        </w:tc>
        <w:tc>
          <w:tcPr>
            <w:tcW w:w="345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 2</w:t>
            </w:r>
          </w:p>
        </w:tc>
      </w:tr>
      <w:tr>
        <w:tc>
          <w:tcPr>
            <w:tcW w:w="147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§683</w:t>
            </w:r>
          </w:p>
        </w:tc>
        <w:tc>
          <w:tcPr>
            <w:tcW w:w="41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tipping point entre 20% e 25% de perda de cobertura</w:t>
            </w:r>
          </w:p>
        </w:tc>
        <w:tc>
          <w:tcPr>
            <w:tcW w:w="345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 confirmar — pode não ter âncora em nenhum ponto</w:t>
            </w:r>
          </w:p>
        </w:tc>
      </w:tr>
      <w:tr>
        <w:tc>
          <w:tcPr>
            <w:tcW w:w="147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§679</w:t>
            </w:r>
          </w:p>
        </w:tc>
        <w:tc>
          <w:tcPr>
            <w:tcW w:w="41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AR6 do IPCC, redução de até 53% na vazão do Araguaia-Tocantins</w:t>
            </w:r>
          </w:p>
        </w:tc>
        <w:tc>
          <w:tcPr>
            <w:tcW w:w="345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§348, seção 3</w:t>
            </w:r>
          </w:p>
        </w:tc>
      </w:tr>
      <w:tr>
        <w:tc>
          <w:tcPr>
            <w:tcW w:w="147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§673</w:t>
            </w:r>
          </w:p>
        </w:tc>
        <w:tc>
          <w:tcPr>
            <w:tcW w:w="41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regime de vazante e cheia, "seis meses de cada"</w:t>
            </w:r>
          </w:p>
        </w:tc>
        <w:tc>
          <w:tcPr>
            <w:tcW w:w="345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 confirmar</w:t>
            </w:r>
          </w:p>
        </w:tc>
      </w:tr>
      <w:tr>
        <w:tc>
          <w:tcPr>
            <w:tcW w:w="147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§677</w:t>
            </w:r>
          </w:p>
        </w:tc>
        <w:tc>
          <w:tcPr>
            <w:tcW w:w="41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COP30 em Belém, novembro de 2025</w:t>
            </w:r>
          </w:p>
        </w:tc>
        <w:tc>
          <w:tcPr>
            <w:tcW w:w="3457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fato público, dispensa nota</w:t>
            </w:r>
          </w:p>
        </w:tc>
      </w:tr>
    </w:tbl>
    <w:p>
      <w:pPr>
        <w:pStyle w:val="Tight"/>
      </w:pPr>
    </w:p>
    <w:p>
      <w:r>
        <w:t xml:space="preserve">Ação: repetir as notas existentes nos §§661, 669, 679 e 684, e localizar fonte para §683 e §673. Se não houver fonte para o </w:t>
      </w:r>
      <w:r>
        <w:rPr>
          <w:i/>
        </w:rPr>
        <w:t xml:space="preserve">tipping point</w:t>
      </w:r>
      <w:r>
        <w:t xml:space="preserve">, a saída é remover o intervalo numérico e manter a afirmação qualitativa.</w:t>
      </w:r>
    </w:p>
    <w:p>
      <w:pPr>
        <w:pStyle w:val="Heading2"/>
      </w:pPr>
      <w:r>
        <w:t xml:space="preserve">1.3. §667 — o parágrafo mais exposto do documento</w:t>
      </w:r>
    </w:p>
    <w:p>
      <w:r>
        <w:t xml:space="preserve">É o único ponto da Agenda em que o conceito contestado aparece </w:t>
      </w:r>
      <w:r>
        <w:rPr>
          <w:b/>
        </w:rPr>
        <w:t xml:space="preserve">como uma conquista do período</w:t>
      </w:r>
      <w:r>
        <w:t xml:space="preserve">, em uma lista de avanços:</w:t>
      </w:r>
    </w:p>
    <w:p>
      <w:r>
        <w:rPr>
          <w:b/>
        </w:rPr>
        <w:t xml:space="preserve">Como está (§667):</w:t>
      </w:r>
    </w:p>
    <w:p>
      <w:r>
        <w:t xml:space="preserve">"A concepção de segurança multidimensional vem ganhando tração no debate público e institucional, deslocando a visão tradicional, centrada exclusivamente na defesa militar, para incorporar dimensões políticas, econômicas, sociais, ambientais e de cooperação internacional. Essa mudança conceitual é vista nesta Agenda como condição necessária para a integração de políticas que, historicamente, operaram em compartimentos estanques."</w:t>
      </w:r>
    </w:p>
    <w:p>
      <w:r>
        <w:rPr>
          <w:b/>
        </w:rPr>
        <w:t xml:space="preserve">Opção A — supressão (recomendada).</w:t>
      </w:r>
      <w:r>
        <w:t xml:space="preserve"> Os outros três avanços da lista são institucionais e verificáveis: Declaração de Belém e CCPI (§666), bioeconomia em iniciativas concretas (§668), fim da presunção de boa-fé no ouro (§669). Este é o único que afirma um movimento de </w:t>
      </w:r>
      <w:r>
        <w:rPr>
          <w:i/>
        </w:rPr>
        <w:t xml:space="preserve">discurso</w:t>
      </w:r>
      <w:r>
        <w:t xml:space="preserve">, e é justamente o movimento que a equipe agora considera arriscado afirmar. Suprimi-lo torna a lista mais homogênea e encurta uma conclusão que já está longa.</w:t>
      </w:r>
    </w:p>
    <w:p>
      <w:r>
        <w:rPr>
          <w:b/>
        </w:rPr>
        <w:t xml:space="preserve">Opção B — reescrita ancorada em fato institucional</w:t>
      </w:r>
      <w:r>
        <w:t xml:space="preserve">, caso a equipe queira preservar o ponto conceitual:</w:t>
      </w:r>
    </w:p>
    <w:p>
      <w:r>
        <w:t xml:space="preserve">"A integração entre as agendas de segurança, defesa e meio ambiente deixou de ser apenas uma proposição analítica e passou a se materializar em arranjos institucionais: a Declaração de Belém incorporou cooperação policial, judicial e de inteligência ao escopo da OTCA, e o Plano AMAS e o CCPI passaram a tratar ilícitos ambientais e ilícitos transfronteiriços sob a mesma governança. É essa convergência, e não apenas a mudança de vocabulário, que a Agenda registra como avanço."</w:t>
      </w:r>
    </w:p>
    <w:p>
      <w:r>
        <w:t xml:space="preserve">A Opção B tem a vantagem de transformar uma afirmação sobre debate em uma afirmação sobre instituições — que é o registro do resto da Agenda.</w:t>
      </w:r>
    </w:p>
    <w:p>
      <w:pPr>
        <w:pStyle w:val="Heading2"/>
      </w:pPr>
      <w:r>
        <w:t xml:space="preserve">1.4. §659 — corte simples</w:t>
      </w:r>
    </w:p>
    <w:p>
      <w:r>
        <w:rPr>
          <w:b/>
        </w:rPr>
        <w:t xml:space="preserve">Como está:</w:t>
      </w:r>
      <w:r>
        <w:t xml:space="preserve"> "...são sintomas de uma mesma patologia estrutural: a ausência de um Estado presente, integrado e </w:t>
      </w:r>
      <w:r>
        <w:rPr>
          <w:b/>
        </w:rPr>
        <w:t xml:space="preserve">multidimensional</w:t>
      </w:r>
      <w:r>
        <w:t xml:space="preserve">, capaz de articular inteligência, fiscalização, defesa, desenvolvimento econômico e proteção social em uma estratégia coerente e permanente."</w:t>
      </w:r>
    </w:p>
    <w:p>
      <w:r>
        <w:rPr>
          <w:b/>
        </w:rPr>
        <w:t xml:space="preserve">Sugestão:</w:t>
      </w:r>
      <w:r>
        <w:t xml:space="preserve"> "...são sintomas de uma mesma patologia estrutural: a ausência de um Estado presente e integrado, capaz de articular inteligência, fiscalização, defesa, desenvolvimento econômico e proteção social em uma estratégia coerente e permanente."</w:t>
      </w:r>
    </w:p>
    <w:p>
      <w:r>
        <w:t xml:space="preserve">O adjetivo era redundante: a própria frase já enumera as dimensões logo em seguida. O corte não perde nada.</w:t>
      </w:r>
    </w:p>
    <w:p>
      <w:pPr>
        <w:pStyle w:val="Heading2"/>
      </w:pPr>
      <w:r>
        <w:t xml:space="preserve">1.5. Onde entra o disclaimer de Mariana</w:t>
      </w:r>
    </w:p>
    <w:p>
      <w:r>
        <w:t xml:space="preserve">A ata deixa em aberto "apresentação ou conclusão". Recomendo </w:t>
      </w:r>
      <w:r>
        <w:rPr>
          <w:b/>
        </w:rPr>
        <w:t xml:space="preserve">a conclusão</w:t>
      </w:r>
      <w:r>
        <w:t xml:space="preserve">, e não a apresentação, por uma razão: na apresentação, a ressalva soa como recuo antes de o leitor ver o que a Agenda oferece; na conclusão, soa como delimitação de escopo depois de ter entregue. O lugar exato é </w:t>
      </w:r>
      <w:r>
        <w:rPr>
          <w:b/>
        </w:rPr>
        <w:t xml:space="preserve">antes de §688</w:t>
      </w:r>
      <w:r>
        <w:t xml:space="preserve"> ("Como demonstrado nesta Agenda, a soberania efetiva..."), fechando a lista de riscos e abrindo o trecho final de posicionamento.</w:t>
      </w:r>
    </w:p>
    <w:p>
      <w:r>
        <w:rPr>
          <w:b/>
        </w:rPr>
        <w:t xml:space="preserve">Texto sugerido:</w:t>
      </w:r>
    </w:p>
    <w:p>
      <w:r>
        <w:t xml:space="preserve">"Esta Agenda não pretende esgotar o diagnóstico amazônico nem oferecer o conjunto completo de respostas de que a região precisa. Vários dos temas aqui tratados vêm sendo trabalhados, em profundidade e por outros recortes, por organizações que atuam na região há mais tempo e cujos resultados esta Agenda incorpora e credita ao longo do texto. O que o S&amp;C oferece é uma perspectiva específica: a de que soberania, segurança e sustentabilidade só produzem resultado quando tratadas como uma agenda só, e a de que a cooperação regional é o instrumento que falta para que isso se sustente no tempo."</w:t>
      </w:r>
    </w:p>
    <w:p>
      <w:r>
        <w:t xml:space="preserve">Esse texto faz três coisas de uma vez: responde ao disclaimer que Mariana pediu, credita explicitamente Igarapé e FBSP sem nomeá-los de forma defensiva, e reafirma a tese própria do Centro.</w:t>
      </w:r>
    </w:p>
    <w:p>
      <w:pPr>
        <w:pStyle w:val="Heading1"/>
      </w:pPr>
      <w:r>
        <w:t xml:space="preserve">Prioridade 2 — Apresentação</w:t>
      </w:r>
    </w:p>
    <w:p>
      <w:pPr>
        <w:pStyle w:val="Heading2"/>
      </w:pPr>
      <w:r>
        <w:t xml:space="preserve">2.1. §237 — a única ocorrência do termo</w:t>
      </w:r>
    </w:p>
    <w:p>
      <w:r>
        <w:rPr>
          <w:b/>
        </w:rPr>
        <w:t xml:space="preserve">Como está:</w:t>
      </w:r>
    </w:p>
    <w:p>
      <w:r>
        <w:t xml:space="preserve">"...Se a Amazônia é infraestrutura crítica, protegê-la também é matéria de segurança nacional, e não apenas uma pauta ambiental setorial. </w:t>
      </w:r>
      <w:r>
        <w:rPr>
          <w:b/>
        </w:rPr>
        <w:t xml:space="preserve">Nesta Agenda, essa leitura toma a forma da segurança multidimensional, conceito que integra as dimensões pública, humana, climática e territorial da segurança e recusa tratá-las isoladamente.</w:t>
      </w:r>
      <w:r>
        <w:t xml:space="preserve"> Daí a tese que percorre o documento..."</w:t>
      </w:r>
    </w:p>
    <w:p>
      <w:r>
        <w:rPr>
          <w:b/>
        </w:rPr>
        <w:t xml:space="preserve">Sugestão:</w:t>
      </w:r>
    </w:p>
    <w:p>
      <w:r>
        <w:t xml:space="preserve">"...Se a Amazônia é infraestrutura crítica, protegê-la também é matéria de segurança nacional, e não apenas uma pauta ambiental setorial. </w:t>
      </w:r>
      <w:r>
        <w:rPr>
          <w:b/>
        </w:rPr>
        <w:t xml:space="preserve">Nesta Agenda, essa leitura se traduz em tratar a segurança na região em suas múltiplas dimensões — a pública, a humana, a climática e a territorial —, recusando examiná-las isoladamente.</w:t>
      </w:r>
      <w:r>
        <w:t xml:space="preserve"> Daí a tese que percorre o documento..."</w:t>
      </w:r>
    </w:p>
    <w:p>
      <w:r>
        <w:t xml:space="preserve">A troca é de uma frase só e preserva integralmente a função do parágrafo: fazer a ponte entre "infraestrutura crítica" e a tese soberania–segurança–sustentabilidade.</w:t>
      </w:r>
    </w:p>
    <w:p>
      <w:pPr>
        <w:pStyle w:val="Heading2"/>
      </w:pPr>
      <w:r>
        <w:t xml:space="preserve">2.2. A apresentação não tem problema de atribuição</w:t>
      </w:r>
    </w:p>
    <w:p>
      <w:r>
        <w:t xml:space="preserve">Diferentemente da conclusão, ela tem 9 notas em 15 parágrafos, é assinada por Mariana em primeira pessoa e narra a origem do Centro e do projeto — conteúdo que só o S&amp;C pode escrever. </w:t>
      </w:r>
      <w:r>
        <w:rPr>
          <w:b/>
        </w:rPr>
        <w:t xml:space="preserve">Não há aqui o risco que Mariana apontou.</w:t>
      </w:r>
      <w:r>
        <w:t xml:space="preserve"> A prioridade 2 da lista é, na prática, um item pequeno: a frase de §237 e a conferência final.</w:t>
      </w:r>
    </w:p>
    <w:p>
      <w:pPr>
        <w:pStyle w:val="Heading1"/>
      </w:pPr>
      <w:r>
        <w:t xml:space="preserve">Prioridade 3 — Forças Armadas</w:t>
      </w:r>
    </w:p>
    <w:p>
      <w:pPr>
        <w:pStyle w:val="Heading2"/>
      </w:pPr>
      <w:r>
        <w:t xml:space="preserve">3.1. Título de 1.4.4 (§296)</w:t>
      </w:r>
    </w:p>
    <w:p>
      <w:r>
        <w:rPr>
          <w:b/>
        </w:rPr>
        <w:t xml:space="preserve">Como está:</w:t>
      </w:r>
      <w:r>
        <w:t xml:space="preserve"> "1.4.4. Atuação Multidimensional das Forças Armadas:"</w:t>
      </w:r>
    </w:p>
    <w:p>
      <w:r>
        <w:rPr>
          <w:b/>
        </w:rPr>
        <w:t xml:space="preserve">Sugestão (conforme a ata):</w:t>
      </w:r>
      <w:r>
        <w:t xml:space="preserve"> "1.4.4. O Papel das Forças Armadas na Segurança da Amazônia"</w:t>
      </w:r>
    </w:p>
    <w:p>
      <w:r>
        <w:t xml:space="preserve">Duas observações: convém aproveitar para </w:t>
      </w:r>
      <w:r>
        <w:rPr>
          <w:b/>
        </w:rPr>
        <w:t xml:space="preserve">remover os dois-pontos finais</w:t>
      </w:r>
      <w:r>
        <w:t xml:space="preserve">, que aparecem em 1.4.1 a 1.4.4 e em nenhum outro título do documento; e o sumário se atualiza sozinho (§12).</w:t>
      </w:r>
    </w:p>
    <w:p>
      <w:pPr>
        <w:pStyle w:val="Heading2"/>
      </w:pPr>
      <w:r>
        <w:t xml:space="preserve">3.2. O corpo da seção já está limpo</w:t>
      </w:r>
    </w:p>
    <w:p>
      <w:r>
        <w:t xml:space="preserve">Verificado: em §297, §298 e §299 o termo </w:t>
      </w:r>
      <w:r>
        <w:rPr>
          <w:b/>
        </w:rPr>
        <w:t xml:space="preserve">não aparece nenhuma vez</w:t>
      </w:r>
      <w:r>
        <w:t xml:space="preserve">. A seção discute base constitucional, art. 16-A da LC 97/1999 e as capacidades de cada Força. O custo da prioridade 3 é, portanto, </w:t>
      </w:r>
      <w:r>
        <w:rPr>
          <w:b/>
        </w:rPr>
        <w:t xml:space="preserve">um título</w:t>
      </w:r>
      <w:r>
        <w:t xml:space="preserve">.</w:t>
      </w:r>
    </w:p>
    <w:p>
      <w:r>
        <w:t xml:space="preserve">O que de fato merece revisão nessa seção não é terminológico, e sim a pendência já mapeada antes da reunião: a contradição entre o corpo (art. 142) e a nota 16, ainda aberta.</w:t>
      </w:r>
    </w:p>
    <w:p>
      <w:pPr>
        <w:pStyle w:val="Heading1"/>
      </w:pPr>
      <w:r>
        <w:t xml:space="preserve">Prioridade 4 — Bases conceituais (1.4.1)</w:t>
      </w:r>
    </w:p>
    <w:p>
      <w:r>
        <w:t xml:space="preserve">É aqui que está o trabalho de escrita de verdade. Proposta completa:</w:t>
      </w:r>
    </w:p>
    <w:p>
      <w:pPr>
        <w:pStyle w:val="Heading2"/>
      </w:pPr>
      <w:r>
        <w:t xml:space="preserve">4.1. Título (§276)</w:t>
      </w:r>
    </w:p>
    <w:p>
      <w:r>
        <w:rPr>
          <w:b/>
        </w:rPr>
        <w:t xml:space="preserve">Como está:</w:t>
      </w:r>
      <w:r>
        <w:t xml:space="preserve"> "1.4.1. Segurança Multidimensional:"</w:t>
      </w:r>
    </w:p>
    <w:p>
      <w:r>
        <w:rPr>
          <w:b/>
        </w:rPr>
        <w:t xml:space="preserve">Sugestão:</w:t>
      </w:r>
      <w:r>
        <w:t xml:space="preserve"> "1.4.1. As Múltiplas Dimensões da Segurança na Amazônia"</w:t>
      </w:r>
    </w:p>
    <w:p>
      <w:pPr>
        <w:pStyle w:val="Heading2"/>
      </w:pPr>
      <w:r>
        <w:t xml:space="preserve">4.2. Parágrafo de abertura (§277) — substituição integral</w:t>
      </w:r>
    </w:p>
    <w:p>
      <w:r>
        <w:rPr>
          <w:b/>
        </w:rPr>
        <w:t xml:space="preserve">Como está:</w:t>
      </w:r>
    </w:p>
    <w:p>
      <w:r>
        <w:t xml:space="preserve">"A Agenda Política foi desenvolvida com base no conceito de segurança multidimensional, oficialmente adotado pela Organização dos Estados Americanos (OEA) na Declaração sobre Segurança nas Américas, em 2003 [nota 12]. De forma ampliada, a segurança multidimensional reconhece que ameaças contemporâneas são variadas e complexas, e assim, não podem ser enfrentadas apenas com ações das Forças Armadas. Logo, segurança multidimensional corresponde a:"</w:t>
      </w:r>
    </w:p>
    <w:p>
      <w:r>
        <w:rPr>
          <w:b/>
        </w:rPr>
        <w:t xml:space="preserve">Sugestão:</w:t>
      </w:r>
    </w:p>
    <w:p>
      <w:r>
        <w:t xml:space="preserve">"A Agenda parte do entendimento de que a segurança na Amazônia se manifesta em múltiplas dimensões, que se influenciam mutuamente e não podem ser tratadas isoladamente. Esse entendimento acompanha uma ampliação do próprio conceito de segurança, consolidada nas Relações Internacionais desde os anos 1990, que deslocou o foco exclusivo da defesa militar do território para incorporar ameaças de natureza econômica, social, ambiental e institucional, e para reconhecer como objeto da segurança não apenas o Estado, mas também as populações [nova nota: Buzan/Wæver/de Wilde e PNUD 1994]. Aplicada à Amazônia, essa leitura identifica ao menos cinco dimensões:"</w:t>
      </w:r>
    </w:p>
    <w:p>
      <w:r>
        <w:t xml:space="preserve">Ganhos: sai a OEA; a base teórica passa a ser um campo, não uma organização; e a frase "não podem ser enfrentadas apenas com ações das Forças Armadas" — que soava como ressalva defensiva logo na abertura — é substituída por uma formulação positiva.</w:t>
      </w:r>
    </w:p>
    <w:p>
      <w:pPr>
        <w:pStyle w:val="Heading2"/>
      </w:pPr>
      <w:r>
        <w:t xml:space="preserve">4.3. Os cinco bullets (§278–§282) — manter</w:t>
      </w:r>
    </w:p>
    <w:p>
      <w:r>
        <w:t xml:space="preserve">Não contêm o termo e estão bem construídos. Entram sob a nova frase de chamada ("...identifica ao menos cinco dimensões:").</w:t>
      </w:r>
    </w:p>
    <w:p>
      <w:pPr>
        <w:pStyle w:val="Heading2"/>
      </w:pPr>
      <w:r>
        <w:t xml:space="preserve">4.4. A citação para diagramação (§284–§286) — a decisão mais delicada do bloco</w:t>
      </w:r>
    </w:p>
    <w:p>
      <w:r>
        <w:t xml:space="preserve">A citação é do documento Igarapé / FBSP / S&amp;C de 2022 e contém a expressão "múltiplas dimensões de segurança". Três caminhos:</w:t>
      </w:r>
    </w:p>
    <w:p>
      <w:pPr>
        <w:pStyle w:val="Bullet"/>
      </w:pPr>
      <w:r>
        <w:t xml:space="preserve">• </w:t>
      </w:r>
      <w:r>
        <w:rPr>
          <w:b/>
        </w:rPr>
        <w:t xml:space="preserve">Manter como está.</w:t>
      </w:r>
      <w:r>
        <w:t xml:space="preserve"> Risco: o leitor atento percebe que a formulação substituta veio dali, sem que o texto o assuma.</w:t>
      </w:r>
    </w:p>
    <w:p>
      <w:pPr>
        <w:pStyle w:val="Bullet"/>
      </w:pPr>
      <w:r>
        <w:t xml:space="preserve">• </w:t>
      </w:r>
      <w:r>
        <w:rPr>
          <w:b/>
        </w:rPr>
        <w:t xml:space="preserve">Remover.</w:t>
      </w:r>
      <w:r>
        <w:t xml:space="preserve"> Perde-se a única citação em destaque da seção, e perde-se a oportunidade de demonstrar lineage próprio.</w:t>
      </w:r>
    </w:p>
    <w:p>
      <w:pPr>
        <w:pStyle w:val="Bullet"/>
      </w:pPr>
      <w:r>
        <w:t xml:space="preserve">• </w:t>
      </w:r>
      <w:r>
        <w:rPr>
          <w:b/>
        </w:rPr>
        <w:t xml:space="preserve">Manter e declarar a linhagem (recomendado).</w:t>
      </w:r>
      <w:r>
        <w:t xml:space="preserve"> Acrescentar uma frase de introdução ao bloco, transformando a citação em afirmação de continuidade:</w:t>
      </w:r>
    </w:p>
    <w:p>
      <w:r>
        <w:t xml:space="preserve">"A formulação não é nova para o Centro. Em 2022, em trabalho conjunto com o Instituto Igarapé e o Fórum Brasileiro de Segurança Pública, o S&amp;C já sustentava que:" </w:t>
      </w:r>
      <w:r>
        <w:rPr>
          <w:i/>
        </w:rPr>
        <w:t xml:space="preserve">[segue a citação]</w:t>
      </w:r>
    </w:p>
    <w:p>
      <w:r>
        <w:t xml:space="preserve">E, depois da citação, a frase que estabelece o que esta Agenda acrescenta:</w:t>
      </w:r>
    </w:p>
    <w:p>
      <w:r>
        <w:t xml:space="preserve">"O que esta Agenda acrescenta àquele diagnóstico é a escala regional: as mesmas dimensões, examinadas não apenas no território brasileiro, mas na bacia compartilhada por oito países, e traduzidas em lacunas e recomendações de cooperação."</w:t>
      </w:r>
    </w:p>
    <w:p>
      <w:r>
        <w:t xml:space="preserve">Essa é, na prática, a resposta mais econômica ao risco reputacional inteiro: um parágrafo que diz </w:t>
      </w:r>
      <w:r>
        <w:rPr>
          <w:b/>
        </w:rPr>
        <w:t xml:space="preserve">o que é retomada e o que é contribuição nova</w:t>
      </w:r>
      <w:r>
        <w:t xml:space="preserve">.</w:t>
      </w:r>
    </w:p>
    <w:p>
      <w:pPr>
        <w:pStyle w:val="Heading2"/>
      </w:pPr>
      <w:r>
        <w:t xml:space="preserve">4.5. §287 — ajuste</w:t>
      </w:r>
    </w:p>
    <w:p>
      <w:r>
        <w:rPr>
          <w:b/>
        </w:rPr>
        <w:t xml:space="preserve">Como está:</w:t>
      </w:r>
      <w:r>
        <w:t xml:space="preserve"> "Analisar a região amazônica à luz do conceito de segurança multidimensional é fundamental, pois reconhece que a degradação da floresta gera crises humanas, econômicas e climáticas intrinsecamente conectadas. Essa visão direcionada impede que os problemas sejam analisados e enfrentados de forma isolada."</w:t>
      </w:r>
    </w:p>
    <w:p>
      <w:r>
        <w:rPr>
          <w:b/>
        </w:rPr>
        <w:t xml:space="preserve">Sugestão:</w:t>
      </w:r>
      <w:r>
        <w:t xml:space="preserve"> "Analisar a Amazônia por essas dimensões articuladas permite reconhecer que a degradação da floresta gera crises humanas, econômicas e climáticas intrinsecamente conectadas, e impede que os problemas sejam diagnosticados e enfrentados de forma isolada."</w:t>
      </w:r>
    </w:p>
    <w:p>
      <w:r>
        <w:t xml:space="preserve">Resolve de passagem duas pendências antigas: "visão direcionada" (expressão que já estava assinalada como obscura) e a repetição de "analisados".</w:t>
      </w:r>
    </w:p>
    <w:p>
      <w:pPr>
        <w:pStyle w:val="Heading2"/>
      </w:pPr>
      <w:r>
        <w:t xml:space="preserve">4.6. §309 — passa a ser remissão</w:t>
      </w:r>
    </w:p>
    <w:p>
      <w:r>
        <w:t xml:space="preserve">Com 1.4.1 reescrito nesses termos, §309 vira repetição. Sugestão: reduzir o parágrafo, mantendo apenas a parte geográfica e de desafios (a partir de "A necessidade dessa articulação decorre de um cenário em que problemas políticos..."), com uma remissão de abertura: "Retomando as dimensões apresentadas na seção 1.4.1, ...".</w:t>
      </w:r>
    </w:p>
    <w:p>
      <w:pPr>
        <w:pStyle w:val="Heading2"/>
      </w:pPr>
      <w:r>
        <w:t xml:space="preserve">4.7. A conexão soberania–segurança–sustentabilidade (seu item na ata)</w:t>
      </w:r>
    </w:p>
    <w:p>
      <w:r>
        <w:t xml:space="preserve">Sua colocação na reunião foi que as bases conceituais precisam explicitar a conexão entre os três, de forma acessível a academia, setor ambiental e setor de defesa. Hoje as três subseções (1.4.1, 1.4.2, 1.4.3) definem cada conceito </w:t>
      </w:r>
      <w:r>
        <w:rPr>
          <w:b/>
        </w:rPr>
        <w:t xml:space="preserve">separadamente</w:t>
      </w:r>
      <w:r>
        <w:t xml:space="preserve">, e a ponte entre eles só aparece na apresentação (§237) e na conclusão. Falta um parágrafo de fecho, ao final de 1.4.3, que feche o triângulo:</w:t>
      </w:r>
    </w:p>
    <w:p>
      <w:r>
        <w:rPr>
          <w:b/>
        </w:rPr>
        <w:t xml:space="preserve">Texto sugerido (novo parágrafo, após §295):</w:t>
      </w:r>
    </w:p>
    <w:p>
      <w:r>
        <w:t xml:space="preserve">"As três noções apresentadas até aqui formam um encadeamento, e não uma lista. A segurança, tratada em suas múltiplas dimensões, é o que permite ao Estado estar presente onde a lei precisa ser aplicada. Essa presença é o que dá conteúdo concreto à soberania, entendida aqui como capacidade efetiva de regular, supervisionar e aplicar a lei. E é essa capacidade que torna viável a sustentabilidade, porque nenhuma economia da floresta em pé se consolida em território disputado por economias ilícitas. O encadeamento também opera no sentido inverso: sem alternativas econômicas legítimas, a presença estatal se reduz a operação de repressão, e nenhuma operação se sustenta indefinidamente. É por isso que esta Agenda trata soberania, segurança e sustentabilidade como uma agenda só."</w:t>
      </w:r>
    </w:p>
    <w:p>
      <w:r>
        <w:t xml:space="preserve">Esse parágrafo é o que responde diretamente ao seu item de ação, e é também o trecho que um leitor do setor ambiental e um leitor do setor de defesa podem ler sem que nenhum dos dois se sinta em território alheio.</w:t>
      </w:r>
    </w:p>
    <w:p>
      <w:pPr>
        <w:pStyle w:val="Heading1"/>
      </w:pPr>
      <w:r>
        <w:t xml:space="preserve">Prioridade 5 — As demais ocorrências (mecânicas)</w:t>
      </w:r>
    </w:p>
    <w:p>
      <w:r>
        <w:t xml:space="preserve">Depois de fechado o Bloco 0, estas se resolvem em uma passada: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1001"/>
        <w:gridCol w:w="4495"/>
        <w:gridCol w:w="3574"/>
      </w:tblGrid>
      <w:tr>
        <w:trPr>
          <w:tblHeader/>
        </w:trPr>
        <w:tc>
          <w:tcPr>
            <w:tcW w:w="1001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§</w:t>
            </w:r>
          </w:p>
        </w:tc>
        <w:tc>
          <w:tcPr>
            <w:tcW w:w="4495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Trecho atual</w:t>
            </w:r>
          </w:p>
        </w:tc>
        <w:tc>
          <w:tcPr>
            <w:tcW w:w="3574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Sugestão</w:t>
            </w:r>
          </w:p>
        </w:tc>
      </w:tr>
      <w:tr>
        <w:tc>
          <w:tcPr>
            <w:tcW w:w="100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§332</w:t>
            </w:r>
          </w:p>
        </w:tc>
        <w:tc>
          <w:tcPr>
            <w:tcW w:w="44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Título: "3. Multidimensionalidade dos Desafios na Amazônia"</w:t>
            </w:r>
          </w:p>
        </w:tc>
        <w:tc>
          <w:tcPr>
            <w:tcW w:w="357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"3. A Convergência dos Desafios na Amazônia" — retirado da primeira frase da própria seção</w:t>
            </w:r>
          </w:p>
        </w:tc>
      </w:tr>
      <w:tr>
        <w:tc>
          <w:tcPr>
            <w:tcW w:w="100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§333</w:t>
            </w:r>
          </w:p>
        </w:tc>
        <w:tc>
          <w:tcPr>
            <w:tcW w:w="44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"...exigem uma reformulação estratégica da visão sobre a região, orientada pelo paradigma de segurança multidimensional."</w:t>
            </w:r>
          </w:p>
        </w:tc>
        <w:tc>
          <w:tcPr>
            <w:tcW w:w="357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"...orientada pela articulação entre as múltiplas dimensões da segurança."</w:t>
            </w:r>
          </w:p>
        </w:tc>
      </w:tr>
      <w:tr>
        <w:tc>
          <w:tcPr>
            <w:tcW w:w="100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§348</w:t>
            </w:r>
          </w:p>
        </w:tc>
        <w:tc>
          <w:tcPr>
            <w:tcW w:w="44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"...orientados pela lógica multissetorial da segurança multidimensional."</w:t>
            </w:r>
          </w:p>
        </w:tc>
        <w:tc>
          <w:tcPr>
            <w:tcW w:w="357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"...orientados pela lógica multissetorial que esta Agenda propõe."</w:t>
            </w:r>
          </w:p>
        </w:tc>
      </w:tr>
      <w:tr>
        <w:tc>
          <w:tcPr>
            <w:tcW w:w="100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§370</w:t>
            </w:r>
          </w:p>
        </w:tc>
        <w:tc>
          <w:tcPr>
            <w:tcW w:w="44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"...tendo em vista que a segurança multidimensional deve orientar as políticas nacionais..."</w:t>
            </w:r>
          </w:p>
        </w:tc>
        <w:tc>
          <w:tcPr>
            <w:tcW w:w="357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"...tendo em vista que a articulação entre as dimensões da segurança deve orientar as políticas nacionais..."</w:t>
            </w:r>
          </w:p>
        </w:tc>
      </w:tr>
      <w:tr>
        <w:tc>
          <w:tcPr>
            <w:tcW w:w="100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§379</w:t>
            </w:r>
          </w:p>
        </w:tc>
        <w:tc>
          <w:tcPr>
            <w:tcW w:w="44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Lacuna 2 do Eixo 1: "...com mandato multidimensional sobre a Amazônia"</w:t>
            </w:r>
          </w:p>
        </w:tc>
        <w:tc>
          <w:tcPr>
            <w:tcW w:w="357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"...com mandato territorial e multissetorial sobre a Amazônia"</w:t>
            </w:r>
          </w:p>
        </w:tc>
      </w:tr>
      <w:tr>
        <w:tc>
          <w:tcPr>
            <w:tcW w:w="100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§381</w:t>
            </w:r>
          </w:p>
        </w:tc>
        <w:tc>
          <w:tcPr>
            <w:tcW w:w="44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"...não foi concebida para exercer coordenação territorial multidimensional."</w:t>
            </w:r>
          </w:p>
        </w:tc>
        <w:tc>
          <w:tcPr>
            <w:tcW w:w="357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"...não foi concebida para exercer coordenação territorial multissetorial."</w:t>
            </w:r>
          </w:p>
        </w:tc>
      </w:tr>
      <w:tr>
        <w:tc>
          <w:tcPr>
            <w:tcW w:w="100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§450</w:t>
            </w:r>
          </w:p>
        </w:tc>
        <w:tc>
          <w:tcPr>
            <w:tcW w:w="44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Recomendação 9: "Formulação de Política Nacional de Segurança brasileira alinhada à perspectiva de segurança multidimensional"</w:t>
            </w:r>
          </w:p>
        </w:tc>
        <w:tc>
          <w:tcPr>
            <w:tcW w:w="357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"Formulação de Política Nacional de Segurança que articule as dimensões pública, territorial, climática e humana"</w:t>
            </w:r>
          </w:p>
        </w:tc>
      </w:tr>
      <w:tr>
        <w:tc>
          <w:tcPr>
            <w:tcW w:w="100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§453</w:t>
            </w:r>
          </w:p>
        </w:tc>
        <w:tc>
          <w:tcPr>
            <w:tcW w:w="44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Recomendação 10: "...com mandato multidimensional"</w:t>
            </w:r>
          </w:p>
        </w:tc>
        <w:tc>
          <w:tcPr>
            <w:tcW w:w="357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"...com mandato territorial e multissetorial"</w:t>
            </w:r>
          </w:p>
        </w:tc>
      </w:tr>
      <w:tr>
        <w:tc>
          <w:tcPr>
            <w:tcW w:w="100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§571</w:t>
            </w:r>
          </w:p>
        </w:tc>
        <w:tc>
          <w:tcPr>
            <w:tcW w:w="44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"...é precisamente esse desenho — mandato territorial e multissetorial — que a abordagem de segurança multidimensional proposta nesta Agenda pressupõe."</w:t>
            </w:r>
          </w:p>
        </w:tc>
        <w:tc>
          <w:tcPr>
            <w:tcW w:w="357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"...que a abordagem proposta nesta Agenda pressupõe."</w:t>
            </w:r>
          </w:p>
        </w:tc>
      </w:tr>
      <w:tr>
        <w:tc>
          <w:tcPr>
            <w:tcW w:w="100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§588</w:t>
            </w:r>
          </w:p>
        </w:tc>
        <w:tc>
          <w:tcPr>
            <w:tcW w:w="44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"...o Acordo de Escazú, que inclui, em seu escopo, a abordagem de segurança multidimensional."</w:t>
            </w:r>
          </w:p>
        </w:tc>
        <w:tc>
          <w:tcPr>
            <w:tcW w:w="357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ver 5.1 abaixo</w:t>
            </w:r>
          </w:p>
        </w:tc>
      </w:tr>
    </w:tbl>
    <w:p>
      <w:pPr>
        <w:pStyle w:val="Tight"/>
      </w:pPr>
    </w:p>
    <w:p>
      <w:r>
        <w:t xml:space="preserve">Observação sobre §450: além do termo, o título corrige uma redundância que já existia — "Política Nacional de Segurança </w:t>
      </w:r>
      <w:r>
        <w:rPr>
          <w:b/>
        </w:rPr>
        <w:t xml:space="preserve">brasileira</w:t>
      </w:r>
      <w:r>
        <w:t xml:space="preserve">".</w:t>
      </w:r>
    </w:p>
    <w:p>
      <w:pPr>
        <w:pStyle w:val="Heading2"/>
      </w:pPr>
      <w:r>
        <w:t xml:space="preserve">5.1. §588 (Escazú) — não é só troca de termo</w:t>
      </w:r>
    </w:p>
    <w:p>
      <w:r>
        <w:rPr>
          <w:b/>
        </w:rPr>
        <w:t xml:space="preserve">Como está:</w:t>
      </w:r>
      <w:r>
        <w:t xml:space="preserve"> "No Webinar 2, destacou-se a importância do Acordo de Escazú, que inclui, em seu escopo, a abordagem de segurança multidimensional."</w:t>
      </w:r>
    </w:p>
    <w:p>
      <w:r>
        <w:t xml:space="preserve">A afirmação atribui ao Acordo de Escazú um conceito que ele não emprega. Escazú trata de acesso à informação, participação pública e acesso à justiça em matéria ambiental, e, em seu artigo 9º, da proteção de defensores de direitos humanos em assuntos ambientais. Retirar apenas o termo deixaria a frase sem objeto.</w:t>
      </w:r>
    </w:p>
    <w:p>
      <w:r>
        <w:rPr>
          <w:b/>
        </w:rPr>
        <w:t xml:space="preserve">Sugestão:</w:t>
      </w:r>
      <w:r>
        <w:t xml:space="preserve"> "No Webinar 2, destacou-se a importância do Acordo de Escazú, cujo artigo 9º obriga os Estados a garantir um ambiente seguro para quem atua na defesa de direitos humanos em matéria ambiental — obrigação diretamente relacionada às lacunas de proteção discutidas nesta seção."</w:t>
      </w:r>
    </w:p>
    <w:p>
      <w:r>
        <w:rPr>
          <w:i/>
        </w:rPr>
        <w:t xml:space="preserve">Conferir contra o texto do Acordo antes de publicar, e conferir a transcrição do Webinar 2 para confirmar o que de fato foi dito.</w:t>
      </w:r>
    </w:p>
    <w:p>
      <w:pPr>
        <w:pStyle w:val="Heading1"/>
      </w:pPr>
      <w:r>
        <w:t xml:space="preserve">Prioridade 6 — Sobreposição com Igarapé e FBSP: onde efetivamente falta crédito</w:t>
      </w:r>
    </w:p>
    <w:p>
      <w:r>
        <w:t xml:space="preserve">Mariana levantou o risco em termos gerais. A varredura mostra que ele é </w:t>
      </w:r>
      <w:r>
        <w:rPr>
          <w:b/>
        </w:rPr>
        <w:t xml:space="preserve">localizado</w:t>
      </w:r>
      <w:r>
        <w:t xml:space="preserve">, não difuso — o que é uma boa notícia.</w:t>
      </w:r>
    </w:p>
    <w:p>
      <w:pPr>
        <w:pStyle w:val="Heading2"/>
      </w:pPr>
      <w:r>
        <w:t xml:space="preserve">6.1. Onde o crédito já existe</w:t>
      </w:r>
    </w:p>
    <w:p>
      <w:pPr>
        <w:pStyle w:val="Bullet"/>
      </w:pPr>
      <w:r>
        <w:t xml:space="preserve">• </w:t>
      </w:r>
      <w:r>
        <w:rPr>
          <w:b/>
        </w:rPr>
        <w:t xml:space="preserve">Mineração / regulação do ouro</w:t>
      </w:r>
      <w:r>
        <w:t xml:space="preserve">: nota 96 cita </w:t>
      </w:r>
      <w:r>
        <w:rPr>
          <w:i/>
        </w:rPr>
        <w:t xml:space="preserve">Mercados e Floresta — Caderno 1: Mineração</w:t>
      </w:r>
      <w:r>
        <w:t xml:space="preserve"> (Igarapé, 2025).</w:t>
      </w:r>
    </w:p>
    <w:p>
      <w:pPr>
        <w:pStyle w:val="Bullet"/>
      </w:pPr>
      <w:r>
        <w:t xml:space="preserve">• </w:t>
      </w:r>
      <w:r>
        <w:rPr>
          <w:b/>
        </w:rPr>
        <w:t xml:space="preserve">Lavagem de dinheiro e crimes ambientais</w:t>
      </w:r>
      <w:r>
        <w:t xml:space="preserve">: nota 21 cita o estudo comparativo do Igarapé (2025).</w:t>
      </w:r>
    </w:p>
    <w:p>
      <w:pPr>
        <w:pStyle w:val="Bullet"/>
      </w:pPr>
      <w:r>
        <w:t xml:space="preserve">• </w:t>
      </w:r>
      <w:r>
        <w:rPr>
          <w:b/>
        </w:rPr>
        <w:t xml:space="preserve">Dados de violência</w:t>
      </w:r>
      <w:r>
        <w:t xml:space="preserve">: notas 2, 36 e 80 citam o FBSP.</w:t>
      </w:r>
    </w:p>
    <w:p>
      <w:pPr>
        <w:pStyle w:val="Heading2"/>
      </w:pPr>
      <w:r>
        <w:t xml:space="preserve">6.2. Onde falta — o mercúrio</w:t>
      </w:r>
    </w:p>
    <w:p>
      <w:r>
        <w:t xml:space="preserve">Mariana apontou nominalmente mineração </w:t>
      </w:r>
      <w:r>
        <w:rPr>
          <w:b/>
        </w:rPr>
        <w:t xml:space="preserve">e mercúrio</w:t>
      </w:r>
      <w:r>
        <w:t xml:space="preserve"> como temas já publicados pelo Igarapé. As passagens sobre mercúrio na Agenda — </w:t>
      </w:r>
      <w:r>
        <w:rPr>
          <w:b/>
        </w:rPr>
        <w:t xml:space="preserve">Lacuna 2 e Lacuna 6 do Eixo 2 (§489–§490, §500–§501) e as Recomendações 2, 3 e 6 (§530–§534, §542–§543)</w:t>
      </w:r>
      <w:r>
        <w:t xml:space="preserve"> — citam apenas o Decreto 9.470/2018, o Decreto 97.507/1989 e o Plano Mercúrio do Ministério da Saúde. </w:t>
      </w:r>
      <w:r>
        <w:rPr>
          <w:b/>
        </w:rPr>
        <w:t xml:space="preserve">Nenhuma referência ao Igarapé.</w:t>
      </w:r>
    </w:p>
    <w:p>
      <w:r>
        <w:t xml:space="preserve">Ação: identificar a publicação do Igarapé sobre mercúrio e incluí-la, ao menos na Lacuna 2 do Eixo 2 e na nota de contexto da Lacuna 6. Este é o ponto mais concreto do risco que Mariana descreveu.</w:t>
      </w:r>
    </w:p>
    <w:p>
      <w:pPr>
        <w:pStyle w:val="Heading2"/>
      </w:pPr>
      <w:r>
        <w:t xml:space="preserve">6.3. As três formas divergentes da mesma referência</w:t>
      </w:r>
    </w:p>
    <w:p>
      <w:r>
        <w:t xml:space="preserve">O documento cita a obra conjunta de 2022 </w:t>
      </w:r>
      <w:r>
        <w:rPr>
          <w:b/>
        </w:rPr>
        <w:t xml:space="preserve">em três formas diferentes</w:t>
      </w:r>
      <w:r>
        <w:t xml:space="preserve">, uma delas malformada: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1035"/>
        <w:gridCol w:w="8035"/>
      </w:tblGrid>
      <w:tr>
        <w:trPr>
          <w:tblHeader/>
        </w:trPr>
        <w:tc>
          <w:tcPr>
            <w:tcW w:w="1035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Nota</w:t>
            </w:r>
          </w:p>
        </w:tc>
        <w:tc>
          <w:tcPr>
            <w:tcW w:w="8035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Forma atual</w:t>
            </w:r>
          </w:p>
        </w:tc>
      </w:tr>
      <w:tr>
        <w:tc>
          <w:tcPr>
            <w:tcW w:w="103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w="803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INSTITUTO IGARAPÉ; FÓRUM BRASILEIRO DE SEGURANÇA PÚBLICA; CENTRO SOBERANIA E CLIMA. </w:t>
            </w:r>
            <w:r>
              <w:rPr>
                <w:i/>
                <w:sz w:val="19"/>
                <w:szCs w:val="19"/>
              </w:rPr>
              <w:t xml:space="preserve">Agenda de Segurança Multidimensional para a Amazônia Brasileira</w:t>
            </w:r>
            <w:r>
              <w:rPr>
                <w:sz w:val="19"/>
                <w:szCs w:val="19"/>
              </w:rPr>
              <w:t xml:space="preserve">. Rio de Janeiro: Instituto Igarapé, jul. 2022. Artigo Estratégico AE57.</w:t>
            </w:r>
          </w:p>
        </w:tc>
      </w:tr>
      <w:tr>
        <w:tc>
          <w:tcPr>
            <w:tcW w:w="103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w="803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INSTITUTO IGARAPÉ, CENTRO SOBERANIA E CLIMA &amp; FÓRUM DE SEGURANÇA PÚBLICA. </w:t>
            </w:r>
            <w:r>
              <w:rPr>
                <w:i/>
                <w:sz w:val="19"/>
                <w:szCs w:val="19"/>
              </w:rPr>
              <w:t xml:space="preserve">Governar para Não Entregar: Uma Agenda de Segurança Multidimensional</w:t>
            </w:r>
            <w:r>
              <w:rPr>
                <w:sz w:val="19"/>
                <w:szCs w:val="19"/>
              </w:rPr>
              <w:t xml:space="preserve">, 2022</w:t>
            </w:r>
          </w:p>
        </w:tc>
      </w:tr>
      <w:tr>
        <w:tc>
          <w:tcPr>
            <w:tcW w:w="103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w="803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INSTITUTO IGARAPÉ, CENTRO SOBERANIA E CLIMA &amp; FÓRUM DE SEGURANÇA PÚBLICA. </w:t>
            </w:r>
            <w:r>
              <w:rPr>
                <w:b/>
                <w:sz w:val="19"/>
                <w:szCs w:val="19"/>
              </w:rPr>
              <w:t xml:space="preserve">, 2022.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sz w:val="19"/>
                <w:szCs w:val="19"/>
              </w:rPr>
              <w:t xml:space="preserve">Governança e Capacidades Institucionais da Segurança Pública na Amazônia</w:t>
            </w:r>
            <w:r>
              <w:rPr>
                <w:sz w:val="19"/>
                <w:szCs w:val="19"/>
              </w:rPr>
              <w:t xml:space="preserve">. 2022.</w:t>
            </w:r>
          </w:p>
        </w:tc>
      </w:tr>
    </w:tbl>
    <w:p>
      <w:pPr>
        <w:pStyle w:val="Tight"/>
      </w:pPr>
    </w:p>
    <w:p>
      <w:r>
        <w:t xml:space="preserve">Problemas: (i) ordem dos autores e separador (";" vs ",  &amp;") variam; (ii) o nome do Fórum aparece completo em 13 e truncado em 34 e 40; (iii) a nota 40 tem uma vírgula e um ano soltos antes do título, e repete "2022" duas vezes; (iv) 13 e 34 podem ser o </w:t>
      </w:r>
      <w:r>
        <w:rPr>
          <w:b/>
        </w:rPr>
        <w:t xml:space="preserve">mesmo documento</w:t>
      </w:r>
      <w:r>
        <w:t xml:space="preserve"> sob títulos diferentes — a verificar pelos dois links.</w:t>
      </w:r>
    </w:p>
    <w:p>
      <w:r>
        <w:t xml:space="preserve">Isso é, ao mesmo tempo, um problema de padronização e um problema de crédito: três formas divergentes da mesma parceria dão a impressão de citação apressada justamente onde a atribuição mais importa.</w:t>
      </w:r>
    </w:p>
    <w:p>
      <w:pPr>
        <w:pStyle w:val="Heading2"/>
      </w:pPr>
      <w:r>
        <w:t xml:space="preserve">6.4. Um argumento a ter pronto</w:t>
      </w:r>
    </w:p>
    <w:p>
      <w:r>
        <w:t xml:space="preserve">Vale registrar para a reunião de sexta: em </w:t>
      </w:r>
      <w:r>
        <w:rPr>
          <w:b/>
        </w:rPr>
        <w:t xml:space="preserve">duas</w:t>
      </w:r>
      <w:r>
        <w:t xml:space="preserve"> das três referências, o S&amp;C é </w:t>
      </w:r>
      <w:r>
        <w:rPr>
          <w:b/>
        </w:rPr>
        <w:t xml:space="preserve">coautor</w:t>
      </w:r>
      <w:r>
        <w:t xml:space="preserve">. Sobreposição com um documento do qual se é coautor não é apropriação — é continuidade, desde que declarada. A recomendação 4.4 (declarar a linhagem em 1.4.1) e o disclaimer da 1.5 cobrem isso de forma explícita, e juntos custam dois parágrafos.</w:t>
      </w:r>
    </w:p>
    <w:p>
      <w:pPr>
        <w:pStyle w:val="Heading1"/>
      </w:pPr>
      <w:r>
        <w:t xml:space="preserve">Prioridade 7 — Escopo das recomendações (seu item de ação)</w:t>
      </w:r>
    </w:p>
    <w:p>
      <w:r>
        <w:t xml:space="preserve">Seu ponto na ata foi priorizar ações de incidência factíveis no curto e médio prazo. Sugiro um critério de triagem em três perguntas, aplicável a cada uma das recomendações dos três eixos:</w:t>
      </w:r>
    </w:p>
    <w:p>
      <w:pPr>
        <w:pStyle w:val="Bullet"/>
      </w:pPr>
      <w:r>
        <w:t xml:space="preserve">1. </w:t>
      </w:r>
      <w:r>
        <w:rPr>
          <w:b/>
        </w:rPr>
        <w:t xml:space="preserve">Tem destinatário nominado?</w:t>
      </w:r>
      <w:r>
        <w:t xml:space="preserve"> (ministério, órgão, colegiado específico — não "o Estado brasileiro")</w:t>
      </w:r>
    </w:p>
    <w:p>
      <w:pPr>
        <w:pStyle w:val="Bullet"/>
      </w:pPr>
      <w:r>
        <w:t xml:space="preserve">2. </w:t>
      </w:r>
      <w:r>
        <w:rPr>
          <w:b/>
        </w:rPr>
        <w:t xml:space="preserve">Tem instrumento identificado?</w:t>
      </w:r>
      <w:r>
        <w:t xml:space="preserve"> (decreto, portaria, ato normativo, item orçamentário, acordo)</w:t>
      </w:r>
    </w:p>
    <w:p>
      <w:pPr>
        <w:pStyle w:val="Bullet"/>
      </w:pPr>
      <w:r>
        <w:t xml:space="preserve">3. </w:t>
      </w:r>
      <w:r>
        <w:rPr>
          <w:b/>
        </w:rPr>
        <w:t xml:space="preserve">Cabe no ciclo 2027–2030?</w:t>
      </w:r>
    </w:p>
    <w:p>
      <w:r>
        <w:t xml:space="preserve">Recomendações que respondem sim às três são pauta de incidência. As que falham na 1 ou na 2 precisam ser especificadas ou rebaixadas a diagnóstico. As que falham só na 3 podem permanecer, marcadas explicitamente como horizonte longo.</w:t>
      </w:r>
    </w:p>
    <w:p>
      <w:r>
        <w:t xml:space="preserve">Essa triagem é rápida de fazer em planilha e produz exatamente o que Mariana pediu no outro item: identificar "o que realmente agrega ao debate". Recomendo fazê-la </w:t>
      </w:r>
      <w:r>
        <w:rPr>
          <w:b/>
        </w:rPr>
        <w:t xml:space="preserve">depois</w:t>
      </w:r>
      <w:r>
        <w:t xml:space="preserve"> das prioridades 1 a 4, porque mexe no conteúdo e não na forma.</w:t>
      </w:r>
    </w:p>
    <w:p>
      <w:pPr>
        <w:pStyle w:val="Heading1"/>
      </w:pPr>
      <w:r>
        <w:t xml:space="preserve">O que fica suspenso ou reordenado pela virada</w:t>
      </w:r>
    </w:p>
    <w:p>
      <w:r>
        <w:t xml:space="preserve">Itens que estavam na fila antes de 23/09 e mudam de status:</w:t>
      </w:r>
    </w:p>
    <w:p>
      <w:r>
        <w:rPr>
          <w:b/>
        </w:rPr>
        <w:t xml:space="preserve">Suspensos até o Bloco 0 fechar</w:t>
      </w:r>
      <w:r>
        <w:t xml:space="preserve"> — não vale trabalhar neles antes:</w:t>
      </w:r>
    </w:p>
    <w:p>
      <w:pPr>
        <w:pStyle w:val="Bullet"/>
      </w:pPr>
      <w:r>
        <w:t xml:space="preserve">• Revisão fina da seção 1.4.1 e dos títulos de 1.4.1 a 1.4.4 (serão reescritos).</w:t>
      </w:r>
    </w:p>
    <w:p>
      <w:pPr>
        <w:pStyle w:val="Bullet"/>
      </w:pPr>
      <w:r>
        <w:t xml:space="preserve">• Resposta aos comentários que discutem a formulação conceitual.</w:t>
      </w:r>
    </w:p>
    <w:p>
      <w:pPr>
        <w:pStyle w:val="Bullet"/>
      </w:pPr>
      <w:r>
        <w:t xml:space="preserve">• A decisão sobre o bloco "Citação para diagramação" das três falas do Webinar 3 — entra junto com a decisão do §285.</w:t>
      </w:r>
    </w:p>
    <w:p>
      <w:r>
        <w:rPr>
          <w:b/>
        </w:rPr>
        <w:t xml:space="preserve">Sobem de prioridade</w:t>
      </w:r>
      <w:r>
        <w:t xml:space="preserve"> — agora são caminho crítico:</w:t>
      </w:r>
    </w:p>
    <w:p>
      <w:pPr>
        <w:pStyle w:val="Bullet"/>
      </w:pPr>
      <w:r>
        <w:t xml:space="preserve">• A contradição art. 142 entre corpo e nota 16 (está na seção de prioridade 3).</w:t>
      </w:r>
    </w:p>
    <w:p>
      <w:pPr>
        <w:pStyle w:val="Bullet"/>
      </w:pPr>
      <w:r>
        <w:t xml:space="preserve">• A conferência de links das 97 notas, que nunca foi feita: com o tema da atribuição em pauta, uma nota com link quebrado vira problema de credibilidade, não só de forma.</w:t>
      </w:r>
    </w:p>
    <w:p>
      <w:pPr>
        <w:pStyle w:val="Bullet"/>
      </w:pPr>
      <w:r>
        <w:t xml:space="preserve">• Os 7 casos de fonte citada duas vezes em formas diferentes — as notas 13/34/40 são o caso mais grave e estão descritas em 6.3.</w:t>
      </w:r>
    </w:p>
    <w:p>
      <w:r>
        <w:rPr>
          <w:b/>
        </w:rPr>
        <w:t xml:space="preserve">Permanecem onde estavam</w:t>
      </w:r>
      <w:r>
        <w:t xml:space="preserve"> — não são afetados:</w:t>
      </w:r>
    </w:p>
    <w:p>
      <w:pPr>
        <w:pStyle w:val="Bullet"/>
      </w:pPr>
      <w:r>
        <w:t xml:space="preserve">• Glossário (ONU, UNASUL, SUS, WRI, IBGE, PNDEB/PNBio) e a decisão sobre negrito.</w:t>
      </w:r>
    </w:p>
    <w:p>
      <w:pPr>
        <w:pStyle w:val="Bullet"/>
      </w:pPr>
      <w:r>
        <w:t xml:space="preserve">• Padronização de títulos acima de 20 palavras e corpos acima de 160 palavras. </w:t>
      </w:r>
      <w:r>
        <w:rPr>
          <w:i/>
        </w:rPr>
        <w:t xml:space="preserve">Atenção: a Recomendação 9 renomeada e o novo parágrafo de 4.7 devem já nascer dentro do padrão.</w:t>
      </w:r>
    </w:p>
    <w:p>
      <w:pPr>
        <w:pStyle w:val="Bullet"/>
      </w:pPr>
      <w:r>
        <w:t xml:space="preserve">• Os 37 espaços duplos, 3 espaços antes de pontuação e 2 faltas de espaço após ponto.</w:t>
      </w:r>
    </w:p>
    <w:p>
      <w:pPr>
        <w:pStyle w:val="Bullet"/>
      </w:pPr>
      <w:r>
        <w:t xml:space="preserve">• As pendências externas (OTCA, e-mail para Ariene, tabela de saneamento de Larissa, Portaria GM/MS 1.925/2023, dados do CMA para a Ágata).</w:t>
      </w:r>
    </w:p>
    <w:p>
      <w:pPr>
        <w:pStyle w:val="Bullet"/>
      </w:pPr>
      <w:r>
        <w:t xml:space="preserve">• As cinco decisões paradas com Mariana, com uma exceção: a de </w:t>
      </w:r>
      <w:r>
        <w:rPr>
          <w:b/>
        </w:rPr>
        <w:t xml:space="preserve">com15 (FFAA / militarização)</w:t>
      </w:r>
      <w:r>
        <w:t xml:space="preserve"> ganha relevância, porque a seção das Forças Armadas entrou na lista de prioridades da equipe.</w:t>
      </w:r>
    </w:p>
    <w:p>
      <w:pPr>
        <w:pStyle w:val="Heading1"/>
      </w:pPr>
      <w:r>
        <w:t xml:space="preserve">Resumo executivo da ordem de execução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1128"/>
        <w:gridCol w:w="3740"/>
        <w:gridCol w:w="1703"/>
        <w:gridCol w:w="2499"/>
      </w:tblGrid>
      <w:tr>
        <w:trPr>
          <w:tblHeader/>
        </w:trPr>
        <w:tc>
          <w:tcPr>
            <w:tcW w:w="1128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Ordem</w:t>
            </w:r>
          </w:p>
        </w:tc>
        <w:tc>
          <w:tcPr>
            <w:tcW w:w="3740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Bloco</w:t>
            </w:r>
          </w:p>
        </w:tc>
        <w:tc>
          <w:tcPr>
            <w:tcW w:w="1703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Esforço</w:t>
            </w:r>
          </w:p>
        </w:tc>
        <w:tc>
          <w:tcPr>
            <w:tcW w:w="2499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Desbloqueia</w:t>
            </w:r>
          </w:p>
        </w:tc>
      </w:tr>
      <w:tr>
        <w:tc>
          <w:tcPr>
            <w:tcW w:w="112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374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Bloco 0 — decisão terminológica</w:t>
            </w:r>
          </w:p>
        </w:tc>
        <w:tc>
          <w:tcPr>
            <w:tcW w:w="170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~30 min de reunião</w:t>
            </w:r>
          </w:p>
        </w:tc>
        <w:tc>
          <w:tcPr>
            <w:tcW w:w="249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tudo o mais</w:t>
            </w:r>
          </w:p>
        </w:tc>
      </w:tr>
      <w:tr>
        <w:tc>
          <w:tcPr>
            <w:tcW w:w="112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374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Conclusão: notas de rodapé faltantes (1.2)</w:t>
            </w:r>
          </w:p>
        </w:tc>
        <w:tc>
          <w:tcPr>
            <w:tcW w:w="170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~1 h</w:t>
            </w:r>
          </w:p>
        </w:tc>
        <w:tc>
          <w:tcPr>
            <w:tcW w:w="249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responde ao ponto central de Mariana</w:t>
            </w:r>
          </w:p>
        </w:tc>
      </w:tr>
      <w:tr>
        <w:tc>
          <w:tcPr>
            <w:tcW w:w="112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374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Conclusão: §667, §659, disclaimer (1.3–1.5)</w:t>
            </w:r>
          </w:p>
        </w:tc>
        <w:tc>
          <w:tcPr>
            <w:tcW w:w="170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~2 h</w:t>
            </w:r>
          </w:p>
        </w:tc>
        <w:tc>
          <w:tcPr>
            <w:tcW w:w="249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112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374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Apresentação: §237 (2.1)</w:t>
            </w:r>
          </w:p>
        </w:tc>
        <w:tc>
          <w:tcPr>
            <w:tcW w:w="170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~10 min</w:t>
            </w:r>
          </w:p>
        </w:tc>
        <w:tc>
          <w:tcPr>
            <w:tcW w:w="249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112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374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Forças Armadas: título de 1.4.4 (3.1)</w:t>
            </w:r>
          </w:p>
        </w:tc>
        <w:tc>
          <w:tcPr>
            <w:tcW w:w="170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~5 min</w:t>
            </w:r>
          </w:p>
        </w:tc>
        <w:tc>
          <w:tcPr>
            <w:tcW w:w="249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112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374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Bases conceituais: 1.4.1 completo + parágrafo de fecho (4.1–4.7)</w:t>
            </w:r>
          </w:p>
        </w:tc>
        <w:tc>
          <w:tcPr>
            <w:tcW w:w="170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~3 h</w:t>
            </w:r>
          </w:p>
        </w:tc>
        <w:tc>
          <w:tcPr>
            <w:tcW w:w="249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é o bloco de escrita real</w:t>
            </w:r>
          </w:p>
        </w:tc>
      </w:tr>
      <w:tr>
        <w:tc>
          <w:tcPr>
            <w:tcW w:w="112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374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Demais 10 ocorrências (Prioridade 5)</w:t>
            </w:r>
          </w:p>
        </w:tc>
        <w:tc>
          <w:tcPr>
            <w:tcW w:w="170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~40 min</w:t>
            </w:r>
          </w:p>
        </w:tc>
        <w:tc>
          <w:tcPr>
            <w:tcW w:w="249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112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374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Crédito ao Igarapé no mercúrio + notas 13/34/40 (6.2–6.3)</w:t>
            </w:r>
          </w:p>
        </w:tc>
        <w:tc>
          <w:tcPr>
            <w:tcW w:w="170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~1 h</w:t>
            </w:r>
          </w:p>
        </w:tc>
        <w:tc>
          <w:tcPr>
            <w:tcW w:w="249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fecha o risco reputacional</w:t>
            </w:r>
          </w:p>
        </w:tc>
      </w:tr>
      <w:tr>
        <w:tc>
          <w:tcPr>
            <w:tcW w:w="112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374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Triagem de escopo das recomendações (7)</w:t>
            </w:r>
          </w:p>
        </w:tc>
        <w:tc>
          <w:tcPr>
            <w:tcW w:w="170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trabalho de equipe</w:t>
            </w:r>
          </w:p>
        </w:tc>
        <w:tc>
          <w:tcPr>
            <w:tcW w:w="249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Tight"/>
      </w:pPr>
    </w:p>
    <w:p>
      <w:r>
        <w:t xml:space="preserve">As etapas 2 a 5 somam cerca de três horas e cobrem as </w:t>
      </w:r>
      <w:r>
        <w:rPr>
          <w:b/>
        </w:rPr>
        <w:t xml:space="preserve">três prioridades que a equipe definiu</w:t>
      </w:r>
      <w:r>
        <w:t xml:space="preserve">. É o que dá para levar pronto à reunião de sexta.</w:t>
      </w:r>
    </w:p>
    <w:sectPr>
      <w:pgSz w:w="11906" w:h="16838"/>
      <w:pgMar w:top="1418" w:right="1418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pt-BR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  <w:qFormat/>
  </w:style>
  <w:style w:type="paragraph" w:styleId="TitleX">
    <w:name w:val="TitleX"/>
    <w:basedOn w:val="Normal"/>
    <w:pPr>
      <w:spacing w:after="60"/>
      <w:jc w:val="left"/>
    </w:pPr>
    <w:rPr>
      <w:b/>
      <w:sz w:val="38"/>
      <w:szCs w:val="38"/>
      <w:color w:val="1F3864"/>
    </w:rPr>
  </w:style>
  <w:style w:type="paragraph" w:styleId="SubtitleX">
    <w:name w:val="SubtitleX"/>
    <w:basedOn w:val="Normal"/>
    <w:pPr>
      <w:spacing w:after="280"/>
      <w:jc w:val="left"/>
    </w:pPr>
    <w:rPr>
      <w:color w:val="595959"/>
      <w:sz w:val="22"/>
      <w:szCs w:val="22"/>
    </w:rPr>
  </w:style>
  <w:style w:type="paragraph" w:styleId="Cell">
    <w:name w:val="Cell"/>
    <w:basedOn w:val="Normal"/>
    <w:pPr>
      <w:spacing w:after="40" w:line="240" w:lineRule="auto"/>
      <w:jc w:val="left"/>
    </w:pPr>
    <w:rPr>
      <w:sz w:val="19"/>
      <w:szCs w:val="19"/>
    </w:rPr>
  </w:style>
  <w:style w:type="paragraph" w:styleId="Tight">
    <w:name w:val="Tight"/>
    <w:basedOn w:val="Normal"/>
    <w:pPr>
      <w:spacing w:after="0" w:line="120" w:lineRule="auto"/>
    </w:pPr>
  </w:style>
  <w:style w:type="paragraph" w:styleId="Bullet">
    <w:name w:val="Bullet"/>
    <w:basedOn w:val="Normal"/>
    <w:pPr>
      <w:spacing w:after="60"/>
      <w:ind w:left="340" w:hanging="170"/>
      <w:jc w:val="left"/>
    </w:pPr>
  </w:style>
  <w:style w:type="paragraph" w:styleId="Heading1">
    <w:name w:val="heading 1"/>
    <w:basedOn w:val="Normal"/>
    <w:next w:val="Normal"/>
    <w:qFormat/>
    <w:pPr>
      <w:spacing w:before="340" w:after="160"/>
      <w:jc w:val="left"/>
      <w:outlineLvl w:val="0"/>
    </w:pPr>
    <w:rPr>
      <w:b/>
      <w:sz w:val="30"/>
      <w:szCs w:val="30"/>
      <w:color w:val="1F3864"/>
    </w:rPr>
  </w:style>
  <w:style w:type="paragraph" w:styleId="Heading2">
    <w:name w:val="heading 2"/>
    <w:basedOn w:val="Normal"/>
    <w:next w:val="Normal"/>
    <w:qFormat/>
    <w:pPr>
      <w:spacing w:before="280" w:after="140"/>
      <w:jc w:val="left"/>
      <w:outlineLvl w:val="1"/>
    </w:pPr>
    <w:rPr>
      <w:b/>
      <w:sz w:val="26"/>
      <w:szCs w:val="26"/>
      <w:color w:val="1F3864"/>
    </w:rPr>
  </w:style>
  <w:style w:type="paragraph" w:styleId="Heading3">
    <w:name w:val="heading 3"/>
    <w:basedOn w:val="Normal"/>
    <w:next w:val="Normal"/>
    <w:qFormat/>
    <w:pPr>
      <w:spacing w:before="240" w:after="120"/>
      <w:jc w:val="left"/>
      <w:outlineLvl w:val="2"/>
    </w:pPr>
    <w:rPr>
      <w:b/>
      <w:sz w:val="23"/>
      <w:szCs w:val="23"/>
      <w:color w:val="2E5496"/>
    </w:rPr>
  </w:style>
  <w:style w:type="paragraph" w:styleId="Heading4">
    <w:name w:val="heading 4"/>
    <w:basedOn w:val="Normal"/>
    <w:next w:val="Normal"/>
    <w:qFormat/>
    <w:pPr>
      <w:spacing w:before="200" w:after="100"/>
      <w:jc w:val="left"/>
      <w:outlineLvl w:val="3"/>
    </w:pPr>
    <w:rPr>
      <w:b/>
      <w:i/>
      <w:sz w:val="22"/>
      <w:szCs w:val="22"/>
      <w:color w:val="2E549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