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X"/>
      </w:pPr>
      <w:r>
        <w:t xml:space="preserve"> Análise crítica da estrutura da Agenda</w:t>
      </w:r>
    </w:p>
    <w:p>
      <w:pPr>
        <w:pStyle w:val="SubtitleX"/>
      </w:pPr>
      <w:r>
        <w:t xml:space="preserve"> O que se sustenta, o que um revisor externo vai questionar, e o que corrigir antes de enviar</w:t>
      </w:r>
    </w:p>
    <w:p>
      <w:pPr>
        <w:pStyle w:val="Heading1"/>
      </w:pPr>
      <w:r>
        <w:t xml:space="preserve">1. Veredito</w:t>
      </w:r>
    </w:p>
    <w:p>
      <w:r>
        <w:rPr>
          <w:b/>
        </w:rPr>
        <w:t xml:space="preserve">A arquitetura de três eixos se sustenta.</w:t>
      </w:r>
      <w:r>
        <w:t xml:space="preserve"> Os eixos têm extensões quase idênticas (4.797, 4.394 e 4.389 palavras), cada um abre com um ensaio de contexto, segue para um diagnóstico em lacunas e fecha em recomendações, e em dois dos três a correspondência entre lacuna e recomendação é exata. Isso é resultado de trabalho, não de acaso, e não deve ser desfeito.</w:t>
      </w:r>
    </w:p>
    <w:p>
      <w:r>
        <w:t xml:space="preserve">Os problemas não estão na arquitetura. Estão em três lugares:</w:t>
      </w:r>
    </w:p>
    <w:p>
      <w:pPr>
        <w:pStyle w:val="Bullet"/>
      </w:pPr>
      <w:r>
        <w:t xml:space="preserve">• </w:t>
      </w:r>
      <w:r>
        <w:rPr>
          <w:b/>
        </w:rPr>
        <w:t xml:space="preserve">Na contabilidade do Eixo 1</w:t>
      </w:r>
      <w:r>
        <w:t xml:space="preserve">, cuja numeração das recomendações não corresponde à das lacunas — e é o primeiro eixo que o leitor encontra.</w:t>
      </w:r>
    </w:p>
    <w:p>
      <w:pPr>
        <w:pStyle w:val="Bullet"/>
      </w:pPr>
      <w:r>
        <w:t xml:space="preserve">• </w:t>
      </w:r>
      <w:r>
        <w:rPr>
          <w:b/>
        </w:rPr>
        <w:t xml:space="preserve">No conjunto formado pelas seções 1, 2 e 3</w:t>
      </w:r>
      <w:r>
        <w:t xml:space="preserve">, que hoje consome 34% do documento antes da primeira lacuna e em que três problemas se acumulam: uma subseção que desequilibra a seção 1, duas seções que disputam o mesmo objeto, e a mesma história institucional contada duas ou três vezes.</w:t>
      </w:r>
    </w:p>
    <w:p>
      <w:pPr>
        <w:pStyle w:val="Bullet"/>
      </w:pPr>
      <w:r>
        <w:t xml:space="preserve">• </w:t>
      </w:r>
      <w:r>
        <w:rPr>
          <w:b/>
        </w:rPr>
        <w:t xml:space="preserve">No Anexo</w:t>
      </w:r>
      <w:r>
        <w:t xml:space="preserve">, que está vazio.</w:t>
      </w:r>
    </w:p>
    <w:p>
      <w:r>
        <w:t xml:space="preserve">Nenhum desses é caro de corrigir. Todos são visíveis em uma leitura atenta.</w:t>
      </w:r>
    </w:p>
    <w:p>
      <w:pPr>
        <w:pStyle w:val="Heading1"/>
      </w:pPr>
      <w:r>
        <w:t xml:space="preserve">2. Os números da estrutura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5764"/>
        <w:gridCol w:w="1653"/>
        <w:gridCol w:w="1653"/>
      </w:tblGrid>
      <w:tr>
        <w:trPr>
          <w:tblHeader/>
        </w:trPr>
        <w:tc>
          <w:tcPr>
            <w:tcW w:w="5764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Bloco</w:t>
            </w:r>
          </w:p>
        </w:tc>
        <w:tc>
          <w:tcPr>
            <w:tcW w:w="1653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Palavras</w:t>
            </w:r>
          </w:p>
        </w:tc>
        <w:tc>
          <w:tcPr>
            <w:tcW w:w="1653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% do corpo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Apresentação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1.137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1 — Construção da Agenda Política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3.370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2 — A Amazônia em Contexto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2.170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9%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3 — A Convergência dos Desafios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1.332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6%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Subtotal antes do primeiro eixo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8.009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34%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1 (abertura 1.152 · diagnóstico 2.110 · recomendações 1.535)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4.797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21%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2 (abertura 1.135 · diagnóstico 1.811 · recomendações 1.448)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4.394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Eixo 3 (abertura 1.041 · diagnóstico 1.719 · recomendações 1.629)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4.389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Conclusão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1.703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7%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Anexo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5764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Total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23.310</w:t>
            </w:r>
          </w:p>
        </w:tc>
        <w:tc>
          <w:tcPr>
            <w:tcW w:w="1653" w:type="dxa"/>
            <w:vAlign w:val="top"/>
          </w:tcPr>
          <w:p>
            <w:pPr>
              <w:pStyle w:val="Cell"/>
            </w:pPr>
            <w:r>
              <w:t/>
            </w:r>
          </w:p>
        </w:tc>
      </w:tr>
    </w:tbl>
    <w:p>
      <w:pPr>
        <w:pStyle w:val="Tight"/>
      </w:pPr>
    </w:p>
    <w:p>
      <w:r>
        <w:t xml:space="preserve">Dentro da seção 1: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6712"/>
        <w:gridCol w:w="2358"/>
      </w:tblGrid>
      <w:tr>
        <w:trPr>
          <w:tblHeader/>
        </w:trPr>
        <w:tc>
          <w:tcPr>
            <w:tcW w:w="6712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Subseção</w:t>
            </w:r>
          </w:p>
        </w:tc>
        <w:tc>
          <w:tcPr>
            <w:tcW w:w="235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Palavras</w:t>
            </w:r>
          </w:p>
        </w:tc>
      </w:tr>
      <w:tr>
        <w:tc>
          <w:tcPr>
            <w:tcW w:w="67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1.1 Espaços de diálogo</w:t>
            </w:r>
          </w:p>
        </w:tc>
        <w:tc>
          <w:tcPr>
            <w:tcW w:w="23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652</w:t>
            </w:r>
          </w:p>
        </w:tc>
      </w:tr>
      <w:tr>
        <w:tc>
          <w:tcPr>
            <w:tcW w:w="67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1.2 Eixos temáticos</w:t>
            </w:r>
          </w:p>
        </w:tc>
        <w:tc>
          <w:tcPr>
            <w:tcW w:w="23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370</w:t>
            </w:r>
          </w:p>
        </w:tc>
      </w:tr>
      <w:tr>
        <w:tc>
          <w:tcPr>
            <w:tcW w:w="67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1.3 Ciclos de análise</w:t>
            </w:r>
          </w:p>
        </w:tc>
        <w:tc>
          <w:tcPr>
            <w:tcW w:w="23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123</w:t>
            </w:r>
          </w:p>
        </w:tc>
      </w:tr>
      <w:tr>
        <w:tc>
          <w:tcPr>
            <w:tcW w:w="67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1.4.1 Múltiplas dimensões</w:t>
            </w:r>
          </w:p>
        </w:tc>
        <w:tc>
          <w:tcPr>
            <w:tcW w:w="23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238</w:t>
            </w:r>
          </w:p>
        </w:tc>
      </w:tr>
      <w:tr>
        <w:tc>
          <w:tcPr>
            <w:tcW w:w="67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1.4.2 Soberania</w:t>
            </w:r>
          </w:p>
        </w:tc>
        <w:tc>
          <w:tcPr>
            <w:tcW w:w="23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w="6712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1.4.3 Sustentabilidade</w:t>
            </w:r>
          </w:p>
        </w:tc>
        <w:tc>
          <w:tcPr>
            <w:tcW w:w="235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294</w:t>
            </w:r>
          </w:p>
        </w:tc>
      </w:tr>
      <w:tr>
        <w:tc>
          <w:tcPr>
            <w:tcW w:w="6712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1.4.4 Atuação das Forças Armadas</w:t>
            </w:r>
          </w:p>
        </w:tc>
        <w:tc>
          <w:tcPr>
            <w:tcW w:w="2358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1.301</w:t>
            </w:r>
          </w:p>
        </w:tc>
      </w:tr>
    </w:tbl>
    <w:p>
      <w:pPr>
        <w:pStyle w:val="Tight"/>
      </w:pPr>
    </w:p>
    <w:p>
      <w:r>
        <w:t xml:space="preserve">Um revisor que olhe só essa segunda tabela conclui, antes de ler uma linha, que a seção de bases conceituais é, na verdade, um ensaio sobre Forças Armadas com três conceitos curtos na frente.</w:t>
      </w:r>
    </w:p>
    <w:p>
      <w:pPr>
        <w:pStyle w:val="Heading1"/>
      </w:pPr>
      <w:r>
        <w:t xml:space="preserve">3. Falhas estruturais</w:t>
      </w:r>
    </w:p>
    <w:p>
      <w:pPr>
        <w:pStyle w:val="Heading2"/>
      </w:pPr>
      <w:r>
        <w:t xml:space="preserve">3.1. O Anexo está vazio</w:t>
      </w:r>
    </w:p>
    <w:p>
      <w:r>
        <w:t xml:space="preserve">"6. Anexo - Tabela Síntese" é o último parágrafo do documento. Abaixo dele não há nada — verifiquei a estrutura do arquivo, e a única tabela existente em todo o documento é a lista de siglas. O sumário, no entanto, anuncia o anexo na página 70.</w:t>
      </w:r>
    </w:p>
    <w:p>
      <w:r>
        <w:t xml:space="preserve">É a primeira coisa que qualquer leitor externo vai notar, porque o sumário o promete e o índice leva a uma página em branco. E é a falha mais barata de corrigir: a tabela síntese se monta a partir do que já existe — 37 linhas com lacuna, recomendação, órgão responsável e instrumento.</w:t>
      </w:r>
    </w:p>
    <w:p>
      <w:r>
        <w:t xml:space="preserve">Se não houver tempo de montá-la, a alternativa é remover a entrada do sumário. O que não se pode é enviar com a promessa e sem a entrega.</w:t>
      </w:r>
    </w:p>
    <w:p>
      <w:pPr>
        <w:pStyle w:val="Heading2"/>
      </w:pPr>
      <w:r>
        <w:t xml:space="preserve">3.2. A numeração das recomendações do Eixo 1 não corresponde à das lacunas</w:t>
      </w:r>
    </w:p>
    <w:p>
      <w:r>
        <w:t xml:space="preserve">Este é o achado mais consequente da análise.</w:t>
      </w:r>
    </w:p>
    <w:p>
      <w:r>
        <w:t xml:space="preserve">O texto de abertura das recomendações (§349) diz: </w:t>
      </w:r>
      <w:r>
        <w:rPr>
          <w:i/>
        </w:rPr>
        <w:t xml:space="preserve">"Com base nas lacunas identificadas anteriormente, apresentam-se, a seguir, as </w:t>
      </w:r>
      <w:r>
        <w:rPr>
          <w:i/>
        </w:rPr>
        <w:t xml:space="preserve">respectivas</w:t>
      </w:r>
      <w:r>
        <w:rPr>
          <w:i/>
        </w:rPr>
        <w:t xml:space="preserve"> recomendações"</w:t>
      </w:r>
      <w:r>
        <w:t xml:space="preserve">. E a Apresentação promete: </w:t>
      </w:r>
      <w:r>
        <w:rPr>
          <w:i/>
        </w:rPr>
        <w:t xml:space="preserve">"Cada eixo apresenta as lacunas identificadas e, para cada uma, a recomendação correspondente"</w:t>
      </w:r>
      <w:r>
        <w:t xml:space="preserve">. Um leitor entende, corretamente, que Lacuna 1 se resolve com Recomendação 1.</w:t>
      </w:r>
    </w:p>
    <w:p>
      <w:r>
        <w:t xml:space="preserve">Nos Eixos 2 e 3 isso é verdade — a correspondência é 1:1, em ordem, nas 24 duplas. </w:t>
      </w:r>
      <w:r>
        <w:rPr>
          <w:b/>
        </w:rPr>
        <w:t xml:space="preserve">No Eixo 1, não.</w:t>
      </w:r>
      <w:r>
        <w:t xml:space="preserve"> O mapa real é este: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4611"/>
        <w:gridCol w:w="4459"/>
      </w:tblGrid>
      <w:tr>
        <w:trPr>
          <w:tblHeader/>
        </w:trPr>
        <w:tc>
          <w:tcPr>
            <w:tcW w:w="4611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Lacuna do Eixo 1</w:t>
            </w:r>
          </w:p>
        </w:tc>
        <w:tc>
          <w:tcPr>
            <w:tcW w:w="4459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Recomendação que a responde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L1 — documento estratégico nacional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R9</w:t>
            </w:r>
            <w:r>
              <w:rPr>
                <w:sz w:val="19"/>
                <w:szCs w:val="19"/>
              </w:rPr>
              <w:t xml:space="preserve"> — Política Nacional de Segurança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L2 — instância de coordenação territorial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R10</w:t>
            </w:r>
            <w:r>
              <w:rPr>
                <w:sz w:val="19"/>
                <w:szCs w:val="19"/>
              </w:rPr>
              <w:t xml:space="preserve"> — instituição da instância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L3 — desarticulação da inteligência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R1</w:t>
            </w:r>
            <w:r>
              <w:rPr>
                <w:sz w:val="19"/>
                <w:szCs w:val="19"/>
              </w:rPr>
              <w:t xml:space="preserve"> — sistema integrado com base no Censipam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L4 — ausência de Ibama e ICMBio no PPIF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R5</w:t>
            </w:r>
            <w:r>
              <w:rPr>
                <w:sz w:val="19"/>
                <w:szCs w:val="19"/>
              </w:rPr>
              <w:t xml:space="preserve"> — inclusão de Ibama e ICMBio no PPIF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L5 — descoordenação PPCDAm / AMAS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R3</w:t>
            </w:r>
            <w:r>
              <w:rPr>
                <w:sz w:val="19"/>
                <w:szCs w:val="19"/>
              </w:rPr>
              <w:t xml:space="preserve"> — alinhamento das diretrizes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L6 — intermitência da Ágata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R2</w:t>
            </w:r>
            <w:r>
              <w:rPr>
                <w:sz w:val="19"/>
                <w:szCs w:val="19"/>
              </w:rPr>
              <w:t xml:space="preserve"> — protocolo permanente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L7 — descontinuidade da cooperação regional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R6</w:t>
            </w:r>
            <w:r>
              <w:rPr>
                <w:sz w:val="19"/>
                <w:szCs w:val="19"/>
              </w:rPr>
              <w:t xml:space="preserve"> — diplomacia pragmática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L8 — assimetria institucional entre países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R8</w:t>
            </w:r>
            <w:r>
              <w:rPr>
                <w:sz w:val="19"/>
                <w:szCs w:val="19"/>
              </w:rPr>
              <w:t xml:space="preserve"> — cooperação por função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L9 — ausência de foro regional de defesa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R7</w:t>
            </w:r>
            <w:r>
              <w:rPr>
                <w:sz w:val="19"/>
                <w:szCs w:val="19"/>
              </w:rPr>
              <w:t xml:space="preserve"> — espaço regular de diálogo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L10 — insegurança jurídica do agente na fronteira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R4</w:t>
            </w:r>
            <w:r>
              <w:rPr>
                <w:sz w:val="19"/>
                <w:szCs w:val="19"/>
              </w:rPr>
              <w:t xml:space="preserve"> — marcos de cooperação transfronteiriça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L11 — proteção de servidores e denunciantes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R11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L12 — vínculo CCPI / órgãos ambientais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R12</w:t>
            </w:r>
          </w:p>
        </w:tc>
      </w:tr>
      <w:tr>
        <w:tc>
          <w:tcPr>
            <w:tcW w:w="461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L13 — Forças Armadas no CCPI</w:t>
            </w:r>
          </w:p>
        </w:tc>
        <w:tc>
          <w:tcPr>
            <w:tcW w:w="445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R13</w:t>
            </w:r>
          </w:p>
        </w:tc>
      </w:tr>
    </w:tbl>
    <w:p>
      <w:pPr>
        <w:pStyle w:val="Tight"/>
      </w:pPr>
    </w:p>
    <w:p>
      <w:r>
        <w:t xml:space="preserve">Todas as treze lacunas têm resposta — não há órfãs de nenhum dos lados. O problema é só de numeração, e ele é traiçoeiro: quem aplicar a regra que os Eixos 2 e 3 ensinam vai emparelhar a Lacuna 1 (documento estratégico nacional) com a Recomendação 1 (inteligência via Censipam), que não têm relação. As três últimas duplas coincidem — sinal de que 11, 12 e 13 foram acrescentadas depois, já em pares, enquanto as dez primeiras foram escritas em momentos diferentes.</w:t>
      </w:r>
    </w:p>
    <w:p>
      <w:r>
        <w:rPr>
          <w:b/>
        </w:rPr>
        <w:t xml:space="preserve">Correção:</w:t>
      </w:r>
      <w:r>
        <w:t xml:space="preserve"> renumerar as recomendações do Eixo 1 na ordem das lacunas. É mecânico, não altera uma palavra de conteúdo, e elimina de vez a pergunta.</w:t>
      </w:r>
    </w:p>
    <w:p>
      <w:pPr>
        <w:pStyle w:val="Heading2"/>
      </w:pPr>
      <w:r>
        <w:t xml:space="preserve">3.3. A numeração reinicia a cada eixo</w:t>
      </w:r>
    </w:p>
    <w:p>
      <w:r>
        <w:t xml:space="preserve">Existem três "Lacuna 1", três "Lacuna 12" e três "Recomendação 12" no documento. Fora do eixo, nenhuma dessas etiquetas identifica nada.</w:t>
      </w:r>
    </w:p>
    <w:p>
      <w:r>
        <w:t xml:space="preserve">Isso não é hipotético: o próprio documento já tropeça nisso. A Conclusão e as aberturas dos eixos precisam escrever "a Lacuna 10 do Eixo 2" para se fazerem entender, e um comentário da equipe registra a necessidade de distinguir uma lacuna de outra "para evitar confusão com a lacuna sobre o tema, presente no eixo 1". Quando o documento circular entre parceiros externos, a primeira pergunta que chega por e-mail vai ser "qual Recomendação 4?".</w:t>
      </w:r>
    </w:p>
    <w:p>
      <w:r>
        <w:rPr>
          <w:b/>
        </w:rPr>
        <w:t xml:space="preserve">Correção sugerida:</w:t>
      </w:r>
      <w:r>
        <w:t xml:space="preserve"> numeração composta — L1.1 a L1.13, L2.1 a L2.12, L3.1 a L3.12, e o mesmo para as recomendações (R1.1, R2.7…). Continua legível dentro do eixo e passa a ser citável fora dele. É também o que torna o Anexo utilizável.</w:t>
      </w:r>
    </w:p>
    <w:p>
      <w:pPr>
        <w:pStyle w:val="Heading2"/>
      </w:pPr>
      <w:r>
        <w:t xml:space="preserve">3.4. A subseção 1.4.4 desequilibra a seção 1</w:t>
      </w:r>
    </w:p>
    <w:p>
      <w:r>
        <w:t xml:space="preserve">Três problemas se somam no mesmo ponto:</w:t>
      </w:r>
    </w:p>
    <w:p>
      <w:r>
        <w:rPr>
          <w:b/>
        </w:rPr>
        <w:t xml:space="preserve">É maior que tudo o que a antecede.</w:t>
      </w:r>
      <w:r>
        <w:t xml:space="preserve"> 1.301 palavras, contra 718 das três bases conceituais somadas e 1.152 da abertura inteira do Eixo 1.</w:t>
      </w:r>
    </w:p>
    <w:p>
      <w:r>
        <w:rPr>
          <w:b/>
        </w:rPr>
        <w:t xml:space="preserve">Não é uma base conceitual.</w:t>
      </w:r>
      <w:r>
        <w:t xml:space="preserve"> 1.4.1, 1.4.2 e 1.4.3 definem conceitos — dimensões da segurança, soberania, sustentabilidade. 1.4.4 descreve um ator institucional, seu mandato constitucional, sua base legal e as capacidades de cada Força. É outra categoria de conteúdo sob o mesmo nível hierárquico.</w:t>
      </w:r>
    </w:p>
    <w:p>
      <w:r>
        <w:rPr>
          <w:b/>
        </w:rPr>
        <w:t xml:space="preserve">Duplica o Eixo 1.</w:t>
      </w:r>
      <w:r>
        <w:t xml:space="preserve"> A abertura do Eixo 1 volta às Forças Armadas, à Operação Ágata e ao equilíbrio entre meios militares e civis. Hoje o assunto está partido em dois lugares, e o pedaço maior está na seção metodológica.</w:t>
      </w:r>
    </w:p>
    <w:p>
      <w:r>
        <w:rPr>
          <w:b/>
        </w:rPr>
        <w:t xml:space="preserve">A pergunta que vem de fora:</w:t>
      </w:r>
      <w:r>
        <w:t xml:space="preserve"> "Por que o papel das Forças Armadas é tratado na seção sobre como a Agenda foi construída, e em maior extensão do que no eixo dedicado a defesa?" Ela é difícil de responder sem admitir que a seção cresceu por acumulação.</w:t>
      </w:r>
    </w:p>
    <w:p>
      <w:r>
        <w:t xml:space="preserve">Há duas saídas, e elas custam coisas diferentes:</w:t>
      </w:r>
    </w:p>
    <w:p>
      <w:pPr>
        <w:pStyle w:val="Bullet"/>
      </w:pPr>
      <w:r>
        <w:t xml:space="preserve">• </w:t>
      </w:r>
      <w:r>
        <w:rPr>
          <w:b/>
        </w:rPr>
        <w:t xml:space="preserve">Mínima:</w:t>
      </w:r>
      <w:r>
        <w:t xml:space="preserve"> manter onde está, ajustar a chamada da seção 1.4 para anunciar que ela trata de conceitos </w:t>
      </w:r>
      <w:r>
        <w:rPr>
          <w:b/>
        </w:rPr>
        <w:t xml:space="preserve">e</w:t>
      </w:r>
      <w:r>
        <w:t xml:space="preserve"> da posição do Centro sobre as Forças Armadas, e mover para o Eixo 1 os dois parágrafos mais operacionais (o contraste de meios e a cooperação regional em defesa), reduzindo 1.4.4 a algo próximo de 600 palavras.</w:t>
      </w:r>
    </w:p>
    <w:p>
      <w:pPr>
        <w:pStyle w:val="Bullet"/>
      </w:pPr>
      <w:r>
        <w:t xml:space="preserve">• </w:t>
      </w:r>
      <w:r>
        <w:rPr>
          <w:b/>
        </w:rPr>
        <w:t xml:space="preserve">Estrutural:</w:t>
      </w:r>
      <w:r>
        <w:t xml:space="preserve"> transformar 1.4 em seção própria — "2. Bases Conceituais" — deslocando as demais. Resolve a categoria e a proporção de uma vez, mas renumera o documento inteiro.</w:t>
      </w:r>
    </w:p>
    <w:p>
      <w:pPr>
        <w:pStyle w:val="Heading2"/>
      </w:pPr>
      <w:r>
        <w:t xml:space="preserve">3.5. As seções 2 e 3 disputam o mesmo objeto</w:t>
      </w:r>
    </w:p>
    <w:p>
      <w:r>
        <w:t xml:space="preserve">O título da seção 2 é "A Amazônia em Contexto: </w:t>
      </w:r>
      <w:r>
        <w:rPr>
          <w:b/>
        </w:rPr>
        <w:t xml:space="preserve">Trajetória de Políticas e Desafios Atuais</w:t>
      </w:r>
      <w:r>
        <w:t xml:space="preserve">". O da seção 3 é "A Convergência dos </w:t>
      </w:r>
      <w:r>
        <w:rPr>
          <w:b/>
        </w:rPr>
        <w:t xml:space="preserve">Desafios</w:t>
      </w:r>
      <w:r>
        <w:t xml:space="preserve"> na Amazônia".</w:t>
      </w:r>
    </w:p>
    <w:p>
      <w:r>
        <w:t xml:space="preserve">Na prática, a seção 2 é quase toda trajetória histórica — o parágrafo de abertura enumera desafios em duas linhas e o resto são as duas trajetórias institucionais e a cooperação regional. Quem entrega os desafios é a seção 3, com suas três camadas. O título da seção 2 promete o que a seção 3 faz.</w:t>
      </w:r>
    </w:p>
    <w:p>
      <w:r>
        <w:t xml:space="preserve">Some-se a isso dois defeitos de forma:</w:t>
      </w:r>
    </w:p>
    <w:p>
      <w:r>
        <w:rPr>
          <w:b/>
        </w:rPr>
        <w:t xml:space="preserve">A seção 2 tem uma única subseção.</w:t>
      </w:r>
      <w:r>
        <w:t xml:space="preserve"> Só existe "2.1. Histórico de Políticas Públicas na Amazônia". Uma seção com uma subseção única é sempre sinal de que falta uma segunda ou de que a subseção é a própria seção. E aqui falta mesmo: o bloco sobre cooperação regional pan-amazônica — ECO-92, TCA, OTCA, Pacto de Letícia, Declaração de Belém, CESPIT, CCPI, com cerca de 1.100 palavras — está </w:t>
      </w:r>
      <w:r>
        <w:rPr>
          <w:b/>
        </w:rPr>
        <w:t xml:space="preserve">sem título</w:t>
      </w:r>
      <w:r>
        <w:t xml:space="preserve">, correndo por baixo do rótulo "Histórico de Políticas Públicas na Amazônia", que anuncia política nacional.</w:t>
      </w:r>
    </w:p>
    <w:p>
      <w:r>
        <w:rPr>
          <w:b/>
        </w:rPr>
        <w:t xml:space="preserve">As três camadas da seção 3 não são títulos.</w:t>
      </w:r>
      <w:r>
        <w:t xml:space="preserve"> "I) A expansão do crime organizado transnacional", "II) A fragilidade institucional..." e "III) A Mudança Climática..." são parágrafos comuns com numeração romana. Não aparecem no sumário, não podem ser referenciadas e destoam da numeração decimal usada em todo o resto.</w:t>
      </w:r>
    </w:p>
    <w:p>
      <w:r>
        <w:rPr>
          <w:b/>
        </w:rPr>
        <w:t xml:space="preserve">Correção sugerida:</w:t>
      </w:r>
    </w:p>
    <w:p>
      <w:pPr>
        <w:pStyle w:val="Bullet"/>
      </w:pPr>
      <w:r>
        <w:t xml:space="preserve">• Retitular a seção 2 como "A Amazônia em Contexto: Trajetória das Políticas Públicas", devolvendo os desafios à seção 3.</w:t>
      </w:r>
    </w:p>
    <w:p>
      <w:pPr>
        <w:pStyle w:val="Bullet"/>
      </w:pPr>
      <w:r>
        <w:t xml:space="preserve">• Criar "2.1. Trajetória nacional" e "2.2. Trajetória da cooperação regional", o que resolve a subseção única e dá título ao bloco órfão.</w:t>
      </w:r>
    </w:p>
    <w:p>
      <w:pPr>
        <w:pStyle w:val="Bullet"/>
      </w:pPr>
      <w:r>
        <w:t xml:space="preserve">• Converter I, II e III em 3.1, 3.2 e 3.3.</w:t>
      </w:r>
    </w:p>
    <w:p>
      <w:pPr>
        <w:pStyle w:val="Heading2"/>
      </w:pPr>
      <w:r>
        <w:t xml:space="preserve">3.6. A mesma história institucional é contada duas ou três vezes</w:t>
      </w:r>
    </w:p>
    <w:p>
      <w:r>
        <w:t xml:space="preserve">Esta é a falha que a ferramenta antiplágio e o revisor atento vão encontrar juntos, porque o sintoma é o mesmo: repetição.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615"/>
        <w:gridCol w:w="5455"/>
      </w:tblGrid>
      <w:tr>
        <w:trPr>
          <w:tblHeader/>
        </w:trPr>
        <w:tc>
          <w:tcPr>
            <w:tcW w:w="3615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Assunto</w:t>
            </w:r>
          </w:p>
        </w:tc>
        <w:tc>
          <w:tcPr>
            <w:tcW w:w="5455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Onde é narrado</w:t>
            </w:r>
          </w:p>
        </w:tc>
      </w:tr>
      <w:tr>
        <w:tc>
          <w:tcPr>
            <w:tcW w:w="361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TCA 1978 → OTCA 1998 → Secretaria em Brasília</w:t>
            </w:r>
          </w:p>
        </w:tc>
        <w:tc>
          <w:tcPr>
            <w:tcW w:w="545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2 (§247), abertura do Eixo 1 (§296), abertura do Eixo 3 (§496–497) — </w:t>
            </w:r>
            <w:r>
              <w:rPr>
                <w:b/>
                <w:sz w:val="19"/>
                <w:szCs w:val="19"/>
              </w:rPr>
              <w:t xml:space="preserve">três vezes</w:t>
            </w:r>
          </w:p>
        </w:tc>
      </w:tr>
      <w:tr>
        <w:tc>
          <w:tcPr>
            <w:tcW w:w="361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PPIF 2016 e Plano AMAS 2023</w:t>
            </w:r>
          </w:p>
        </w:tc>
        <w:tc>
          <w:tcPr>
            <w:tcW w:w="545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2.1 (§243) e abertura do Eixo 1 (§290–291) — </w:t>
            </w:r>
            <w:r>
              <w:rPr>
                <w:b/>
                <w:sz w:val="19"/>
                <w:szCs w:val="19"/>
              </w:rPr>
              <w:t xml:space="preserve">duas vezes</w:t>
            </w:r>
          </w:p>
        </w:tc>
      </w:tr>
      <w:tr>
        <w:tc>
          <w:tcPr>
            <w:tcW w:w="361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Declaração de Belém, CESPIT e CCPI</w:t>
            </w:r>
          </w:p>
        </w:tc>
        <w:tc>
          <w:tcPr>
            <w:tcW w:w="545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2 (§248, §256–258) e abertura do Eixo 1 (§296) — </w:t>
            </w:r>
            <w:r>
              <w:rPr>
                <w:b/>
                <w:sz w:val="19"/>
                <w:szCs w:val="19"/>
              </w:rPr>
              <w:t xml:space="preserve">duas vezes</w:t>
            </w:r>
          </w:p>
        </w:tc>
      </w:tr>
      <w:tr>
        <w:tc>
          <w:tcPr>
            <w:tcW w:w="361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Conselho da Amazônia Legal e sua substituição em 2023</w:t>
            </w:r>
          </w:p>
        </w:tc>
        <w:tc>
          <w:tcPr>
            <w:tcW w:w="545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abertura do Eixo 3 (§498) e Lacuna 2 do Eixo 1 (§307–309) — </w:t>
            </w:r>
            <w:r>
              <w:rPr>
                <w:b/>
                <w:sz w:val="19"/>
                <w:szCs w:val="19"/>
              </w:rPr>
              <w:t xml:space="preserve">duas vezes</w:t>
            </w:r>
          </w:p>
        </w:tc>
      </w:tr>
    </w:tbl>
    <w:p>
      <w:pPr>
        <w:pStyle w:val="Tight"/>
      </w:pPr>
    </w:p>
    <w:p>
      <w:r>
        <w:t xml:space="preserve">Vale registrar que parte dessa duplicação </w:t>
      </w:r>
      <w:r>
        <w:rPr>
          <w:b/>
        </w:rPr>
        <w:t xml:space="preserve">foi criada na versão de ontem</w:t>
      </w:r>
      <w:r>
        <w:t xml:space="preserve">: os parágrafos novos da seção 2.1, que narram PPIF e AMAS, repetem o que a abertura do Eixo 1 já fazia. A intenção era boa — completar a trajetória de defesa —, mas o efeito foi somar uma terceira camada de repetição.</w:t>
      </w:r>
    </w:p>
    <w:p>
      <w:r>
        <w:t xml:space="preserve">O caso do Conselho da Amazônia Legal é o mais fácil de resolver, porque o próprio texto já reconhece a duplicação: o §498 diz "</w:t>
      </w:r>
      <w:r>
        <w:rPr>
          <w:i/>
        </w:rPr>
        <w:t xml:space="preserve">O tema é diagnosticado no Eixo 1 e, aqui, interessa registrar que...</w:t>
      </w:r>
      <w:r>
        <w:t xml:space="preserve">". Esse é o modelo a aplicar aos demais: </w:t>
      </w:r>
      <w:r>
        <w:rPr>
          <w:b/>
        </w:rPr>
        <w:t xml:space="preserve">narrar uma vez, remeter nas outras.</w:t>
      </w:r>
    </w:p>
    <w:p>
      <w:r>
        <w:rPr>
          <w:b/>
        </w:rPr>
        <w:t xml:space="preserve">Regra sugerida:</w:t>
      </w:r>
      <w:r>
        <w:t xml:space="preserve"> a seção 2 é o único lugar onde a cronologia institucional é contada. As aberturas dos eixos passam a assumir essa narrativa e a acrescentar apenas a leitura própria do eixo. Aplicada aos quatro casos da tabela, essa regra economiza entre 600 e 900 palavras e elimina o sintoma que a reunião de ontem identificou.</w:t>
      </w:r>
    </w:p>
    <w:p>
      <w:pPr>
        <w:pStyle w:val="Heading2"/>
      </w:pPr>
      <w:r>
        <w:t xml:space="preserve">3.7. A interdependência entre os eixos é afirmada três vezes e nunca operacionalizada</w:t>
      </w:r>
    </w:p>
    <w:p>
      <w:r>
        <w:t xml:space="preserve">O documento sustenta, em pelo menos três pontos, que os eixos são interdependentes — no §190 ("A soberania (Eixo 1) só se realiza plenamente quando sustentada por uma bioeconomia... (Eixo 2)"), no §283 ("recomendações transversais que permeiam os três eixos") e na Conclusão.</w:t>
      </w:r>
    </w:p>
    <w:p>
      <w:r>
        <w:t xml:space="preserve">Mas, em 23.310 palavras, a expressão "Lacuna N do Eixo N" aparece </w:t>
      </w:r>
      <w:r>
        <w:rPr>
          <w:b/>
        </w:rPr>
        <w:t xml:space="preserve">uma vez</w:t>
      </w:r>
      <w:r>
        <w:t xml:space="preserve">, e "Recomendação N do Eixo N", </w:t>
      </w:r>
      <w:r>
        <w:rPr>
          <w:b/>
        </w:rPr>
        <w:t xml:space="preserve">nenhuma</w:t>
      </w:r>
      <w:r>
        <w:t xml:space="preserve">. Não há uma única remissão de uma recomendação para outra.</w:t>
      </w:r>
    </w:p>
    <w:p>
      <w:r>
        <w:t xml:space="preserve">O §283 chega a nomear três recomendações transversais — rastreabilidade do ouro, proteção de territórios indígenas, cooperação via OTCA — sem dizer quais lacunas e recomendações as compõem. É a tese central do documento anunciada e não demonstrada.</w:t>
      </w:r>
    </w:p>
    <w:p>
      <w:r>
        <w:rPr>
          <w:b/>
        </w:rPr>
        <w:t xml:space="preserve">Correção de baixo custo:</w:t>
      </w:r>
      <w:r>
        <w:t xml:space="preserve"> reescrever o §283 nomeando os pares. Por exemplo, a rastreabilidade do ouro atravessa a Recomendação 1 do Eixo 2 (rastreabilidade), a Recomendação 1 do Eixo 1 (inteligência integrada) e a Recomendação 8 do Eixo 3 (condicionamento de benefícios fiscais). Um parágrafo que faça isso para os três casos converte uma afirmação em demonstração — e é exatamente o tipo de coisa que distingue uma agenda de um relatório.</w:t>
      </w:r>
    </w:p>
    <w:p>
      <w:r>
        <w:t xml:space="preserve">Esse parágrafo é, também, o melhor argumento contra a acusação de sobreposição com trabalhos de terceiros: ninguém mais cruzou esses três planos.</w:t>
      </w:r>
    </w:p>
    <w:p>
      <w:pPr>
        <w:pStyle w:val="Heading2"/>
      </w:pPr>
      <w:r>
        <w:t xml:space="preserve">3.8. As siglas vêm antes da Apresentação</w:t>
      </w:r>
    </w:p>
    <w:p>
      <w:r>
        <w:t xml:space="preserve">A ordem atual é: Sumário → Siglas e Acrônimos (59 entradas, cerca de três páginas) → Apresentação → seção 1.</w:t>
      </w:r>
    </w:p>
    <w:p>
      <w:r>
        <w:t xml:space="preserve">O leitor atravessa três páginas de siglas antes da primeira frase de argumento. A convenção, em documentos de incidência, é o oposto: a lista de siglas vai para o fim, como anexo, ou logo antes dele.</w:t>
      </w:r>
    </w:p>
    <w:p>
      <w:r>
        <w:rPr>
          <w:b/>
        </w:rPr>
        <w:t xml:space="preserve">Correção:</w:t>
      </w:r>
      <w:r>
        <w:t xml:space="preserve"> mover "Siglas e Acrônimos" para junto do Anexo. Custa uma operação de recortar e colar e melhora sensivelmente a primeira impressão de quem abre o arquivo.</w:t>
      </w:r>
    </w:p>
    <w:p>
      <w:pPr>
        <w:pStyle w:val="Heading1"/>
      </w:pPr>
      <w:r>
        <w:t xml:space="preserve">4. As lacunas e recomendações são adequadas ao eixo?</w:t>
      </w:r>
    </w:p>
    <w:p>
      <w:r>
        <w:t xml:space="preserve">Na maior parte, sim. Mas há quatro pontos que um revisor questiona.</w:t>
      </w:r>
    </w:p>
    <w:p>
      <w:pPr>
        <w:pStyle w:val="Heading2"/>
      </w:pPr>
      <w:r>
        <w:t xml:space="preserve">4.1. O que está bem, e vale dizer</w:t>
      </w:r>
    </w:p>
    <w:p>
      <w:r>
        <w:t xml:space="preserve">Auditei as 37 recomendações quanto a duas coisas que a Apresentação promete — "indicação dos órgãos envolvidos e dos instrumentos disponíveis":</w:t>
      </w:r>
    </w:p>
    <w:p>
      <w:pPr>
        <w:pStyle w:val="Bullet"/>
      </w:pPr>
      <w:r>
        <w:t xml:space="preserve">• </w:t>
      </w:r>
      <w:r>
        <w:rPr>
          <w:b/>
        </w:rPr>
        <w:t xml:space="preserve">34 das 37</w:t>
      </w:r>
      <w:r>
        <w:t xml:space="preserve"> nomeiam um órgão ou destinatário concreto. As exceções são as Recomendações 2, 9 e 12 do Eixo 2, que descrevem o ato (revogar decreto, regulamentar lei, instituir certificação) sem dizer a quem cabe fazê-lo.</w:t>
      </w:r>
    </w:p>
    <w:p>
      <w:pPr>
        <w:pStyle w:val="Bullet"/>
      </w:pPr>
      <w:r>
        <w:t xml:space="preserve">• </w:t>
      </w:r>
      <w:r>
        <w:rPr>
          <w:b/>
        </w:rPr>
        <w:t xml:space="preserve">34 das 37</w:t>
      </w:r>
      <w:r>
        <w:t xml:space="preserve"> nomeiam um instrumento — decreto, lei, portaria, protocolo, acordo ou rubrica orçamentária. As exceções são as Recomendações 7 e 8 do Eixo 2 e a Recomendação 8 do Eixo 3.</w:t>
      </w:r>
    </w:p>
    <w:p>
      <w:r>
        <w:t xml:space="preserve">Para um documento de incidência, isso é um resultado bom e pouco comum. As seis exceções são correção de meia hora e valem a pena justamente porque o restante estabelece um padrão alto.</w:t>
      </w:r>
    </w:p>
    <w:p>
      <w:pPr>
        <w:pStyle w:val="Heading2"/>
      </w:pPr>
      <w:r>
        <w:t xml:space="preserve">4.2. Um tema diagnosticado que nenhuma recomendação alcança</w:t>
      </w:r>
    </w:p>
    <w:p>
      <w:r>
        <w:t xml:space="preserve">O título da Lacuna 11 do Eixo 1 é "Fragilidade na proteção dos servidores in loco </w:t>
      </w:r>
      <w:r>
        <w:rPr>
          <w:b/>
        </w:rPr>
        <w:t xml:space="preserve">e dos denunciantes</w:t>
      </w:r>
      <w:r>
        <w:t xml:space="preserve"> de atividades ilegais na Amazônia". O corpo desenvolve os dois: </w:t>
      </w:r>
      <w:r>
        <w:rPr>
          <w:i/>
        </w:rPr>
        <w:t xml:space="preserve">"A mesma vulnerabilidade se estende a membros de comunidades que denunciam crimes ambientais e atividades ilegais, sem garantias efetivas de segurança após a denúncia"</w:t>
      </w:r>
      <w:r>
        <w:t xml:space="preserve">, e conclui que </w:t>
      </w:r>
      <w:r>
        <w:rPr>
          <w:i/>
        </w:rPr>
        <w:t xml:space="preserve">"o morador que testemunha um ilícito deixa de denunciá-lo"</w:t>
      </w:r>
      <w:r>
        <w:t xml:space="preserve">.</w:t>
      </w:r>
    </w:p>
    <w:p>
      <w:r>
        <w:t xml:space="preserve">A Recomendação 11 correspondente propõe um "estatuto federal de proteção ao </w:t>
      </w:r>
      <w:r>
        <w:rPr>
          <w:b/>
        </w:rPr>
        <w:t xml:space="preserve">agente de fiscalização ambiental</w:t>
      </w:r>
      <w:r>
        <w:t xml:space="preserve">". O denunciante comunitário fica de fora.</w:t>
      </w:r>
    </w:p>
    <w:p>
      <w:r>
        <w:t xml:space="preserve">Vale registrar que a palavra "denunciantes" aparece em todo o documento </w:t>
      </w:r>
      <w:r>
        <w:rPr>
          <w:b/>
        </w:rPr>
        <w:t xml:space="preserve">apenas no título dessa lacuna</w:t>
      </w:r>
      <w:r>
        <w:t xml:space="preserve">. O diagnóstico é feito e não é respondido.</w:t>
      </w:r>
    </w:p>
    <w:p>
      <w:r>
        <w:t xml:space="preserve">Há uma ironia estrutural aqui: a resposta existe no documento, mas em outro eixo. A Recomendação 4 do Eixo 3 pede a ratificação do Acordo de Escazú, cujo artigo 9º trata precisamente da proteção de quem defende direitos humanos em matéria ambiental. Nada no documento liga as duas.</w:t>
      </w:r>
    </w:p>
    <w:p>
      <w:r>
        <w:rPr>
          <w:b/>
        </w:rPr>
        <w:t xml:space="preserve">Correção:</w:t>
      </w:r>
      <w:r>
        <w:t xml:space="preserve"> ou ampliar o escopo da Recomendação 11 do Eixo 1, ou acrescentar-lhe uma frase remetendo à Recomendação 4 do Eixo 3. A segunda é mais barata e, de quebra, é um dos exemplos de remissão cruzada que o item 3.7 pede.</w:t>
      </w:r>
    </w:p>
    <w:p>
      <w:pPr>
        <w:pStyle w:val="Heading2"/>
      </w:pPr>
      <w:r>
        <w:t xml:space="preserve">4.3. Lacunas cujo eixo não é o mais natural</w:t>
      </w:r>
    </w:p>
    <w:p>
      <w:r>
        <w:t xml:space="preserve">Três casos que um leitor especializado questiona:</w:t>
      </w:r>
    </w:p>
    <w:p>
      <w:r>
        <w:rPr>
          <w:b/>
        </w:rPr>
        <w:t xml:space="preserve">Saúde pública no eixo de bioeconomia.</w:t>
      </w:r>
      <w:r>
        <w:t xml:space="preserve"> A Lacuna 6 e a Recomendação 6 do Eixo 2 tratam de vigilância epidemiológica de populações expostas ao mercúrio — notificação compulsória no SINAN, articulação com o Ministério da Saúde, rede de atenção primária do SUS. É uma recomendação de saúde pública dentro de um eixo chamado "Sustentabilidade e Bioeconomia". A justificativa existe — é a dimensão sanitária da segurança humana, definida em 1.4.1 —, mas ela não está escrita em lugar nenhum. Um revisor do setor ambiental pergunta por que isso está aqui; um da saúde pergunta por que está tão isolado.</w:t>
      </w:r>
    </w:p>
    <w:p>
      <w:r>
        <w:rPr>
          <w:b/>
        </w:rPr>
        <w:t xml:space="preserve">A OTCA em três eixos.</w:t>
      </w:r>
      <w:r>
        <w:t xml:space="preserve"> Recomendação 8 do Eixo 1 (cooperação por função na CESPIT), Recomendação 11 do Eixo 2 (Acordo Multilateral de Bioeconomia sob a OTCA) e Recomendação 6 do Eixo 3 (consolidação da CESPIT). São três propostas sobre a mesma organização, em três capítulos, sem que nenhuma mencione as outras. A pergunta previsível: "o que exatamente a Agenda pede à OTCA?" — e hoje a resposta exige ler o documento inteiro e montar a lista.</w:t>
      </w:r>
    </w:p>
    <w:p>
      <w:r>
        <w:rPr>
          <w:b/>
        </w:rPr>
        <w:t xml:space="preserve">O CCPI em dois eixos.</w:t>
      </w:r>
      <w:r>
        <w:t xml:space="preserve"> Lacunas e Recomendações 12 e 13 do Eixo 1 tratam da composição do CCPI; Lacuna e Recomendação 12 do Eixo 3 tratam do seu financiamento. Mesma instituição, dois capítulos.</w:t>
      </w:r>
    </w:p>
    <w:p>
      <w:r>
        <w:t xml:space="preserve">Nos três casos, a recomendação </w:t>
      </w:r>
      <w:r>
        <w:rPr>
          <w:b/>
        </w:rPr>
        <w:t xml:space="preserve">não é</w:t>
      </w:r>
      <w:r>
        <w:t xml:space="preserve"> mudar o conteúdo de eixo. A estrutura temática é defensável, e mover coisas agora desorganizaria mais do que organizaria. O que falta é a remissão cruzada do item 3.7 e, no caso do mercúrio, uma frase em 1.4.1 ou na abertura do Eixo 2 explicando por que a saúde das populações expostas é matéria de sustentabilidade nesta Agenda.</w:t>
      </w:r>
    </w:p>
    <w:p>
      <w:pPr>
        <w:pStyle w:val="Heading2"/>
      </w:pPr>
      <w:r>
        <w:t xml:space="preserve">4.4. Um título de lacuna fora do padrão</w:t>
      </w:r>
    </w:p>
    <w:p>
      <w:r>
        <w:t xml:space="preserve">Todos os 37 títulos de lacuna são frases nominais curtas. Um não é:</w:t>
      </w:r>
    </w:p>
    <w:p>
      <w:r>
        <w:t xml:space="preserve">&gt; "Lacuna 13: Ausência de representação das Forças Armadas na composição do CCPI </w:t>
      </w:r>
      <w:r>
        <w:rPr>
          <w:b/>
        </w:rPr>
        <w:t xml:space="preserve">(Atualmente a relação das Forças Armadas com o CCPI é baseada em um suporte logístico pontual para realização de operações)</w:t>
      </w:r>
      <w:r>
        <w:t xml:space="preserve">"</w:t>
      </w:r>
    </w:p>
    <w:p>
      <w:r>
        <w:t xml:space="preserve">São 32 palavras, contra uma média de 14, e o parêntese é conteúdo de diagnóstico dentro de um título — informação que o corpo da lacuna já traz na primeira frase. </w:t>
      </w:r>
      <w:r>
        <w:rPr>
          <w:b/>
        </w:rPr>
        <w:t xml:space="preserve">Correção:</w:t>
      </w:r>
      <w:r>
        <w:t xml:space="preserve"> cortar o parêntese; o título fica com 11 palavras.</w:t>
      </w:r>
    </w:p>
    <w:p>
      <w:pPr>
        <w:pStyle w:val="Heading1"/>
      </w:pPr>
      <w:r>
        <w:t xml:space="preserve">5. As perguntas que virão de fora</w:t>
      </w:r>
    </w:p>
    <w:p>
      <w:r>
        <w:t xml:space="preserve">Na ordem em que um revisor externo provavelmente as fará:</w:t>
      </w:r>
    </w:p>
    <w:p>
      <w:pPr>
        <w:pStyle w:val="Bullet"/>
      </w:pPr>
      <w:r>
        <w:t xml:space="preserve">1. </w:t>
      </w:r>
      <w:r>
        <w:rPr>
          <w:b/>
        </w:rPr>
        <w:t xml:space="preserve">"O anexo está faltando?"</w:t>
      </w:r>
      <w:r>
        <w:t xml:space="preserve"> — Sem resposta hoje. Ver 3.1.</w:t>
      </w:r>
    </w:p>
    <w:p>
      <w:pPr>
        <w:pStyle w:val="Bullet"/>
      </w:pPr>
      <w:r>
        <w:t xml:space="preserve">2. </w:t>
      </w:r>
      <w:r>
        <w:rPr>
          <w:b/>
        </w:rPr>
        <w:t xml:space="preserve">"A Recomendação 1 do Eixo 1 responde a qual lacuna?"</w:t>
      </w:r>
      <w:r>
        <w:t xml:space="preserve"> — À Lacuna 3. Ver 3.2.</w:t>
      </w:r>
    </w:p>
    <w:p>
      <w:pPr>
        <w:pStyle w:val="Bullet"/>
      </w:pPr>
      <w:r>
        <w:t xml:space="preserve">3. </w:t>
      </w:r>
      <w:r>
        <w:rPr>
          <w:b/>
        </w:rPr>
        <w:t xml:space="preserve">"Quando vocês dizem 'Recomendação 4', é de qual eixo?"</w:t>
      </w:r>
      <w:r>
        <w:t xml:space="preserve"> — Ver 3.3.</w:t>
      </w:r>
    </w:p>
    <w:p>
      <w:pPr>
        <w:pStyle w:val="Bullet"/>
      </w:pPr>
      <w:r>
        <w:t xml:space="preserve">4. </w:t>
      </w:r>
      <w:r>
        <w:rPr>
          <w:b/>
        </w:rPr>
        <w:t xml:space="preserve">"Por que as Forças Armadas ocupam mais espaço na seção metodológica do que no eixo de defesa?"</w:t>
      </w:r>
      <w:r>
        <w:t xml:space="preserve"> — Ver 3.4.</w:t>
      </w:r>
    </w:p>
    <w:p>
      <w:pPr>
        <w:pStyle w:val="Bullet"/>
      </w:pPr>
      <w:r>
        <w:t xml:space="preserve">5. </w:t>
      </w:r>
      <w:r>
        <w:rPr>
          <w:b/>
        </w:rPr>
        <w:t xml:space="preserve">"Por que a história da OTCA aparece três vezes?"</w:t>
      </w:r>
      <w:r>
        <w:t xml:space="preserve"> — Ver 3.6.</w:t>
      </w:r>
    </w:p>
    <w:p>
      <w:pPr>
        <w:pStyle w:val="Bullet"/>
      </w:pPr>
      <w:r>
        <w:t xml:space="preserve">6. </w:t>
      </w:r>
      <w:r>
        <w:rPr>
          <w:b/>
        </w:rPr>
        <w:t xml:space="preserve">"Vocês afirmam que os eixos são interdependentes. Onde isso aparece nas recomendações?"</w:t>
      </w:r>
      <w:r>
        <w:t xml:space="preserve"> — Ver 3.7.</w:t>
      </w:r>
    </w:p>
    <w:p>
      <w:pPr>
        <w:pStyle w:val="Bullet"/>
      </w:pPr>
      <w:r>
        <w:t xml:space="preserve">7. </w:t>
      </w:r>
      <w:r>
        <w:rPr>
          <w:b/>
        </w:rPr>
        <w:t xml:space="preserve">"A Lacuna 11 do Eixo 1 fala em denunciantes. Qual recomendação os protege?"</w:t>
      </w:r>
      <w:r>
        <w:t xml:space="preserve"> — Nenhuma. Ver 4.2.</w:t>
      </w:r>
    </w:p>
    <w:p>
      <w:pPr>
        <w:pStyle w:val="Bullet"/>
      </w:pPr>
      <w:r>
        <w:t xml:space="preserve">8. </w:t>
      </w:r>
      <w:r>
        <w:rPr>
          <w:b/>
        </w:rPr>
        <w:t xml:space="preserve">"O que a Agenda pede à OTCA?"</w:t>
      </w:r>
      <w:r>
        <w:t xml:space="preserve"> — Três coisas, em três capítulos. Ver 4.3.</w:t>
      </w:r>
    </w:p>
    <w:p>
      <w:pPr>
        <w:pStyle w:val="Bullet"/>
      </w:pPr>
      <w:r>
        <w:t xml:space="preserve">9. </w:t>
      </w:r>
      <w:r>
        <w:rPr>
          <w:b/>
        </w:rPr>
        <w:t xml:space="preserve">"Por que vigilância epidemiológica está em bioeconomia?"</w:t>
      </w:r>
      <w:r>
        <w:t xml:space="preserve"> — Ver 4.3.</w:t>
      </w:r>
    </w:p>
    <w:p>
      <w:pPr>
        <w:pStyle w:val="Bullet"/>
      </w:pPr>
      <w:r>
        <w:t xml:space="preserve">10. </w:t>
      </w:r>
      <w:r>
        <w:rPr>
          <w:b/>
        </w:rPr>
        <w:t xml:space="preserve">"Quem deve revogar o Decreto 97.507/1989?"</w:t>
      </w:r>
      <w:r>
        <w:t xml:space="preserve"> — Não está dito. Ver 4.1.</w:t>
      </w:r>
    </w:p>
    <w:p>
      <w:r>
        <w:t xml:space="preserve">As dez têm resposta. Oito delas têm resposta </w:t>
      </w:r>
      <w:r>
        <w:rPr>
          <w:i/>
        </w:rPr>
        <w:t xml:space="preserve">no documento</w:t>
      </w:r>
      <w:r>
        <w:t xml:space="preserve"> — o problema é que o documento não a torna visível. Isso é uma boa notícia: significa que o trabalho pendente é de sinalização, não de conteúdo.</w:t>
      </w:r>
    </w:p>
    <w:p>
      <w:pPr>
        <w:pStyle w:val="Heading1"/>
      </w:pPr>
      <w:r>
        <w:t xml:space="preserve">6. Dois caminhos</w:t>
      </w:r>
    </w:p>
    <w:p>
      <w:pPr>
        <w:pStyle w:val="Heading2"/>
      </w:pPr>
      <w:r>
        <w:t xml:space="preserve">Opção A — correções sem reestruturação</w:t>
      </w:r>
    </w:p>
    <w:p>
      <w:r>
        <w:t xml:space="preserve">Nada muda de lugar. Uma passada resolve:</w:t>
      </w:r>
    </w:p>
    <w:p>
      <w:pPr>
        <w:pStyle w:val="Bullet"/>
      </w:pPr>
      <w:r>
        <w:t xml:space="preserve">1. Montar o Anexo (ou remover a entrada do sumário)</w:t>
      </w:r>
    </w:p>
    <w:p>
      <w:pPr>
        <w:pStyle w:val="Bullet"/>
      </w:pPr>
      <w:r>
        <w:t xml:space="preserve">2. Renumerar as recomendações do Eixo 1</w:t>
      </w:r>
    </w:p>
    <w:p>
      <w:pPr>
        <w:pStyle w:val="Bullet"/>
      </w:pPr>
      <w:r>
        <w:t xml:space="preserve">3. Adotar numeração composta (L1.1, R2.7…)</w:t>
      </w:r>
    </w:p>
    <w:p>
      <w:pPr>
        <w:pStyle w:val="Bullet"/>
      </w:pPr>
      <w:r>
        <w:t xml:space="preserve">4. Criar 2.1 e 2.2; converter I/II/III em 3.1/3.2/3.3</w:t>
      </w:r>
    </w:p>
    <w:p>
      <w:pPr>
        <w:pStyle w:val="Bullet"/>
      </w:pPr>
      <w:r>
        <w:t xml:space="preserve">5. Retitular a seção 2, devolvendo "desafios" à seção 3</w:t>
      </w:r>
    </w:p>
    <w:p>
      <w:pPr>
        <w:pStyle w:val="Bullet"/>
      </w:pPr>
      <w:r>
        <w:t xml:space="preserve">6. Reescrever o §283 nomeando os pares transversais</w:t>
      </w:r>
    </w:p>
    <w:p>
      <w:pPr>
        <w:pStyle w:val="Bullet"/>
      </w:pPr>
      <w:r>
        <w:t xml:space="preserve">7. Aplicar a regra "narrar uma vez, remeter nas outras" aos quatro casos de 3.6</w:t>
      </w:r>
    </w:p>
    <w:p>
      <w:pPr>
        <w:pStyle w:val="Bullet"/>
      </w:pPr>
      <w:r>
        <w:t xml:space="preserve">8. Ampliar ou remeter a Recomendação 11 do Eixo 1 (denunciantes)</w:t>
      </w:r>
    </w:p>
    <w:p>
      <w:pPr>
        <w:pStyle w:val="Bullet"/>
      </w:pPr>
      <w:r>
        <w:t xml:space="preserve">9. Nomear órgão nas Recomendações 2, 9 e 12 do Eixo 2 e instrumento nas 7 e 8 do Eixo 2 e 8 do Eixo 3</w:t>
      </w:r>
    </w:p>
    <w:p>
      <w:pPr>
        <w:pStyle w:val="Bullet"/>
      </w:pPr>
      <w:r>
        <w:t xml:space="preserve">10. Cortar o parêntese da Lacuna 13 do Eixo 1</w:t>
      </w:r>
    </w:p>
    <w:p>
      <w:pPr>
        <w:pStyle w:val="Bullet"/>
      </w:pPr>
      <w:r>
        <w:t xml:space="preserve">11. Mover as siglas para o fim</w:t>
      </w:r>
    </w:p>
    <w:p>
      <w:pPr>
        <w:pStyle w:val="Bullet"/>
      </w:pPr>
      <w:r>
        <w:t xml:space="preserve">12. Reduzir 1.4.4, deslocando dois parágrafos para o Eixo 1</w:t>
      </w:r>
    </w:p>
    <w:p>
      <w:r>
        <w:t xml:space="preserve">Os itens 1, 2 e 3 são os que mais pagam por esforço. Os itens 6 e 7 são os que mais respondem à preocupação levantada na reunião sobre originalidade e sobreposição.</w:t>
      </w:r>
    </w:p>
    <w:p>
      <w:pPr>
        <w:pStyle w:val="Heading2"/>
      </w:pPr>
      <w:r>
        <w:t xml:space="preserve">Opção B — reestruturação moderada</w:t>
      </w:r>
    </w:p>
    <w:p>
      <w:r>
        <w:t xml:space="preserve">Sobre a Opção A, promover as bases conceituais a seção própria e fundir as seções de contexto:</w:t>
      </w:r>
    </w:p>
    <w:p>
      <w:r>
        <w:rPr>
          <w:rFonts w:ascii="Consolas" w:hAnsi="Consolas"/>
        </w:rPr>
        <w:t xml:space="preserve">`</w:t>
      </w:r>
    </w:p>
    <w:p>
      <w:r>
        <w:t xml:space="preserve">Apresentação</w:t>
      </w:r>
    </w:p>
    <w:p>
      <w:pPr>
        <w:pStyle w:val="Bullet"/>
      </w:pPr>
      <w:r>
        <w:t xml:space="preserve">1. Bases Conceituais            (hoje 1.4)</w:t>
      </w:r>
    </w:p>
    <w:p>
      <w:pPr>
        <w:pStyle w:val="Bullet"/>
      </w:pPr>
      <w:r>
        <w:t xml:space="preserve">2. Construção da Agenda         (hoje 1.1 a 1.3)</w:t>
      </w:r>
    </w:p>
    <w:p>
      <w:pPr>
        <w:pStyle w:val="Bullet"/>
      </w:pPr>
      <w:r>
        <w:t xml:space="preserve">3. A Amazônia em Contexto       (hoje seções 2 e 3, como 3.1 a 3.5)</w:t>
      </w:r>
    </w:p>
    <w:p>
      <w:pPr>
        <w:pStyle w:val="Bullet"/>
      </w:pPr>
      <w:r>
        <w:t xml:space="preserve">4. Agenda Política: Eixos</w:t>
      </w:r>
    </w:p>
    <w:p>
      <w:pPr>
        <w:pStyle w:val="Bullet"/>
      </w:pPr>
      <w:r>
        <w:t xml:space="preserve">5. Conclusão</w:t>
      </w:r>
    </w:p>
    <w:p>
      <w:r>
        <w:t xml:space="preserve">Anexos — Tabela Síntese · Siglas</w:t>
      </w:r>
    </w:p>
    <w:p>
      <w:r>
        <w:rPr>
          <w:rFonts w:ascii="Consolas" w:hAnsi="Consolas"/>
        </w:rPr>
        <w:t xml:space="preserve">`</w:t>
      </w:r>
    </w:p>
    <w:p>
      <w:r>
        <w:t xml:space="preserve">Resolve a categoria de 1.4.4, a disputa entre as seções 2 e 3 e a proporção do bloco inicial de uma só vez. Custa a renumeração do documento e a atualização de todas as remissões.</w:t>
      </w:r>
    </w:p>
    <w:p>
      <w:r>
        <w:rPr>
          <w:b/>
        </w:rPr>
        <w:t xml:space="preserve">Recomendação:</w:t>
      </w:r>
      <w:r>
        <w:t xml:space="preserve"> fazer a Opção A agora, que cabe no prazo desta semana e elimina todas as dez perguntas do item 5. A Opção B só compensa se houver uma janela real antes do envio aos revisores externos — e, se houver, o item 12 da Opção A já é o primeiro passo dela.</w:t>
      </w:r>
    </w:p>
    <w:p>
      <w:pPr>
        <w:pStyle w:val="Heading1"/>
      </w:pPr>
      <w:r>
        <w:t xml:space="preserve">7. Um registro que vale guardar</w:t>
      </w:r>
    </w:p>
    <w:p>
      <w:r>
        <w:t xml:space="preserve">Duas coisas nesta análise são argumentos a favor do documento, e vale tê-las à mão na reunião de sexta, porque a conversa de ontem foi dura com o texto:</w:t>
      </w:r>
    </w:p>
    <w:p>
      <w:pPr>
        <w:pStyle w:val="Bullet"/>
      </w:pPr>
      <w:r>
        <w:t xml:space="preserve">• </w:t>
      </w:r>
      <w:r>
        <w:rPr>
          <w:b/>
        </w:rPr>
        <w:t xml:space="preserve">Os três eixos têm extensões praticamente idênticas</w:t>
      </w:r>
      <w:r>
        <w:t xml:space="preserve"> (4.797, 4.394 e 4.389 palavras), com a mesma estrutura interna. Isso raramente acontece por acaso em um documento escrito a muitas mãos.</w:t>
      </w:r>
    </w:p>
    <w:p>
      <w:pPr>
        <w:pStyle w:val="Bullet"/>
      </w:pPr>
      <w:r>
        <w:t xml:space="preserve">• </w:t>
      </w:r>
      <w:r>
        <w:rPr>
          <w:b/>
        </w:rPr>
        <w:t xml:space="preserve">34 das 37 recomendações nomeiam órgão e instrumento.</w:t>
      </w:r>
      <w:r>
        <w:t xml:space="preserve"> É o que separa uma agenda de incidência de um documento de diagnóstico, e é, concretamente, a contribuição original que Larissa disse ser essencial demonstrar.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  <w:qFormat/>
  </w:style>
  <w:style w:type="paragraph" w:styleId="TitleX">
    <w:name w:val="TitleX"/>
    <w:basedOn w:val="Normal"/>
    <w:pPr>
      <w:spacing w:after="60"/>
      <w:jc w:val="left"/>
    </w:pPr>
    <w:rPr>
      <w:b/>
      <w:sz w:val="38"/>
      <w:szCs w:val="38"/>
      <w:color w:val="1F3864"/>
    </w:rPr>
  </w:style>
  <w:style w:type="paragraph" w:styleId="SubtitleX">
    <w:name w:val="SubtitleX"/>
    <w:basedOn w:val="Normal"/>
    <w:pPr>
      <w:spacing w:after="280"/>
      <w:jc w:val="left"/>
    </w:pPr>
    <w:rPr>
      <w:color w:val="595959"/>
      <w:sz w:val="22"/>
      <w:szCs w:val="22"/>
    </w:rPr>
  </w:style>
  <w:style w:type="paragraph" w:styleId="Cell">
    <w:name w:val="Cell"/>
    <w:basedOn w:val="Normal"/>
    <w:pPr>
      <w:spacing w:after="40" w:line="240" w:lineRule="auto"/>
      <w:jc w:val="left"/>
    </w:pPr>
    <w:rPr>
      <w:sz w:val="19"/>
      <w:szCs w:val="19"/>
    </w:rPr>
  </w:style>
  <w:style w:type="paragraph" w:styleId="Tight">
    <w:name w:val="Tight"/>
    <w:basedOn w:val="Normal"/>
    <w:pPr>
      <w:spacing w:after="0" w:line="120" w:lineRule="auto"/>
    </w:pPr>
  </w:style>
  <w:style w:type="paragraph" w:styleId="Bullet">
    <w:name w:val="Bullet"/>
    <w:basedOn w:val="Normal"/>
    <w:pPr>
      <w:spacing w:after="60"/>
      <w:ind w:left="340" w:hanging="170"/>
      <w:jc w:val="left"/>
    </w:pPr>
  </w:style>
  <w:style w:type="paragraph" w:styleId="Heading1">
    <w:name w:val="heading 1"/>
    <w:basedOn w:val="Normal"/>
    <w:next w:val="Normal"/>
    <w:qFormat/>
    <w:pPr>
      <w:spacing w:before="340" w:after="160"/>
      <w:jc w:val="left"/>
      <w:outlineLvl w:val="0"/>
    </w:pPr>
    <w:rPr>
      <w:b/>
      <w:sz w:val="30"/>
      <w:szCs w:val="30"/>
      <w:color w:val="1F3864"/>
    </w:rPr>
  </w:style>
  <w:style w:type="paragraph" w:styleId="Heading2">
    <w:name w:val="heading 2"/>
    <w:basedOn w:val="Normal"/>
    <w:next w:val="Normal"/>
    <w:qFormat/>
    <w:pPr>
      <w:spacing w:before="280" w:after="140"/>
      <w:jc w:val="left"/>
      <w:outlineLvl w:val="1"/>
    </w:pPr>
    <w:rPr>
      <w:b/>
      <w:sz w:val="26"/>
      <w:szCs w:val="26"/>
      <w:color w:val="1F3864"/>
    </w:rPr>
  </w:style>
  <w:style w:type="paragraph" w:styleId="Heading3">
    <w:name w:val="heading 3"/>
    <w:basedOn w:val="Normal"/>
    <w:next w:val="Normal"/>
    <w:qFormat/>
    <w:pPr>
      <w:spacing w:before="240" w:after="120"/>
      <w:jc w:val="left"/>
      <w:outlineLvl w:val="2"/>
    </w:pPr>
    <w:rPr>
      <w:b/>
      <w:sz w:val="23"/>
      <w:szCs w:val="23"/>
      <w:color w:val="2E5496"/>
    </w:rPr>
  </w:style>
  <w:style w:type="paragraph" w:styleId="Heading4">
    <w:name w:val="heading 4"/>
    <w:basedOn w:val="Normal"/>
    <w:next w:val="Normal"/>
    <w:qFormat/>
    <w:pPr>
      <w:spacing w:before="200" w:after="100"/>
      <w:jc w:val="left"/>
      <w:outlineLvl w:val="3"/>
    </w:pPr>
    <w:rPr>
      <w:b/>
      <w:i/>
      <w:sz w:val="22"/>
      <w:szCs w:val="22"/>
      <w:color w:val="2E549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