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X"/>
      </w:pPr>
      <w:r>
        <w:t xml:space="preserve"> Proposta de reestruturação dos eixos</w:t>
      </w:r>
    </w:p>
    <w:p>
      <w:pPr>
        <w:pStyle w:val="SubtitleX"/>
      </w:pPr>
      <w:r>
        <w:t xml:space="preserve"> Registro para decisão posterior — versão de 25/09/2026, com base na v3 de 24/09</w:t>
      </w:r>
    </w:p>
    <w:p>
      <w:pPr>
        <w:pStyle w:val="Heading1"/>
      </w:pPr>
      <w:r>
        <w:t xml:space="preserve">Situação</w:t>
      </w:r>
    </w:p>
    <w:p>
      <w:r>
        <w:t xml:space="preserve">Por sugestão de Larissa, a discussão sobre a estrutura dos eixos ficou adiada. A prioridade agora é concluir a revisão dos pares. Este documento guarda o diagnóstico e as opções, para que a decisão possa ser retomada sem refazer a análise.</w:t>
      </w:r>
    </w:p>
    <w:p>
      <w:r>
        <w:rPr>
          <w:b/>
        </w:rPr>
        <w:t xml:space="preserve">Enquanto a decisão não for tomada:</w:t>
      </w:r>
      <w:r>
        <w:t xml:space="preserve"> os pares do Eixo 1 que permanecem nele em qualquer cenário (1.1 a 1.6 e 1.11 a 1.13) podem ser revisados sem risco. Nos pares que mudariam de eixo, a revisão de conteúdo continua valendo; o que muda é apenas a numeração.</w:t>
      </w:r>
    </w:p>
    <w:p>
      <w:pPr>
        <w:pStyle w:val="Heading1"/>
      </w:pPr>
      <w:r>
        <w:t xml:space="preserve">1. Diagnóstico</w:t>
      </w:r>
    </w:p>
    <w:p>
      <w:pPr>
        <w:pStyle w:val="Heading2"/>
      </w:pPr>
      <w:r>
        <w:t xml:space="preserve">1.1. A origem do problema</w:t>
      </w:r>
    </w:p>
    <w:p>
      <w:r>
        <w:t xml:space="preserve">Os três eixos são nomeados por </w:t>
      </w:r>
      <w:r>
        <w:rPr>
          <w:b/>
        </w:rPr>
        <w:t xml:space="preserve">valores</w:t>
      </w:r>
      <w:r>
        <w:t xml:space="preserve"> — soberania, sustentabilidade, governança —, mas os pares foram escritos a partir de </w:t>
      </w:r>
      <w:r>
        <w:rPr>
          <w:b/>
        </w:rPr>
        <w:t xml:space="preserve">objetos concretos</w:t>
      </w:r>
      <w:r>
        <w:t xml:space="preserve"> — terra, ouro e mercúrio, bioeconomia, cooperação regional. Por isso vários pares não correspondem ao nome do eixo em que estão. A impressão da equipe e do iCS procede, e não se limita ao Eixo 2.</w:t>
      </w:r>
    </w:p>
    <w:p>
      <w:pPr>
        <w:pStyle w:val="Heading2"/>
      </w:pPr>
      <w:r>
        <w:t xml:space="preserve">1.2. O que cada eixo realmente contém</w:t>
      </w:r>
    </w:p>
    <w:p>
      <w:r>
        <w:t xml:space="preserve">Classificação dos 37 pares da v3 pelo objeto de que de fato tratam:</w:t>
      </w:r>
    </w:p>
    <w:tbl>
      <w:tblPr>
        <w:tblW w:w="907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72" w:type="dxa"/>
          <w:left w:w="108" w:type="dxa"/>
          <w:bottom w:w="72" w:type="dxa"/>
          <w:right w:w="108" w:type="dxa"/>
        </w:tblCellMar>
      </w:tblPr>
      <w:tblGrid>
        <w:gridCol w:w="3812"/>
        <w:gridCol w:w="2481"/>
        <w:gridCol w:w="2777"/>
      </w:tblGrid>
      <w:tr>
        <w:trPr>
          <w:tblHeader/>
        </w:trPr>
        <w:tc>
          <w:tcPr>
            <w:tcW w:w="3812" w:type="dxa"/>
            <w:shd w:val="clear" w:color="auto" w:fill="F2F6FA"/>
            <w:vAlign w:val="top"/>
          </w:tcPr>
          <w:p>
            <w:pPr>
              <w:pStyle w:val="Cell"/>
            </w:pPr>
            <w:r>
              <w:rPr>
                <w:b/>
                <w:sz w:val="19"/>
                <w:szCs w:val="19"/>
              </w:rPr>
              <w:t xml:space="preserve">Objeto real</w:t>
            </w:r>
          </w:p>
        </w:tc>
        <w:tc>
          <w:tcPr>
            <w:tcW w:w="2481" w:type="dxa"/>
            <w:shd w:val="clear" w:color="auto" w:fill="F2F6FA"/>
            <w:vAlign w:val="top"/>
          </w:tcPr>
          <w:p>
            <w:pPr>
              <w:pStyle w:val="Cell"/>
            </w:pPr>
            <w:r>
              <w:rPr>
                <w:b/>
                <w:sz w:val="19"/>
                <w:szCs w:val="19"/>
              </w:rPr>
              <w:t xml:space="preserve">Pares</w:t>
            </w:r>
          </w:p>
        </w:tc>
        <w:tc>
          <w:tcPr>
            <w:tcW w:w="2777" w:type="dxa"/>
            <w:shd w:val="clear" w:color="auto" w:fill="F2F6FA"/>
            <w:vAlign w:val="top"/>
          </w:tcPr>
          <w:p>
            <w:pPr>
              <w:pStyle w:val="Cell"/>
            </w:pPr>
            <w:r>
              <w:rPr>
                <w:b/>
                <w:sz w:val="19"/>
                <w:szCs w:val="19"/>
              </w:rPr>
              <w:t xml:space="preserve">Onde estão hoje</w:t>
            </w:r>
          </w:p>
        </w:tc>
      </w:tr>
      <w:tr>
        <w:tc>
          <w:tcPr>
            <w:tcW w:w="3812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Coordenação do Estado, defesa e segurança (escala nacional)</w:t>
            </w:r>
          </w:p>
        </w:tc>
        <w:tc>
          <w:tcPr>
            <w:tcW w:w="2481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1.1–1.6, 1.11–1.13</w:t>
            </w:r>
          </w:p>
        </w:tc>
        <w:tc>
          <w:tcPr>
            <w:tcW w:w="2777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Eixo 1</w:t>
            </w:r>
          </w:p>
        </w:tc>
      </w:tr>
      <w:tr>
        <w:tc>
          <w:tcPr>
            <w:tcW w:w="3812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Cooperação regional</w:t>
            </w:r>
          </w:p>
        </w:tc>
        <w:tc>
          <w:tcPr>
            <w:tcW w:w="2481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1.7–1.10 · 2.11 · 3.6, 3.10–3.12</w:t>
            </w:r>
          </w:p>
        </w:tc>
        <w:tc>
          <w:tcPr>
            <w:tcW w:w="2777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espalhada pelos três eixos (4 + 1 + 4)</w:t>
            </w:r>
          </w:p>
        </w:tc>
      </w:tr>
      <w:tr>
        <w:tc>
          <w:tcPr>
            <w:tcW w:w="3812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Terra (grilagem, CAR, dados fundiários, florestas públicas)</w:t>
            </w:r>
          </w:p>
        </w:tc>
        <w:tc>
          <w:tcPr>
            <w:tcW w:w="2481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2.4 · 3.1–3.3</w:t>
            </w:r>
          </w:p>
        </w:tc>
        <w:tc>
          <w:tcPr>
            <w:tcW w:w="2777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Eixos 2 e 3</w:t>
            </w:r>
          </w:p>
        </w:tc>
      </w:tr>
      <w:tr>
        <w:tc>
          <w:tcPr>
            <w:tcW w:w="3812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Economias ilícitas (ouro, mercúrio, cadeias, lei penal)</w:t>
            </w:r>
          </w:p>
        </w:tc>
        <w:tc>
          <w:tcPr>
            <w:tcW w:w="2481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2.1–2.3, 2.6 · 3.5, 3.8</w:t>
            </w:r>
          </w:p>
        </w:tc>
        <w:tc>
          <w:tcPr>
            <w:tcW w:w="2777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Eixos 2 e 3</w:t>
            </w:r>
          </w:p>
        </w:tc>
      </w:tr>
      <w:tr>
        <w:tc>
          <w:tcPr>
            <w:tcW w:w="3812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Bioeconomia</w:t>
            </w:r>
          </w:p>
        </w:tc>
        <w:tc>
          <w:tcPr>
            <w:tcW w:w="2481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2.5, 2.7–2.10, 2.12</w:t>
            </w:r>
          </w:p>
        </w:tc>
        <w:tc>
          <w:tcPr>
            <w:tcW w:w="2777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Eixo 2</w:t>
            </w:r>
          </w:p>
        </w:tc>
      </w:tr>
      <w:tr>
        <w:tc>
          <w:tcPr>
            <w:tcW w:w="3812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Conflitos e defensores</w:t>
            </w:r>
          </w:p>
        </w:tc>
        <w:tc>
          <w:tcPr>
            <w:tcW w:w="2481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3.4, 3.9</w:t>
            </w:r>
          </w:p>
        </w:tc>
        <w:tc>
          <w:tcPr>
            <w:tcW w:w="2777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Eixo 3</w:t>
            </w:r>
          </w:p>
        </w:tc>
      </w:tr>
      <w:tr>
        <w:tc>
          <w:tcPr>
            <w:tcW w:w="3812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Genérico, sem objeto próprio</w:t>
            </w:r>
          </w:p>
        </w:tc>
        <w:tc>
          <w:tcPr>
            <w:tcW w:w="2481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3.7</w:t>
            </w:r>
          </w:p>
        </w:tc>
        <w:tc>
          <w:tcPr>
            <w:tcW w:w="2777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Eixo 3</w:t>
            </w:r>
          </w:p>
        </w:tc>
      </w:tr>
    </w:tbl>
    <w:p>
      <w:pPr>
        <w:pStyle w:val="Tight"/>
      </w:pPr>
    </w:p>
    <w:p>
      <w:pPr>
        <w:pStyle w:val="Heading2"/>
      </w:pPr>
      <w:r>
        <w:t xml:space="preserve">1.3. Leitura por eixo</w:t>
      </w:r>
    </w:p>
    <w:p>
      <w:r>
        <w:rPr>
          <w:b/>
        </w:rPr>
        <w:t xml:space="preserve">Eixo 1 — Soberania, Defesa e Presença Estatal Integrada.</w:t>
      </w:r>
      <w:r>
        <w:t xml:space="preserve"> É o mais coerente. O desvio está nos quatro pares de cooperação regional (1.7 a 1.10) e nos dois parágrafos da abertura sobre OTCA, CESPIT e intercâmbio de inteligência regional.</w:t>
      </w:r>
    </w:p>
    <w:p>
      <w:r>
        <w:rPr>
          <w:b/>
        </w:rPr>
        <w:t xml:space="preserve">Eixo 2 — Sustentabilidade e Bioeconomia.</w:t>
      </w:r>
      <w:r>
        <w:t xml:space="preserve"> Na prática são dois eixos: só 6 dos 12 pares tratam de bioeconomia; os outros tratam de garimpo, mercúrio, saúde e destinação de terras, ou seja, de controle de economias ilícitas. "Sustentabilidade" não delimita nada, porque é o objetivo da Agenda inteira: está no título do documento e é uma das três bases conceituais. A abertura do eixo é um ensaio sobre bioeconomia que antecede lacunas majoritariamente sobre ouro e mercúrio.</w:t>
      </w:r>
    </w:p>
    <w:p>
      <w:r>
        <w:rPr>
          <w:b/>
        </w:rPr>
        <w:t xml:space="preserve">Eixo 3 — Governança e Fortalecimento Institucional.</w:t>
      </w:r>
      <w:r>
        <w:t xml:space="preserve"> Funciona como eixo-resto. Abriga terra, lei penal, Escazú, cadeias produtivas, dados de conflito e quatro pares de cooperação regional. O nome não discrimina: as Recomendações 1.2, 1.4 e 1.5 também tratam de governança e estão no Eixo 1. A abertura reflete a falta de foco — Fundo Amazônia, história da OTCA, Conselho da Amazônia Legal e captura institucional, sem fio comum.</w:t>
      </w:r>
    </w:p>
    <w:p>
      <w:pPr>
        <w:pStyle w:val="Heading2"/>
      </w:pPr>
      <w:r>
        <w:t xml:space="preserve">1.4. O ponto mais sensível: a cooperação regional não tem casa</w:t>
      </w:r>
    </w:p>
    <w:p>
      <w:r>
        <w:t xml:space="preserve">O projeto se chama "Cooperação Regional na Amazônia", e a Apresentação sustenta que "a cooperação fortalece a soberania". Ainda assim, os nove pares regionais estão divididos entre os três eixos. Duas consequências já identificadas decorrem disso:</w:t>
      </w:r>
    </w:p>
    <w:p>
      <w:pPr>
        <w:pStyle w:val="Bullet"/>
      </w:pPr>
      <w:r>
        <w:t xml:space="preserve">• a história da OTCA é narrada três vezes (seção 2, abertura do Eixo 1 e abertura do Eixo 3);</w:t>
      </w:r>
    </w:p>
    <w:p>
      <w:pPr>
        <w:pStyle w:val="Bullet"/>
      </w:pPr>
      <w:r>
        <w:t xml:space="preserve">• a pergunta "o que a Agenda pede à OTCA?" só se responde lendo o documento inteiro.</w:t>
      </w:r>
    </w:p>
    <w:p>
      <w:r>
        <w:t xml:space="preserve">É provavelmente também o que o iCS percebeu: quem financia um projeto sobre cooperação regional não encontra o pilar regional.</w:t>
      </w:r>
    </w:p>
    <w:p>
      <w:r>
        <w:t xml:space="preserve">Há ainda um descompasso com o próprio método: o §173 anuncia que os insumos foram lidos "em duas escalas complementares", nacional e regional, mas os eixos não usam essa divisão.</w:t>
      </w:r>
    </w:p>
    <w:p>
      <w:pPr>
        <w:pStyle w:val="Heading2"/>
      </w:pPr>
      <w:r>
        <w:t xml:space="preserve">1.5. Duplicações que só aparecem nessa leitura</w:t>
      </w:r>
    </w:p>
    <w:p>
      <w:pPr>
        <w:pStyle w:val="Bullet"/>
      </w:pPr>
      <w:r>
        <w:t xml:space="preserve">• </w:t>
      </w:r>
      <w:r>
        <w:rPr>
          <w:b/>
        </w:rPr>
        <w:t xml:space="preserve">1.8 e 3.10</w:t>
      </w:r>
      <w:r>
        <w:t xml:space="preserve"> partem do mesmo diagnóstico — a assimetria entre órgãos de naturezas distintas nos países amazônicos — e usam o mesmo exemplo: a rastreabilidade do ouro, atribuída à PF no Brasil, ao serviço geológico na Colômbia e à autoridade fazendária no Peru. Devem ser fundidos.</w:t>
      </w:r>
    </w:p>
    <w:p>
      <w:pPr>
        <w:pStyle w:val="Bullet"/>
      </w:pPr>
      <w:r>
        <w:t xml:space="preserve">• </w:t>
      </w:r>
      <w:r>
        <w:rPr>
          <w:b/>
        </w:rPr>
        <w:t xml:space="preserve">2.2 e 2.3</w:t>
      </w:r>
      <w:r>
        <w:t xml:space="preserve"> repetem quase literalmente a revogação das exceções do Decreto nº 97.507/1989 e o sistema de rastreamento do mercúrio. Devem ser fundidos.</w:t>
      </w:r>
    </w:p>
    <w:p>
      <w:pPr>
        <w:pStyle w:val="Bullet"/>
      </w:pPr>
      <w:r>
        <w:t xml:space="preserve">• </w:t>
      </w:r>
      <w:r>
        <w:rPr>
          <w:b/>
        </w:rPr>
        <w:t xml:space="preserve">3.7</w:t>
      </w:r>
      <w:r>
        <w:t xml:space="preserve"> repete, em forma genérica, o que 1.2, 1.3, 1.4, 1.6, 1.12, 1.13 e 3.3 fazem de forma específica. A recomendação de supressão, com a evidência do "fiel depositário" levada para a Lacuna 1.2, está registrada na reavaliação do par 3.7.</w:t>
      </w:r>
    </w:p>
    <w:p>
      <w:pPr>
        <w:pStyle w:val="Heading1"/>
      </w:pPr>
      <w:r>
        <w:t xml:space="preserve">2. Opções</w:t>
      </w:r>
    </w:p>
    <w:p>
      <w:pPr>
        <w:pStyle w:val="Heading2"/>
      </w:pPr>
      <w:r>
        <w:t xml:space="preserve">Opção A — Renomear e fazer ajustes mínimos</w:t>
      </w:r>
    </w:p>
    <w:p>
      <w:r>
        <w:rPr>
          <w:b/>
        </w:rPr>
        <w:t xml:space="preserve">Esforço:</w:t>
      </w:r>
      <w:r>
        <w:t xml:space="preserve"> 1 a 2 dias.</w:t>
      </w:r>
    </w:p>
    <w:p>
      <w:pPr>
        <w:pStyle w:val="Bullet"/>
      </w:pPr>
      <w:r>
        <w:t xml:space="preserve">• Trocar os nomes dos Eixos 2 e 3.</w:t>
      </w:r>
    </w:p>
    <w:p>
      <w:pPr>
        <w:pStyle w:val="Bullet"/>
      </w:pPr>
      <w:r>
        <w:t xml:space="preserve">• Mover a 3.8 (condicionalidade e rastreabilidade de cadeias) para o Eixo 2.</w:t>
      </w:r>
    </w:p>
    <w:p>
      <w:pPr>
        <w:pStyle w:val="Bullet"/>
      </w:pPr>
      <w:r>
        <w:t xml:space="preserve">• Fundir 2.2/2.3 e 1.8/3.10.</w:t>
      </w:r>
    </w:p>
    <w:p>
      <w:pPr>
        <w:pStyle w:val="Bullet"/>
      </w:pPr>
      <w:r>
        <w:t xml:space="preserve">• Suprimir a 3.7.</w:t>
      </w:r>
    </w:p>
    <w:p>
      <w:r>
        <w:rPr>
          <w:b/>
        </w:rPr>
        <w:t xml:space="preserve">Limite:</w:t>
      </w:r>
      <w:r>
        <w:t xml:space="preserve"> melhora a leitura, mas mantém a cooperação regional dispersa e o Eixo 3 como resto. Resolve a queixa pela metade.</w:t>
      </w:r>
    </w:p>
    <w:p>
      <w:pPr>
        <w:pStyle w:val="Heading2"/>
      </w:pPr>
      <w:r>
        <w:t xml:space="preserve">Opção B — Quatro eixos por objeto (recomendada)</w:t>
      </w:r>
    </w:p>
    <w:p>
      <w:r>
        <w:rPr>
          <w:b/>
        </w:rPr>
        <w:t xml:space="preserve">Esforço:</w:t>
      </w:r>
      <w:r>
        <w:t xml:space="preserve"> cerca de uma semana e meia de trabalho editorial.</w:t>
      </w:r>
    </w:p>
    <w:tbl>
      <w:tblPr>
        <w:tblW w:w="907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72" w:type="dxa"/>
          <w:left w:w="108" w:type="dxa"/>
          <w:bottom w:w="72" w:type="dxa"/>
          <w:right w:w="108" w:type="dxa"/>
        </w:tblCellMar>
      </w:tblPr>
      <w:tblGrid>
        <w:gridCol w:w="4446"/>
        <w:gridCol w:w="3457"/>
        <w:gridCol w:w="1167"/>
      </w:tblGrid>
      <w:tr>
        <w:trPr>
          <w:tblHeader/>
        </w:trPr>
        <w:tc>
          <w:tcPr>
            <w:tcW w:w="4446" w:type="dxa"/>
            <w:shd w:val="clear" w:color="auto" w:fill="F2F6FA"/>
            <w:vAlign w:val="top"/>
          </w:tcPr>
          <w:p>
            <w:pPr>
              <w:pStyle w:val="Cell"/>
            </w:pPr>
            <w:r>
              <w:rPr>
                <w:b/>
                <w:sz w:val="19"/>
                <w:szCs w:val="19"/>
              </w:rPr>
              <w:t xml:space="preserve">Eixo</w:t>
            </w:r>
          </w:p>
        </w:tc>
        <w:tc>
          <w:tcPr>
            <w:tcW w:w="3457" w:type="dxa"/>
            <w:shd w:val="clear" w:color="auto" w:fill="F2F6FA"/>
            <w:vAlign w:val="top"/>
          </w:tcPr>
          <w:p>
            <w:pPr>
              <w:pStyle w:val="Cell"/>
            </w:pPr>
            <w:r>
              <w:rPr>
                <w:b/>
                <w:sz w:val="19"/>
                <w:szCs w:val="19"/>
              </w:rPr>
              <w:t xml:space="preserve">Pares (numeração da v3)</w:t>
            </w:r>
          </w:p>
        </w:tc>
        <w:tc>
          <w:tcPr>
            <w:tcW w:w="1167" w:type="dxa"/>
            <w:shd w:val="clear" w:color="auto" w:fill="F2F6FA"/>
            <w:vAlign w:val="top"/>
          </w:tcPr>
          <w:p>
            <w:pPr>
              <w:pStyle w:val="Cell"/>
            </w:pPr>
            <w:r>
              <w:rPr>
                <w:b/>
                <w:sz w:val="19"/>
                <w:szCs w:val="19"/>
              </w:rPr>
              <w:t xml:space="preserve">Total</w:t>
            </w:r>
          </w:p>
        </w:tc>
      </w:tr>
      <w:tr>
        <w:tc>
          <w:tcPr>
            <w:tcW w:w="4446" w:type="dxa"/>
            <w:vAlign w:val="top"/>
          </w:tcPr>
          <w:p>
            <w:pPr>
              <w:pStyle w:val="Cell"/>
            </w:pPr>
            <w:r>
              <w:rPr>
                <w:b/>
                <w:sz w:val="19"/>
                <w:szCs w:val="19"/>
              </w:rPr>
              <w:t xml:space="preserve">1. Soberania, Defesa e Presença Estatal Integrada</w:t>
            </w:r>
            <w:r>
              <w:rPr>
                <w:sz w:val="19"/>
                <w:szCs w:val="19"/>
              </w:rPr>
              <w:t xml:space="preserve"> (nome mantido)</w:t>
            </w:r>
          </w:p>
        </w:tc>
        <w:tc>
          <w:tcPr>
            <w:tcW w:w="3457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1.1–1.6, 1.11–1.13</w:t>
            </w:r>
          </w:p>
        </w:tc>
        <w:tc>
          <w:tcPr>
            <w:tcW w:w="1167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9</w:t>
            </w:r>
          </w:p>
        </w:tc>
      </w:tr>
      <w:tr>
        <w:tc>
          <w:tcPr>
            <w:tcW w:w="4446" w:type="dxa"/>
            <w:vAlign w:val="top"/>
          </w:tcPr>
          <w:p>
            <w:pPr>
              <w:pStyle w:val="Cell"/>
            </w:pPr>
            <w:r>
              <w:rPr>
                <w:b/>
                <w:sz w:val="19"/>
                <w:szCs w:val="19"/>
              </w:rPr>
              <w:t xml:space="preserve">2. Território e Economias Ilícitas</w:t>
            </w:r>
          </w:p>
        </w:tc>
        <w:tc>
          <w:tcPr>
            <w:tcW w:w="3457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2.1, 2.2+2.3, 2.4, 2.6 · 3.1–3.5, 3.8, 3.9</w:t>
            </w:r>
          </w:p>
        </w:tc>
        <w:tc>
          <w:tcPr>
            <w:tcW w:w="1167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11</w:t>
            </w:r>
          </w:p>
        </w:tc>
      </w:tr>
      <w:tr>
        <w:tc>
          <w:tcPr>
            <w:tcW w:w="4446" w:type="dxa"/>
            <w:vAlign w:val="top"/>
          </w:tcPr>
          <w:p>
            <w:pPr>
              <w:pStyle w:val="Cell"/>
            </w:pPr>
            <w:r>
              <w:rPr>
                <w:b/>
                <w:sz w:val="19"/>
                <w:szCs w:val="19"/>
              </w:rPr>
              <w:t xml:space="preserve">3. Bioeconomia</w:t>
            </w:r>
          </w:p>
        </w:tc>
        <w:tc>
          <w:tcPr>
            <w:tcW w:w="3457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2.5, 2.7–2.10, 2.12</w:t>
            </w:r>
          </w:p>
        </w:tc>
        <w:tc>
          <w:tcPr>
            <w:tcW w:w="1167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6</w:t>
            </w:r>
          </w:p>
        </w:tc>
      </w:tr>
      <w:tr>
        <w:tc>
          <w:tcPr>
            <w:tcW w:w="4446" w:type="dxa"/>
            <w:vAlign w:val="top"/>
          </w:tcPr>
          <w:p>
            <w:pPr>
              <w:pStyle w:val="Cell"/>
            </w:pPr>
            <w:r>
              <w:rPr>
                <w:b/>
                <w:sz w:val="19"/>
                <w:szCs w:val="19"/>
              </w:rPr>
              <w:t xml:space="preserve">4. Cooperação Regional Amazônica</w:t>
            </w:r>
          </w:p>
        </w:tc>
        <w:tc>
          <w:tcPr>
            <w:tcW w:w="3457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1.7, 1.8+3.10, 1.9, 1.10 · 2.11 · 3.6, 3.11, 3.12</w:t>
            </w:r>
          </w:p>
        </w:tc>
        <w:tc>
          <w:tcPr>
            <w:tcW w:w="1167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8</w:t>
            </w:r>
          </w:p>
        </w:tc>
      </w:tr>
    </w:tbl>
    <w:p>
      <w:pPr>
        <w:pStyle w:val="Tight"/>
      </w:pPr>
    </w:p>
    <w:p>
      <w:r>
        <w:t xml:space="preserve">Total: 34 pares, após as duas fusões e a supressão da 3.7. Os eixos 1 a 3 ficam na escala nacional e o Eixo 4 na regional, o que põe em prática as duas escalas anunciadas no §173.</w:t>
      </w:r>
    </w:p>
    <w:p>
      <w:r>
        <w:rPr>
          <w:b/>
        </w:rPr>
        <w:t xml:space="preserve">Justificativa de alocação dos casos menos óbvios:</w:t>
      </w:r>
    </w:p>
    <w:p>
      <w:pPr>
        <w:pStyle w:val="Bullet"/>
      </w:pPr>
      <w:r>
        <w:t xml:space="preserve">• </w:t>
      </w:r>
      <w:r>
        <w:rPr>
          <w:b/>
        </w:rPr>
        <w:t xml:space="preserve">2.4 (florestas públicas não destinadas)</w:t>
      </w:r>
      <w:r>
        <w:t xml:space="preserve"> vai para o Eixo 2 porque a não destinação é a porta de entrada da grilagem, ao lado de 3.1 a 3.3.</w:t>
      </w:r>
    </w:p>
    <w:p>
      <w:pPr>
        <w:pStyle w:val="Bullet"/>
      </w:pPr>
      <w:r>
        <w:t xml:space="preserve">• </w:t>
      </w:r>
      <w:r>
        <w:rPr>
          <w:b/>
        </w:rPr>
        <w:t xml:space="preserve">2.6 (vigilância em saúde do mercúrio)</w:t>
      </w:r>
      <w:r>
        <w:t xml:space="preserve"> acompanha os demais pares de mercúrio no Eixo 2, como dano da economia ilícita.</w:t>
      </w:r>
    </w:p>
    <w:p>
      <w:pPr>
        <w:pStyle w:val="Bullet"/>
      </w:pPr>
      <w:r>
        <w:t xml:space="preserve">• </w:t>
      </w:r>
      <w:r>
        <w:rPr>
          <w:b/>
        </w:rPr>
        <w:t xml:space="preserve">3.4 (Escazú) e 3.9 (observatório de conflitos)</w:t>
      </w:r>
      <w:r>
        <w:t xml:space="preserve"> vão para o Eixo 2 porque tratam da violência associada à disputa por terra e da proteção de defensores.</w:t>
      </w:r>
    </w:p>
    <w:p>
      <w:pPr>
        <w:pStyle w:val="Bullet"/>
      </w:pPr>
      <w:r>
        <w:t xml:space="preserve">• </w:t>
      </w:r>
      <w:r>
        <w:rPr>
          <w:b/>
        </w:rPr>
        <w:t xml:space="preserve">2.11 (acordo de bioeconomia na OTCA)</w:t>
      </w:r>
      <w:r>
        <w:t xml:space="preserve"> vai para o Eixo 4 porque o objeto é o instrumento regional; isso concentra num só eixo tudo o que a Agenda pede à OTCA.</w:t>
      </w:r>
    </w:p>
    <w:p>
      <w:pPr>
        <w:pStyle w:val="Bullet"/>
      </w:pPr>
      <w:r>
        <w:t xml:space="preserve">• </w:t>
      </w:r>
      <w:r>
        <w:rPr>
          <w:b/>
        </w:rPr>
        <w:t xml:space="preserve">Soberania permanece no nome do Eixo 1.</w:t>
      </w:r>
      <w:r>
        <w:t xml:space="preserve"> Para um centro chamado Soberania e Clima, retirar a palavra da nomenclatura teria custo político que a reorganização não exige.</w:t>
      </w:r>
    </w:p>
    <w:p>
      <w:r>
        <w:rPr>
          <w:b/>
        </w:rPr>
        <w:t xml:space="preserve">Remontagem das aberturas, quase toda com material existente:</w:t>
      </w:r>
    </w:p>
    <w:tbl>
      <w:tblPr>
        <w:tblW w:w="907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72" w:type="dxa"/>
          <w:left w:w="108" w:type="dxa"/>
          <w:bottom w:w="72" w:type="dxa"/>
          <w:right w:w="108" w:type="dxa"/>
        </w:tblCellMar>
      </w:tblPr>
      <w:tblGrid>
        <w:gridCol w:w="1282"/>
        <w:gridCol w:w="7788"/>
      </w:tblGrid>
      <w:tr>
        <w:trPr>
          <w:tblHeader/>
        </w:trPr>
        <w:tc>
          <w:tcPr>
            <w:tcW w:w="1282" w:type="dxa"/>
            <w:shd w:val="clear" w:color="auto" w:fill="F2F6FA"/>
            <w:vAlign w:val="top"/>
          </w:tcPr>
          <w:p>
            <w:pPr>
              <w:pStyle w:val="Cell"/>
            </w:pPr>
            <w:r>
              <w:rPr>
                <w:b/>
                <w:sz w:val="19"/>
                <w:szCs w:val="19"/>
              </w:rPr>
              <w:t xml:space="preserve">Novo eixo</w:t>
            </w:r>
          </w:p>
        </w:tc>
        <w:tc>
          <w:tcPr>
            <w:tcW w:w="7788" w:type="dxa"/>
            <w:shd w:val="clear" w:color="auto" w:fill="F2F6FA"/>
            <w:vAlign w:val="top"/>
          </w:tcPr>
          <w:p>
            <w:pPr>
              <w:pStyle w:val="Cell"/>
            </w:pPr>
            <w:r>
              <w:rPr>
                <w:b/>
                <w:sz w:val="19"/>
                <w:szCs w:val="19"/>
              </w:rPr>
              <w:t xml:space="preserve">Origem do texto de abertura</w:t>
            </w:r>
          </w:p>
        </w:tc>
      </w:tr>
      <w:tr>
        <w:tc>
          <w:tcPr>
            <w:tcW w:w="1282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Eixo 1</w:t>
            </w:r>
          </w:p>
        </w:tc>
        <w:tc>
          <w:tcPr>
            <w:tcW w:w="7788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abertura atual do Eixo 1, sem os dois parágrafos regionais (OTCA/CESPIT e intercâmbio de inteligência)</w:t>
            </w:r>
          </w:p>
        </w:tc>
      </w:tr>
      <w:tr>
        <w:tc>
          <w:tcPr>
            <w:tcW w:w="1282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Eixo 2</w:t>
            </w:r>
          </w:p>
        </w:tc>
        <w:tc>
          <w:tcPr>
            <w:tcW w:w="7788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material sobre expansão do crime organizado e controle fundiário da seção 3 (camadas I e II) e da abertura atual do Eixo 3 (diversificação das atividades criminosas)</w:t>
            </w:r>
          </w:p>
        </w:tc>
      </w:tr>
      <w:tr>
        <w:tc>
          <w:tcPr>
            <w:tcW w:w="1282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Eixo 3</w:t>
            </w:r>
          </w:p>
        </w:tc>
        <w:tc>
          <w:tcPr>
            <w:tcW w:w="7788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abertura atual do Eixo 2 (ensaio sobre bioeconomia), quase intacta; o trecho sobre o Fundo Amazônia da abertura do Eixo 3 pode entrar aqui, na parte de financiamento</w:t>
            </w:r>
          </w:p>
        </w:tc>
      </w:tr>
      <w:tr>
        <w:tc>
          <w:tcPr>
            <w:tcW w:w="1282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Eixo 4</w:t>
            </w:r>
          </w:p>
        </w:tc>
        <w:tc>
          <w:tcPr>
            <w:tcW w:w="7788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parágrafos regionais retirados do Eixo 1, história da OTCA da abertura do Eixo 3 — o que elimina a narração tripla —, Declaração de Belém e CESPIT</w:t>
            </w:r>
          </w:p>
        </w:tc>
      </w:tr>
    </w:tbl>
    <w:p>
      <w:pPr>
        <w:pStyle w:val="Tight"/>
      </w:pPr>
    </w:p>
    <w:p>
      <w:r>
        <w:t xml:space="preserve">O trecho sobre o Conselho da Amazônia Legal, hoje na abertura do Eixo 3, já é diagnosticado na Lacuna 1.2 e pode virar remissão.</w:t>
      </w:r>
    </w:p>
    <w:p>
      <w:r>
        <w:rPr>
          <w:b/>
        </w:rPr>
        <w:t xml:space="preserve">O que precisa ser reescrito de fato:</w:t>
      </w:r>
    </w:p>
    <w:p>
      <w:pPr>
        <w:pStyle w:val="Bullet"/>
      </w:pPr>
      <w:r>
        <w:t xml:space="preserve">• seção 1.2 (descrição dos eixos) e §190 (interdependência entre eixos);</w:t>
      </w:r>
    </w:p>
    <w:p>
      <w:pPr>
        <w:pStyle w:val="Bullet"/>
      </w:pPr>
      <w:r>
        <w:t xml:space="preserve">• §283 (recomendações transversais), que já precisaria de revisão para nomear os pares;</w:t>
      </w:r>
    </w:p>
    <w:p>
      <w:pPr>
        <w:pStyle w:val="Bullet"/>
      </w:pPr>
      <w:r>
        <w:t xml:space="preserve">• Conclusão, que já é a prioridade 1 da revisão de 23/09;</w:t>
      </w:r>
    </w:p>
    <w:p>
      <w:pPr>
        <w:pStyle w:val="Bullet"/>
      </w:pPr>
      <w:r>
        <w:t xml:space="preserve">• sumário, figuras 1 e 2 e o deck apresentado ao iCS, que ganharia um quarto círculo;</w:t>
      </w:r>
    </w:p>
    <w:p>
      <w:pPr>
        <w:pStyle w:val="Bullet"/>
      </w:pPr>
      <w:r>
        <w:t xml:space="preserve">• todas as remissões internas, com nova numeração.</w:t>
      </w:r>
    </w:p>
    <w:p>
      <w:r>
        <w:rPr>
          <w:b/>
        </w:rPr>
        <w:t xml:space="preserve">O que não se perde:</w:t>
      </w:r>
      <w:r>
        <w:t xml:space="preserve"> o conteúdo de todos os pares, inclusive as reavaliações de 1.4, 1.5 e 1.6, que permanecem no Eixo 1. O Anexo ainda não foi montado, então não há retrabalho nele.</w:t>
      </w:r>
    </w:p>
    <w:p>
      <w:pPr>
        <w:pStyle w:val="Heading2"/>
      </w:pPr>
      <w:r>
        <w:t xml:space="preserve">Opção C — Três eixos por objeto</w:t>
      </w:r>
    </w:p>
    <w:p>
      <w:r>
        <w:t xml:space="preserve">Mesma lógica da opção B, preservando os "três eixos" já comunicados, com os eixos 2 e 3 da opção B fundidos num só:</w:t>
      </w:r>
    </w:p>
    <w:tbl>
      <w:tblPr>
        <w:tblW w:w="907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72" w:type="dxa"/>
          <w:left w:w="108" w:type="dxa"/>
          <w:bottom w:w="72" w:type="dxa"/>
          <w:right w:w="108" w:type="dxa"/>
        </w:tblCellMar>
      </w:tblPr>
      <w:tblGrid>
        <w:gridCol w:w="7638"/>
        <w:gridCol w:w="1432"/>
      </w:tblGrid>
      <w:tr>
        <w:trPr>
          <w:tblHeader/>
        </w:trPr>
        <w:tc>
          <w:tcPr>
            <w:tcW w:w="7638" w:type="dxa"/>
            <w:shd w:val="clear" w:color="auto" w:fill="F2F6FA"/>
            <w:vAlign w:val="top"/>
          </w:tcPr>
          <w:p>
            <w:pPr>
              <w:pStyle w:val="Cell"/>
            </w:pPr>
            <w:r>
              <w:rPr>
                <w:b/>
                <w:sz w:val="19"/>
                <w:szCs w:val="19"/>
              </w:rPr>
              <w:t xml:space="preserve">Eixo</w:t>
            </w:r>
          </w:p>
        </w:tc>
        <w:tc>
          <w:tcPr>
            <w:tcW w:w="1432" w:type="dxa"/>
            <w:shd w:val="clear" w:color="auto" w:fill="F2F6FA"/>
            <w:vAlign w:val="top"/>
          </w:tcPr>
          <w:p>
            <w:pPr>
              <w:pStyle w:val="Cell"/>
            </w:pPr>
            <w:r>
              <w:rPr>
                <w:b/>
                <w:sz w:val="19"/>
                <w:szCs w:val="19"/>
              </w:rPr>
              <w:t xml:space="preserve">Total</w:t>
            </w:r>
          </w:p>
        </w:tc>
      </w:tr>
      <w:tr>
        <w:tc>
          <w:tcPr>
            <w:tcW w:w="7638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1. Soberania, Defesa e Presença Estatal Integrada</w:t>
            </w:r>
          </w:p>
        </w:tc>
        <w:tc>
          <w:tcPr>
            <w:tcW w:w="1432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9</w:t>
            </w:r>
          </w:p>
        </w:tc>
      </w:tr>
      <w:tr>
        <w:tc>
          <w:tcPr>
            <w:tcW w:w="7638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2. Território, Economias Ilícitas e Bioeconomia (duas subseções)</w:t>
            </w:r>
          </w:p>
        </w:tc>
        <w:tc>
          <w:tcPr>
            <w:tcW w:w="1432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17</w:t>
            </w:r>
          </w:p>
        </w:tc>
      </w:tr>
      <w:tr>
        <w:tc>
          <w:tcPr>
            <w:tcW w:w="7638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3. Cooperação Regional Amazônica</w:t>
            </w:r>
          </w:p>
        </w:tc>
        <w:tc>
          <w:tcPr>
            <w:tcW w:w="1432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8</w:t>
            </w:r>
          </w:p>
        </w:tc>
      </w:tr>
    </w:tbl>
    <w:p>
      <w:pPr>
        <w:pStyle w:val="Tight"/>
      </w:pPr>
    </w:p>
    <w:p>
      <w:r>
        <w:rPr>
          <w:b/>
        </w:rPr>
        <w:t xml:space="preserve">Esforço:</w:t>
      </w:r>
      <w:r>
        <w:t xml:space="preserve"> semelhante ao da opção B.</w:t>
      </w:r>
    </w:p>
    <w:p>
      <w:r>
        <w:rPr>
          <w:b/>
        </w:rPr>
        <w:t xml:space="preserve">Limite:</w:t>
      </w:r>
      <w:r>
        <w:t xml:space="preserve"> o eixo central fica com o dobro de pares dos outros, e a necessidade de dividi-lo em subseções indica que ele são dois eixos.</w:t>
      </w:r>
    </w:p>
    <w:p>
      <w:pPr>
        <w:pStyle w:val="Heading1"/>
      </w:pPr>
      <w:r>
        <w:t xml:space="preserve">3. Recomendação</w:t>
      </w:r>
    </w:p>
    <w:p>
      <w:r>
        <w:rPr>
          <w:b/>
        </w:rPr>
        <w:t xml:space="preserve">Opção B.</w:t>
      </w:r>
      <w:r>
        <w:t xml:space="preserve"> Ela atende às três queixas (nome do Eixo 2, pares fora de lugar, eixo-resto), dá ao projeto o pilar regional que o título promete e elimina de passagem duas falhas já apontadas na análise de estrutura: a história institucional contada três vezes e a dispersão das propostas dirigidas à OTCA.</w:t>
      </w:r>
    </w:p>
    <w:p>
      <w:r>
        <w:rPr>
          <w:b/>
        </w:rPr>
        <w:t xml:space="preserve">Momento:</w:t>
      </w:r>
      <w:r>
        <w:t xml:space="preserve"> quanto mais cedo, menor o custo. Os fatores que tornam o momento favorável são temporários — Anexo ainda não montado, numeração recém-refeita, Conclusão a ser reescrita e revisores externos que ainda não viram o documento. Se a decisão ficar para depois da revisão externa, cada comentário recebido terá de ser remapeado para a nova numeração.</w:t>
      </w:r>
    </w:p>
    <w:p>
      <w:r>
        <w:rPr>
          <w:b/>
        </w:rPr>
        <w:t xml:space="preserve">Sequência sugerida, quando a decisão for retomada:</w:t>
      </w:r>
    </w:p>
    <w:p>
      <w:pPr>
        <w:pStyle w:val="Bullet"/>
      </w:pPr>
      <w:r>
        <w:t xml:space="preserve">1. Decidir entre três e quatro eixos.</w:t>
      </w:r>
    </w:p>
    <w:p>
      <w:pPr>
        <w:pStyle w:val="Bullet"/>
      </w:pPr>
      <w:r>
        <w:t xml:space="preserve">2. Aprovar os nomes.</w:t>
      </w:r>
    </w:p>
    <w:p>
      <w:pPr>
        <w:pStyle w:val="Bullet"/>
      </w:pPr>
      <w:r>
        <w:t xml:space="preserve">3. Aprovar as fusões (2.2+2.3 e 1.8+3.10) e a supressão da 3.7.</w:t>
      </w:r>
    </w:p>
    <w:p>
      <w:pPr>
        <w:pStyle w:val="Bullet"/>
      </w:pPr>
      <w:r>
        <w:t xml:space="preserve">4. Mover os blocos de pares e renumerar.</w:t>
      </w:r>
    </w:p>
    <w:p>
      <w:pPr>
        <w:pStyle w:val="Bullet"/>
      </w:pPr>
      <w:r>
        <w:t xml:space="preserve">5. Remontar as aberturas a partir do mapa acima.</w:t>
      </w:r>
    </w:p>
    <w:p>
      <w:pPr>
        <w:pStyle w:val="Bullet"/>
      </w:pPr>
      <w:r>
        <w:t xml:space="preserve">6. Reescrever seção 1.2, §190, §283 e a Conclusão.</w:t>
      </w:r>
    </w:p>
    <w:p>
      <w:pPr>
        <w:pStyle w:val="Bullet"/>
      </w:pPr>
      <w:r>
        <w:t xml:space="preserve">7. Atualizar sumário, figuras, remissões e o deck.</w:t>
      </w:r>
    </w:p>
    <w:p>
      <w:pPr>
        <w:pStyle w:val="Heading1"/>
      </w:pPr>
      <w:r>
        <w:t xml:space="preserve">4. Decisões pendentes</w:t>
      </w:r>
    </w:p>
    <w:tbl>
      <w:tblPr>
        <w:tblW w:w="907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72" w:type="dxa"/>
          <w:left w:w="108" w:type="dxa"/>
          <w:bottom w:w="72" w:type="dxa"/>
          <w:right w:w="108" w:type="dxa"/>
        </w:tblCellMar>
      </w:tblPr>
      <w:tblGrid>
        <w:gridCol w:w="2158"/>
        <w:gridCol w:w="3131"/>
        <w:gridCol w:w="3781"/>
      </w:tblGrid>
      <w:tr>
        <w:trPr>
          <w:tblHeader/>
        </w:trPr>
        <w:tc>
          <w:tcPr>
            <w:tcW w:w="2158" w:type="dxa"/>
            <w:shd w:val="clear" w:color="auto" w:fill="F2F6FA"/>
            <w:vAlign w:val="top"/>
          </w:tcPr>
          <w:p>
            <w:pPr>
              <w:pStyle w:val="Cell"/>
            </w:pPr>
            <w:r>
              <w:rPr>
                <w:b/>
                <w:sz w:val="19"/>
                <w:szCs w:val="19"/>
              </w:rPr>
              <w:t xml:space="preserve">Decisão</w:t>
            </w:r>
          </w:p>
        </w:tc>
        <w:tc>
          <w:tcPr>
            <w:tcW w:w="3131" w:type="dxa"/>
            <w:shd w:val="clear" w:color="auto" w:fill="F2F6FA"/>
            <w:vAlign w:val="top"/>
          </w:tcPr>
          <w:p>
            <w:pPr>
              <w:pStyle w:val="Cell"/>
            </w:pPr>
            <w:r>
              <w:rPr>
                <w:b/>
                <w:sz w:val="19"/>
                <w:szCs w:val="19"/>
              </w:rPr>
              <w:t xml:space="preserve">Opções</w:t>
            </w:r>
          </w:p>
        </w:tc>
        <w:tc>
          <w:tcPr>
            <w:tcW w:w="3781" w:type="dxa"/>
            <w:shd w:val="clear" w:color="auto" w:fill="F2F6FA"/>
            <w:vAlign w:val="top"/>
          </w:tcPr>
          <w:p>
            <w:pPr>
              <w:pStyle w:val="Cell"/>
            </w:pPr>
            <w:r>
              <w:rPr>
                <w:b/>
                <w:sz w:val="19"/>
                <w:szCs w:val="19"/>
              </w:rPr>
              <w:t xml:space="preserve">Observação</w:t>
            </w:r>
          </w:p>
        </w:tc>
      </w:tr>
      <w:tr>
        <w:tc>
          <w:tcPr>
            <w:tcW w:w="2158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Número de eixos</w:t>
            </w:r>
          </w:p>
        </w:tc>
        <w:tc>
          <w:tcPr>
            <w:tcW w:w="3131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três ou quatro</w:t>
            </w:r>
          </w:p>
        </w:tc>
        <w:tc>
          <w:tcPr>
            <w:tcW w:w="3781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a opção C preserva "três eixos", mas cria um eixo com 17 pares</w:t>
            </w:r>
          </w:p>
        </w:tc>
      </w:tr>
      <w:tr>
        <w:tc>
          <w:tcPr>
            <w:tcW w:w="2158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Nome do Eixo 2</w:t>
            </w:r>
          </w:p>
        </w:tc>
        <w:tc>
          <w:tcPr>
            <w:tcW w:w="3131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"Território e Economias Ilícitas" ou alternativa</w:t>
            </w:r>
          </w:p>
        </w:tc>
        <w:tc>
          <w:tcPr>
            <w:tcW w:w="3781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evitar "Sustentabilidade", que não delimita</w:t>
            </w:r>
          </w:p>
        </w:tc>
      </w:tr>
      <w:tr>
        <w:tc>
          <w:tcPr>
            <w:tcW w:w="2158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Nome do eixo de bioeconomia</w:t>
            </w:r>
          </w:p>
        </w:tc>
        <w:tc>
          <w:tcPr>
            <w:tcW w:w="3131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"Bioeconomia" ou forma mais descritiva</w:t>
            </w:r>
          </w:p>
        </w:tc>
        <w:tc>
          <w:tcPr>
            <w:tcW w:w="3781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se a opção for C, o nome precisa abarcar território e ilícitos</w:t>
            </w:r>
          </w:p>
        </w:tc>
      </w:tr>
      <w:tr>
        <w:tc>
          <w:tcPr>
            <w:tcW w:w="2158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Nome do eixo regional</w:t>
            </w:r>
          </w:p>
        </w:tc>
        <w:tc>
          <w:tcPr>
            <w:tcW w:w="3131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"Cooperação Regional Amazônica" ou alternativa</w:t>
            </w:r>
          </w:p>
        </w:tc>
        <w:tc>
          <w:tcPr>
            <w:tcW w:w="3781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ecoa o título do projeto</w:t>
            </w:r>
          </w:p>
        </w:tc>
      </w:tr>
      <w:tr>
        <w:tc>
          <w:tcPr>
            <w:tcW w:w="2158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Fusão 1.8 + 3.10</w:t>
            </w:r>
          </w:p>
        </w:tc>
        <w:tc>
          <w:tcPr>
            <w:tcW w:w="3131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fundir ou manter com remissão</w:t>
            </w:r>
          </w:p>
        </w:tc>
        <w:tc>
          <w:tcPr>
            <w:tcW w:w="3781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mesmo diagnóstico e mesmo exemplo</w:t>
            </w:r>
          </w:p>
        </w:tc>
      </w:tr>
      <w:tr>
        <w:tc>
          <w:tcPr>
            <w:tcW w:w="2158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Fusão 2.2 + 2.3</w:t>
            </w:r>
          </w:p>
        </w:tc>
        <w:tc>
          <w:tcPr>
            <w:tcW w:w="3131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fundir ou manter com remissão</w:t>
            </w:r>
          </w:p>
        </w:tc>
        <w:tc>
          <w:tcPr>
            <w:tcW w:w="3781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texto quase idêntico</w:t>
            </w:r>
          </w:p>
        </w:tc>
      </w:tr>
      <w:tr>
        <w:tc>
          <w:tcPr>
            <w:tcW w:w="2158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Supressão da 3.7</w:t>
            </w:r>
          </w:p>
        </w:tc>
        <w:tc>
          <w:tcPr>
            <w:tcW w:w="3131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suprimir ou manter com recorte estreito</w:t>
            </w:r>
          </w:p>
        </w:tc>
        <w:tc>
          <w:tcPr>
            <w:tcW w:w="3781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ver reavaliação do par 3.7</w:t>
            </w:r>
          </w:p>
        </w:tc>
      </w:tr>
    </w:tbl>
    <w:p>
      <w:pPr>
        <w:pStyle w:val="Tight"/>
      </w:pPr>
    </w:p>
    <w:p>
      <w:pPr>
        <w:pStyle w:val="Heading1"/>
      </w:pPr>
      <w:r>
        <w:t xml:space="preserve">5. Relação com a revisão dos pares em curso</w:t>
      </w:r>
    </w:p>
    <w:p>
      <w:r>
        <w:t xml:space="preserve">A revisão par a par pode seguir sem depender desta decisão, com um cuidado: nos pares que mudariam de eixo, vale registrar nas notas de trabalho a numeração atual e a eventual futura, para facilitar a renumeração.</w:t>
      </w:r>
    </w:p>
    <w:p>
      <w:r>
        <w:t xml:space="preserve">Ordem de revisão já definida, pela ordem de prioridade:</w:t>
      </w:r>
    </w:p>
    <w:p>
      <w:pPr>
        <w:pStyle w:val="Bullet"/>
      </w:pPr>
      <w:r>
        <w:t xml:space="preserve">• </w:t>
      </w:r>
      <w:r>
        <w:rPr>
          <w:b/>
        </w:rPr>
        <w:t xml:space="preserve">Rodada 1 (colisões com 1.4 a 1.6):</w:t>
      </w:r>
      <w:r>
        <w:t xml:space="preserve"> 3.7, 1.2, 1.3, 1.13, 3.12</w:t>
      </w:r>
    </w:p>
    <w:p>
      <w:pPr>
        <w:pStyle w:val="Bullet"/>
      </w:pPr>
      <w:r>
        <w:t xml:space="preserve">• </w:t>
      </w:r>
      <w:r>
        <w:rPr>
          <w:b/>
        </w:rPr>
        <w:t xml:space="preserve">Rodada 2 (riscos jurídicos ou factuais):</w:t>
      </w:r>
      <w:r>
        <w:t xml:space="preserve"> 3.8, 2.9, 2.2/2.3, 1.1</w:t>
      </w:r>
    </w:p>
    <w:p>
      <w:pPr>
        <w:pStyle w:val="Bullet"/>
      </w:pPr>
      <w:r>
        <w:t xml:space="preserve">• </w:t>
      </w:r>
      <w:r>
        <w:rPr>
          <w:b/>
        </w:rPr>
        <w:t xml:space="preserve">Rodada 3 (pedidos grandes demais):</w:t>
      </w:r>
      <w:r>
        <w:t xml:space="preserve"> 2.11, 2.7, 2.8, 3.2, 1.10, 3.5</w:t>
      </w:r>
    </w:p>
    <w:p>
      <w:pPr>
        <w:pStyle w:val="Bullet"/>
      </w:pPr>
      <w:r>
        <w:t xml:space="preserve">• </w:t>
      </w:r>
      <w:r>
        <w:rPr>
          <w:b/>
        </w:rPr>
        <w:t xml:space="preserve">Rodada 4 (conferência leve):</w:t>
      </w:r>
      <w:r>
        <w:t xml:space="preserve"> 1.7, 1.8, 1.9, 1.11, 1.12, 2.1, 2.4, 2.5, 2.6, 2.10, 2.12, 3.1, 3.3, 3.4, 3.6, 3.9, 3.10, 3.11</w:t>
      </w:r>
    </w:p>
    <w:p>
      <w:r>
        <w:t xml:space="preserve">Remissões quebradas pela renumeração, a corrigir já: "Lacuna 8" na Recomendação 1.10 (→ Lacuna 1.8); "Lacuna 10 do Eixo 2" (→ Lacuna 2.10); "Recomendação 10" na Recomendação 3.11 (→ Recomendação 3.10).</w:t>
      </w:r>
    </w:p>
    <w:sectPr>
      <w:pgSz w:w="11906" w:h="16838"/>
      <w:pgMar w:top="1418" w:right="1418" w:bottom="1418" w:left="1418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1"/>
        <w:szCs w:val="21"/>
        <w:lang w:val="pt-BR"/>
      </w:rPr>
    </w:rPrDefault>
    <w:pPrDefault>
      <w:pPr>
        <w:spacing w:after="140" w:line="276" w:lineRule="auto"/>
        <w:jc w:val="both"/>
      </w:pPr>
    </w:pPrDefault>
  </w:docDefaults>
  <w:style w:type="paragraph" w:default="1" w:styleId="Normal">
    <w:name w:val="Normal"/>
    <w:qFormat/>
  </w:style>
  <w:style w:type="paragraph" w:styleId="TitleX">
    <w:name w:val="TitleX"/>
    <w:basedOn w:val="Normal"/>
    <w:pPr>
      <w:spacing w:after="60"/>
      <w:jc w:val="left"/>
    </w:pPr>
    <w:rPr>
      <w:b/>
      <w:sz w:val="38"/>
      <w:szCs w:val="38"/>
      <w:color w:val="1F3864"/>
    </w:rPr>
  </w:style>
  <w:style w:type="paragraph" w:styleId="SubtitleX">
    <w:name w:val="SubtitleX"/>
    <w:basedOn w:val="Normal"/>
    <w:pPr>
      <w:spacing w:after="280"/>
      <w:jc w:val="left"/>
    </w:pPr>
    <w:rPr>
      <w:color w:val="595959"/>
      <w:sz w:val="22"/>
      <w:szCs w:val="22"/>
    </w:rPr>
  </w:style>
  <w:style w:type="paragraph" w:styleId="Cell">
    <w:name w:val="Cell"/>
    <w:basedOn w:val="Normal"/>
    <w:pPr>
      <w:spacing w:after="40" w:line="240" w:lineRule="auto"/>
      <w:jc w:val="left"/>
    </w:pPr>
    <w:rPr>
      <w:sz w:val="19"/>
      <w:szCs w:val="19"/>
    </w:rPr>
  </w:style>
  <w:style w:type="paragraph" w:styleId="Tight">
    <w:name w:val="Tight"/>
    <w:basedOn w:val="Normal"/>
    <w:pPr>
      <w:spacing w:after="0" w:line="120" w:lineRule="auto"/>
    </w:pPr>
  </w:style>
  <w:style w:type="paragraph" w:styleId="Bullet">
    <w:name w:val="Bullet"/>
    <w:basedOn w:val="Normal"/>
    <w:pPr>
      <w:spacing w:after="60"/>
      <w:ind w:left="340" w:hanging="170"/>
      <w:jc w:val="left"/>
    </w:pPr>
  </w:style>
  <w:style w:type="paragraph" w:styleId="Heading1">
    <w:name w:val="heading 1"/>
    <w:basedOn w:val="Normal"/>
    <w:next w:val="Normal"/>
    <w:qFormat/>
    <w:pPr>
      <w:spacing w:before="340" w:after="160"/>
      <w:jc w:val="left"/>
      <w:outlineLvl w:val="0"/>
    </w:pPr>
    <w:rPr>
      <w:b/>
      <w:sz w:val="30"/>
      <w:szCs w:val="30"/>
      <w:color w:val="1F3864"/>
    </w:rPr>
  </w:style>
  <w:style w:type="paragraph" w:styleId="Heading2">
    <w:name w:val="heading 2"/>
    <w:basedOn w:val="Normal"/>
    <w:next w:val="Normal"/>
    <w:qFormat/>
    <w:pPr>
      <w:spacing w:before="280" w:after="140"/>
      <w:jc w:val="left"/>
      <w:outlineLvl w:val="1"/>
    </w:pPr>
    <w:rPr>
      <w:b/>
      <w:sz w:val="26"/>
      <w:szCs w:val="26"/>
      <w:color w:val="1F3864"/>
    </w:rPr>
  </w:style>
  <w:style w:type="paragraph" w:styleId="Heading3">
    <w:name w:val="heading 3"/>
    <w:basedOn w:val="Normal"/>
    <w:next w:val="Normal"/>
    <w:qFormat/>
    <w:pPr>
      <w:spacing w:before="240" w:after="120"/>
      <w:jc w:val="left"/>
      <w:outlineLvl w:val="2"/>
    </w:pPr>
    <w:rPr>
      <w:b/>
      <w:sz w:val="23"/>
      <w:szCs w:val="23"/>
      <w:color w:val="2E5496"/>
    </w:rPr>
  </w:style>
  <w:style w:type="paragraph" w:styleId="Heading4">
    <w:name w:val="heading 4"/>
    <w:basedOn w:val="Normal"/>
    <w:next w:val="Normal"/>
    <w:qFormat/>
    <w:pPr>
      <w:spacing w:before="200" w:after="100"/>
      <w:jc w:val="left"/>
      <w:outlineLvl w:val="3"/>
    </w:pPr>
    <w:rPr>
      <w:b/>
      <w:i/>
      <w:sz w:val="22"/>
      <w:szCs w:val="22"/>
      <w:color w:val="2E5496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