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75A2" w:rsidRDefault="00EE75A2" w:rsidP="00EE75A2">
      <w:r>
        <w:t xml:space="preserve">We analyse the attributes captured for generating </w:t>
      </w:r>
      <w:proofErr w:type="spellStart"/>
      <w:r>
        <w:t>pexiscore</w:t>
      </w:r>
      <w:proofErr w:type="spellEnd"/>
      <w:r>
        <w:t xml:space="preserve">. </w:t>
      </w:r>
      <w:r>
        <w:t xml:space="preserve">The attributes are captured for </w:t>
      </w:r>
      <w:r>
        <w:t>Aptitude and Behaviour.</w:t>
      </w:r>
      <w:r w:rsidR="008C3082">
        <w:t xml:space="preserve"> </w:t>
      </w:r>
      <w:r>
        <w:t xml:space="preserve">The overall score percentage for aptitude and behaviour attributes are – </w:t>
      </w:r>
    </w:p>
    <w:p w:rsidR="00EE75A2" w:rsidRDefault="00EE75A2" w:rsidP="00EE75A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C3082" w:rsidTr="00EE75A2">
        <w:tc>
          <w:tcPr>
            <w:tcW w:w="4508" w:type="dxa"/>
          </w:tcPr>
          <w:p w:rsidR="008C3082" w:rsidRDefault="008C3082" w:rsidP="00EE75A2">
            <w:pPr>
              <w:rPr>
                <w:noProof/>
              </w:rPr>
            </w:pPr>
            <w:r>
              <w:rPr>
                <w:noProof/>
              </w:rPr>
              <w:t>Aptitude</w:t>
            </w:r>
          </w:p>
        </w:tc>
        <w:tc>
          <w:tcPr>
            <w:tcW w:w="4508" w:type="dxa"/>
          </w:tcPr>
          <w:p w:rsidR="008C3082" w:rsidRDefault="008C3082" w:rsidP="00EE75A2">
            <w:pPr>
              <w:rPr>
                <w:noProof/>
              </w:rPr>
            </w:pPr>
            <w:r>
              <w:rPr>
                <w:noProof/>
              </w:rPr>
              <w:t>Behaviour</w:t>
            </w:r>
          </w:p>
        </w:tc>
      </w:tr>
      <w:tr w:rsidR="00EE75A2" w:rsidTr="00EE75A2">
        <w:tc>
          <w:tcPr>
            <w:tcW w:w="4508" w:type="dxa"/>
          </w:tcPr>
          <w:p w:rsidR="00EE75A2" w:rsidRDefault="00EE75A2" w:rsidP="00EE75A2">
            <w:r>
              <w:rPr>
                <w:noProof/>
              </w:rPr>
              <w:drawing>
                <wp:inline distT="0" distB="0" distL="0" distR="0" wp14:anchorId="61A0F863" wp14:editId="7765DDAE">
                  <wp:extent cx="2484120" cy="1661160"/>
                  <wp:effectExtent l="0" t="0" r="11430" b="15240"/>
                  <wp:docPr id="1" name="Chart 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26A8FF2B-F136-4C01-AD3F-7981AB5C91E4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5"/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:rsidR="00EE75A2" w:rsidRDefault="00EE75A2" w:rsidP="00EE75A2">
            <w:r>
              <w:rPr>
                <w:noProof/>
              </w:rPr>
              <w:drawing>
                <wp:inline distT="0" distB="0" distL="0" distR="0" wp14:anchorId="09A388B8" wp14:editId="61C0B73C">
                  <wp:extent cx="2712720" cy="2727960"/>
                  <wp:effectExtent l="0" t="0" r="11430" b="15240"/>
                  <wp:docPr id="8" name="Chart 8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CB787885-B3BA-48C9-965C-E26ADA31A71A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6"/>
                    </a:graphicData>
                  </a:graphic>
                </wp:inline>
              </w:drawing>
            </w:r>
          </w:p>
        </w:tc>
      </w:tr>
    </w:tbl>
    <w:p w:rsidR="00EE75A2" w:rsidRDefault="00EE75A2" w:rsidP="00EE75A2"/>
    <w:p w:rsidR="00C30A3F" w:rsidRDefault="00B8552F" w:rsidP="00B8552F">
      <w:r>
        <w:t>We analyse the percentage scored by two groups –</w:t>
      </w:r>
      <w:r>
        <w:t xml:space="preserve"> </w:t>
      </w:r>
    </w:p>
    <w:p w:rsidR="00C30A3F" w:rsidRDefault="00B8552F" w:rsidP="00C30A3F">
      <w:pPr>
        <w:pStyle w:val="ListParagraph"/>
        <w:numPr>
          <w:ilvl w:val="0"/>
          <w:numId w:val="1"/>
        </w:numPr>
      </w:pPr>
      <w:r>
        <w:t>Millennials - ages 18-34</w:t>
      </w:r>
      <w:r>
        <w:t xml:space="preserve"> </w:t>
      </w:r>
    </w:p>
    <w:p w:rsidR="00EE75A2" w:rsidRDefault="00B8552F" w:rsidP="00C30A3F">
      <w:pPr>
        <w:pStyle w:val="ListParagraph"/>
        <w:numPr>
          <w:ilvl w:val="0"/>
          <w:numId w:val="1"/>
        </w:numPr>
      </w:pPr>
      <w:r>
        <w:t>Generation X - ages 35-50</w:t>
      </w:r>
      <w:r w:rsidR="00D356FD">
        <w:t xml:space="preserve"> </w:t>
      </w:r>
    </w:p>
    <w:p w:rsidR="00D356FD" w:rsidRDefault="00D356FD" w:rsidP="00B8552F">
      <w:r>
        <w:t>These attributes have substantial difference between the percentage score of the two groups -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531"/>
        <w:gridCol w:w="4485"/>
      </w:tblGrid>
      <w:tr w:rsidR="008C3082" w:rsidTr="00E3766B">
        <w:tc>
          <w:tcPr>
            <w:tcW w:w="4531" w:type="dxa"/>
          </w:tcPr>
          <w:p w:rsidR="008C3082" w:rsidRDefault="008C3082" w:rsidP="00EE75A2">
            <w:pPr>
              <w:rPr>
                <w:noProof/>
              </w:rPr>
            </w:pPr>
            <w:r>
              <w:rPr>
                <w:noProof/>
              </w:rPr>
              <w:t>Aptitude</w:t>
            </w:r>
          </w:p>
        </w:tc>
        <w:tc>
          <w:tcPr>
            <w:tcW w:w="4485" w:type="dxa"/>
          </w:tcPr>
          <w:p w:rsidR="008C3082" w:rsidRDefault="008C3082" w:rsidP="00EE75A2">
            <w:pPr>
              <w:rPr>
                <w:noProof/>
              </w:rPr>
            </w:pPr>
            <w:r>
              <w:rPr>
                <w:noProof/>
              </w:rPr>
              <w:t>Behaviour</w:t>
            </w:r>
          </w:p>
        </w:tc>
      </w:tr>
      <w:tr w:rsidR="00EE75A2" w:rsidTr="00E3766B">
        <w:tc>
          <w:tcPr>
            <w:tcW w:w="4531" w:type="dxa"/>
          </w:tcPr>
          <w:p w:rsidR="00EE75A2" w:rsidRDefault="00E531B0" w:rsidP="00EE75A2">
            <w:r>
              <w:rPr>
                <w:noProof/>
              </w:rPr>
              <w:drawing>
                <wp:inline distT="0" distB="0" distL="0" distR="0" wp14:anchorId="59DA5C9C" wp14:editId="5607947F">
                  <wp:extent cx="2796540" cy="2400300"/>
                  <wp:effectExtent l="0" t="0" r="3810" b="0"/>
                  <wp:docPr id="10" name="Chart 10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2D4DE234-55D3-430D-8A23-E681DFF8C454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7"/>
                    </a:graphicData>
                  </a:graphic>
                </wp:inline>
              </w:drawing>
            </w:r>
          </w:p>
        </w:tc>
        <w:tc>
          <w:tcPr>
            <w:tcW w:w="4485" w:type="dxa"/>
          </w:tcPr>
          <w:p w:rsidR="00EE75A2" w:rsidRDefault="00E3766B" w:rsidP="00EE75A2">
            <w:r>
              <w:rPr>
                <w:noProof/>
              </w:rPr>
              <w:drawing>
                <wp:inline distT="0" distB="0" distL="0" distR="0" wp14:anchorId="34E283D8" wp14:editId="3E41F1BD">
                  <wp:extent cx="2764155" cy="2712720"/>
                  <wp:effectExtent l="0" t="0" r="17145" b="11430"/>
                  <wp:docPr id="11" name="Chart 1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7D7FAA-A844-4E90-8A69-C3C5E44BB3B2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8"/>
                    </a:graphicData>
                  </a:graphic>
                </wp:inline>
              </w:drawing>
            </w:r>
          </w:p>
        </w:tc>
      </w:tr>
    </w:tbl>
    <w:p w:rsidR="00EE75A2" w:rsidRDefault="00EE75A2" w:rsidP="00EE75A2"/>
    <w:p w:rsidR="00702D00" w:rsidRDefault="00702D00">
      <w:r>
        <w:t>On the Aptitude, we observe</w:t>
      </w:r>
      <w:bookmarkStart w:id="0" w:name="_GoBack"/>
      <w:bookmarkEnd w:id="0"/>
      <w:r>
        <w:t xml:space="preserve"> that the Generation X scores more as the group has learned from experience on those attributes. But on behaviour, apart from “General Communication” it lags as may not be </w:t>
      </w:r>
      <w:proofErr w:type="gramStart"/>
      <w:r>
        <w:t>actually involved</w:t>
      </w:r>
      <w:proofErr w:type="gramEnd"/>
      <w:r>
        <w:t xml:space="preserve"> in hands on work.</w:t>
      </w:r>
    </w:p>
    <w:p w:rsidR="004F788E" w:rsidRDefault="004F788E" w:rsidP="00EE75A2">
      <w:r>
        <w:lastRenderedPageBreak/>
        <w:t xml:space="preserve">These attributes do not have much difference between the scoring percentage of the two groups -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C3082" w:rsidTr="008907AB">
        <w:tc>
          <w:tcPr>
            <w:tcW w:w="4300" w:type="dxa"/>
          </w:tcPr>
          <w:p w:rsidR="008C3082" w:rsidRDefault="008C3082" w:rsidP="00EE75A2">
            <w:pPr>
              <w:rPr>
                <w:noProof/>
              </w:rPr>
            </w:pPr>
            <w:r>
              <w:rPr>
                <w:noProof/>
              </w:rPr>
              <w:t>Aptitude</w:t>
            </w:r>
          </w:p>
        </w:tc>
        <w:tc>
          <w:tcPr>
            <w:tcW w:w="4716" w:type="dxa"/>
          </w:tcPr>
          <w:p w:rsidR="008C3082" w:rsidRDefault="008C3082" w:rsidP="00EE75A2">
            <w:pPr>
              <w:rPr>
                <w:noProof/>
              </w:rPr>
            </w:pPr>
            <w:r>
              <w:rPr>
                <w:noProof/>
              </w:rPr>
              <w:t>Behaviour</w:t>
            </w:r>
          </w:p>
        </w:tc>
      </w:tr>
      <w:tr w:rsidR="00EE75A2" w:rsidTr="008907AB">
        <w:tc>
          <w:tcPr>
            <w:tcW w:w="4300" w:type="dxa"/>
          </w:tcPr>
          <w:p w:rsidR="00EE75A2" w:rsidRDefault="008907AB" w:rsidP="00EE75A2">
            <w:r>
              <w:rPr>
                <w:noProof/>
              </w:rPr>
              <w:drawing>
                <wp:inline distT="0" distB="0" distL="0" distR="0" wp14:anchorId="624D5D42" wp14:editId="4CFFA6CF">
                  <wp:extent cx="2857500" cy="2575560"/>
                  <wp:effectExtent l="0" t="0" r="0" b="15240"/>
                  <wp:docPr id="14" name="Chart 14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1296E7FC-E7E7-4875-B19F-72F4D818525F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9"/>
                    </a:graphicData>
                  </a:graphic>
                </wp:inline>
              </w:drawing>
            </w:r>
          </w:p>
        </w:tc>
        <w:tc>
          <w:tcPr>
            <w:tcW w:w="4716" w:type="dxa"/>
          </w:tcPr>
          <w:p w:rsidR="00EE75A2" w:rsidRDefault="008907AB" w:rsidP="00EE75A2">
            <w:r>
              <w:rPr>
                <w:noProof/>
              </w:rPr>
              <w:drawing>
                <wp:inline distT="0" distB="0" distL="0" distR="0" wp14:anchorId="1CC00992" wp14:editId="0E3BDE8A">
                  <wp:extent cx="2842260" cy="2423160"/>
                  <wp:effectExtent l="0" t="0" r="15240" b="15240"/>
                  <wp:docPr id="13" name="Chart 13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A225B0C4-CA0E-4D1F-878A-24B8ADE86B5B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0"/>
                    </a:graphicData>
                  </a:graphic>
                </wp:inline>
              </w:drawing>
            </w:r>
          </w:p>
        </w:tc>
      </w:tr>
    </w:tbl>
    <w:p w:rsidR="00EE75A2" w:rsidRDefault="00EE75A2" w:rsidP="00EE75A2"/>
    <w:sectPr w:rsidR="00EE75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F91E9B"/>
    <w:multiLevelType w:val="hybridMultilevel"/>
    <w:tmpl w:val="A358E8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5A2"/>
    <w:rsid w:val="000A3516"/>
    <w:rsid w:val="004F788E"/>
    <w:rsid w:val="00635CCB"/>
    <w:rsid w:val="00702D00"/>
    <w:rsid w:val="008907AB"/>
    <w:rsid w:val="008C3082"/>
    <w:rsid w:val="009A3D52"/>
    <w:rsid w:val="00A96457"/>
    <w:rsid w:val="00AF0B5F"/>
    <w:rsid w:val="00B8552F"/>
    <w:rsid w:val="00C30A3F"/>
    <w:rsid w:val="00D356FD"/>
    <w:rsid w:val="00E3766B"/>
    <w:rsid w:val="00E531B0"/>
    <w:rsid w:val="00EC1985"/>
    <w:rsid w:val="00EE7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75D1B"/>
  <w15:chartTrackingRefBased/>
  <w15:docId w15:val="{6DBFB615-F804-4B41-B979-329FB5C42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75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30A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431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8496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5503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0878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50065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11" Type="http://schemas.openxmlformats.org/officeDocument/2006/relationships/fontTable" Target="fontTable.xml"/><Relationship Id="rId5" Type="http://schemas.openxmlformats.org/officeDocument/2006/relationships/chart" Target="charts/chart1.xml"/><Relationship Id="rId10" Type="http://schemas.openxmlformats.org/officeDocument/2006/relationships/chart" Target="charts/chart6.xml"/><Relationship Id="rId4" Type="http://schemas.openxmlformats.org/officeDocument/2006/relationships/webSettings" Target="webSettings.xml"/><Relationship Id="rId9" Type="http://schemas.openxmlformats.org/officeDocument/2006/relationships/chart" Target="charts/chart5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work\07%20carrerGraph\pexiscoreAttributeAverage2\output4PBI\byAttributeSummary-20180109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work\07%20carrerGraph\pexiscoreAttributeAverage2\output4PBI\byAttributeSummary-20180109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work\07%20carrerGraph\pexiscoreAttributeAverage2\output4PBI\byGenSum-Behaviour-20180108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work\07%20carrerGraph\pexiscoreAttributeAverage2\output4PBI\byGenSum-Aptitude-20180108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work\07%20carrerGraph\pexiscoreAttributeAverage2\output4PBI\byGenSum-Aptitude-20180108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work\07%20carrerGraph\pexiscoreAttributeAverage2\output4PBI\byGenSum-Behaviour-20180108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7"/>
    </mc:Choice>
    <mc:Fallback>
      <c:style val="7"/>
    </mc:Fallback>
  </mc:AlternateContent>
  <c:chart>
    <c:autoTitleDeleted val="1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aptitude!$C$1</c:f>
              <c:strCache>
                <c:ptCount val="1"/>
                <c:pt idx="0">
                  <c:v>ScorePercent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aptitude!$B$2:$B$9</c:f>
              <c:strCache>
                <c:ptCount val="8"/>
                <c:pt idx="0">
                  <c:v>Situational Judgement</c:v>
                </c:pt>
                <c:pt idx="1">
                  <c:v>Verbal communication</c:v>
                </c:pt>
                <c:pt idx="2">
                  <c:v>Logical thinking</c:v>
                </c:pt>
                <c:pt idx="3">
                  <c:v>Comprehension</c:v>
                </c:pt>
                <c:pt idx="4">
                  <c:v>English Proficiency</c:v>
                </c:pt>
                <c:pt idx="5">
                  <c:v>General Communication</c:v>
                </c:pt>
                <c:pt idx="6">
                  <c:v>Written communication</c:v>
                </c:pt>
                <c:pt idx="7">
                  <c:v>Numeracy</c:v>
                </c:pt>
              </c:strCache>
            </c:strRef>
          </c:cat>
          <c:val>
            <c:numRef>
              <c:f>aptitude!$C$2:$C$9</c:f>
              <c:numCache>
                <c:formatCode>General</c:formatCode>
                <c:ptCount val="8"/>
                <c:pt idx="0">
                  <c:v>46.51</c:v>
                </c:pt>
                <c:pt idx="1">
                  <c:v>49.38</c:v>
                </c:pt>
                <c:pt idx="2">
                  <c:v>53.6</c:v>
                </c:pt>
                <c:pt idx="3">
                  <c:v>58.8</c:v>
                </c:pt>
                <c:pt idx="4">
                  <c:v>67.790000000000006</c:v>
                </c:pt>
                <c:pt idx="5">
                  <c:v>75.209999999999994</c:v>
                </c:pt>
                <c:pt idx="6">
                  <c:v>79.540000000000006</c:v>
                </c:pt>
                <c:pt idx="7">
                  <c:v>83.51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826-4FBB-9E27-1B9861B95F1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561375112"/>
        <c:axId val="561375768"/>
      </c:barChart>
      <c:catAx>
        <c:axId val="561375112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61375768"/>
        <c:crosses val="autoZero"/>
        <c:auto val="1"/>
        <c:lblAlgn val="ctr"/>
        <c:lblOffset val="100"/>
        <c:noMultiLvlLbl val="0"/>
      </c:catAx>
      <c:valAx>
        <c:axId val="56137576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6137511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7"/>
    </mc:Choice>
    <mc:Fallback>
      <c:style val="7"/>
    </mc:Fallback>
  </mc:AlternateContent>
  <c:chart>
    <c:autoTitleDeleted val="1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behaviour!$C$1</c:f>
              <c:strCache>
                <c:ptCount val="1"/>
                <c:pt idx="0">
                  <c:v>ScorePercent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behaviour!$B$2:$B$15</c:f>
              <c:strCache>
                <c:ptCount val="14"/>
                <c:pt idx="0">
                  <c:v>Negotiation</c:v>
                </c:pt>
                <c:pt idx="1">
                  <c:v>Fight vs. Flight</c:v>
                </c:pt>
                <c:pt idx="2">
                  <c:v>Decision Making</c:v>
                </c:pt>
                <c:pt idx="3">
                  <c:v>Handling Conflict</c:v>
                </c:pt>
                <c:pt idx="4">
                  <c:v>Innovation</c:v>
                </c:pt>
                <c:pt idx="5">
                  <c:v>Resourcefulness</c:v>
                </c:pt>
                <c:pt idx="6">
                  <c:v>Openness</c:v>
                </c:pt>
                <c:pt idx="7">
                  <c:v>Vision Approach</c:v>
                </c:pt>
                <c:pt idx="8">
                  <c:v>Morality</c:v>
                </c:pt>
                <c:pt idx="9">
                  <c:v>Team Player</c:v>
                </c:pt>
                <c:pt idx="10">
                  <c:v>Team Management</c:v>
                </c:pt>
                <c:pt idx="11">
                  <c:v>Self Esteem</c:v>
                </c:pt>
                <c:pt idx="12">
                  <c:v>Creativity</c:v>
                </c:pt>
                <c:pt idx="13">
                  <c:v>Emotional Stability</c:v>
                </c:pt>
              </c:strCache>
            </c:strRef>
          </c:cat>
          <c:val>
            <c:numRef>
              <c:f>behaviour!$C$2:$C$15</c:f>
              <c:numCache>
                <c:formatCode>General</c:formatCode>
                <c:ptCount val="14"/>
                <c:pt idx="0">
                  <c:v>46.46</c:v>
                </c:pt>
                <c:pt idx="1">
                  <c:v>51.48</c:v>
                </c:pt>
                <c:pt idx="2">
                  <c:v>51.69</c:v>
                </c:pt>
                <c:pt idx="3">
                  <c:v>52.59</c:v>
                </c:pt>
                <c:pt idx="4">
                  <c:v>54.43</c:v>
                </c:pt>
                <c:pt idx="5">
                  <c:v>55.31</c:v>
                </c:pt>
                <c:pt idx="6">
                  <c:v>55.67</c:v>
                </c:pt>
                <c:pt idx="7">
                  <c:v>56.62</c:v>
                </c:pt>
                <c:pt idx="8">
                  <c:v>56.76</c:v>
                </c:pt>
                <c:pt idx="9">
                  <c:v>58.46</c:v>
                </c:pt>
                <c:pt idx="10">
                  <c:v>59.26</c:v>
                </c:pt>
                <c:pt idx="11">
                  <c:v>59.67</c:v>
                </c:pt>
                <c:pt idx="12">
                  <c:v>60.99</c:v>
                </c:pt>
                <c:pt idx="13">
                  <c:v>62.46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0F6-401D-8B4A-1A692CB2CC6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562181384"/>
        <c:axId val="562181712"/>
      </c:barChart>
      <c:catAx>
        <c:axId val="562181384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62181712"/>
        <c:crosses val="autoZero"/>
        <c:auto val="1"/>
        <c:lblAlgn val="ctr"/>
        <c:lblOffset val="100"/>
        <c:noMultiLvlLbl val="0"/>
      </c:catAx>
      <c:valAx>
        <c:axId val="5621817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6218138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Millennials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Sheet1!$A$2:$A$4</c:f>
              <c:strCache>
                <c:ptCount val="3"/>
                <c:pt idx="0">
                  <c:v>Handling Conflict</c:v>
                </c:pt>
                <c:pt idx="1">
                  <c:v>Innovation</c:v>
                </c:pt>
                <c:pt idx="2">
                  <c:v>Negotiation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51.95</c:v>
                </c:pt>
                <c:pt idx="1">
                  <c:v>53.88</c:v>
                </c:pt>
                <c:pt idx="2">
                  <c:v>46.1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E9A-4C00-A602-89DAD9040725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Generation X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Sheet1!$A$2:$A$4</c:f>
              <c:strCache>
                <c:ptCount val="3"/>
                <c:pt idx="0">
                  <c:v>Handling Conflict</c:v>
                </c:pt>
                <c:pt idx="1">
                  <c:v>Innovation</c:v>
                </c:pt>
                <c:pt idx="2">
                  <c:v>Negotiation</c:v>
                </c:pt>
              </c:strCache>
            </c:strRef>
          </c:cat>
          <c:val>
            <c:numRef>
              <c:f>Sheet1!$C$2:$C$4</c:f>
              <c:numCache>
                <c:formatCode>General</c:formatCode>
                <c:ptCount val="3"/>
                <c:pt idx="0">
                  <c:v>59.48</c:v>
                </c:pt>
                <c:pt idx="1">
                  <c:v>61.24</c:v>
                </c:pt>
                <c:pt idx="2">
                  <c:v>51.42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8E9A-4C00-A602-89DAD9040725}"/>
            </c:ext>
          </c:extLst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axId val="559936640"/>
        <c:axId val="559938936"/>
      </c:barChart>
      <c:catAx>
        <c:axId val="559936640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59938936"/>
        <c:crosses val="autoZero"/>
        <c:auto val="1"/>
        <c:lblAlgn val="ctr"/>
        <c:lblOffset val="100"/>
        <c:noMultiLvlLbl val="0"/>
      </c:catAx>
      <c:valAx>
        <c:axId val="55993893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599366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Sheet2!$B$1</c:f>
              <c:strCache>
                <c:ptCount val="1"/>
                <c:pt idx="0">
                  <c:v>Millennials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Sheet2!$A$2:$A$5</c:f>
              <c:strCache>
                <c:ptCount val="4"/>
                <c:pt idx="0">
                  <c:v>Logical thinking</c:v>
                </c:pt>
                <c:pt idx="1">
                  <c:v>Numeracy</c:v>
                </c:pt>
                <c:pt idx="2">
                  <c:v>Comprehension</c:v>
                </c:pt>
                <c:pt idx="3">
                  <c:v>General Communication</c:v>
                </c:pt>
              </c:strCache>
            </c:strRef>
          </c:cat>
          <c:val>
            <c:numRef>
              <c:f>Sheet2!$B$2:$B$5</c:f>
              <c:numCache>
                <c:formatCode>General</c:formatCode>
                <c:ptCount val="4"/>
                <c:pt idx="0">
                  <c:v>54.28</c:v>
                </c:pt>
                <c:pt idx="1">
                  <c:v>84.3</c:v>
                </c:pt>
                <c:pt idx="2">
                  <c:v>58.9</c:v>
                </c:pt>
                <c:pt idx="3">
                  <c:v>74.23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11E-4123-A922-290B943F9363}"/>
            </c:ext>
          </c:extLst>
        </c:ser>
        <c:ser>
          <c:idx val="1"/>
          <c:order val="1"/>
          <c:tx>
            <c:strRef>
              <c:f>Sheet2!$C$1</c:f>
              <c:strCache>
                <c:ptCount val="1"/>
                <c:pt idx="0">
                  <c:v>Generation X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Sheet2!$A$2:$A$5</c:f>
              <c:strCache>
                <c:ptCount val="4"/>
                <c:pt idx="0">
                  <c:v>Logical thinking</c:v>
                </c:pt>
                <c:pt idx="1">
                  <c:v>Numeracy</c:v>
                </c:pt>
                <c:pt idx="2">
                  <c:v>Comprehension</c:v>
                </c:pt>
                <c:pt idx="3">
                  <c:v>General Communication</c:v>
                </c:pt>
              </c:strCache>
            </c:strRef>
          </c:cat>
          <c:val>
            <c:numRef>
              <c:f>Sheet2!$C$2:$C$5</c:f>
              <c:numCache>
                <c:formatCode>General</c:formatCode>
                <c:ptCount val="4"/>
                <c:pt idx="0">
                  <c:v>42.5</c:v>
                </c:pt>
                <c:pt idx="1">
                  <c:v>72.599999999999994</c:v>
                </c:pt>
                <c:pt idx="2">
                  <c:v>51.25</c:v>
                </c:pt>
                <c:pt idx="3">
                  <c:v>86.25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311E-4123-A922-290B943F9363}"/>
            </c:ext>
          </c:extLst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</c:dLbls>
        <c:gapWidth val="182"/>
        <c:axId val="528966536"/>
        <c:axId val="528964568"/>
      </c:barChart>
      <c:catAx>
        <c:axId val="528966536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8964568"/>
        <c:crosses val="autoZero"/>
        <c:auto val="1"/>
        <c:lblAlgn val="ctr"/>
        <c:lblOffset val="100"/>
        <c:noMultiLvlLbl val="0"/>
      </c:catAx>
      <c:valAx>
        <c:axId val="52896456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89665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egendEntry>
        <c:idx val="0"/>
        <c:txPr>
          <a:bodyPr rot="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ln>
                  <a:noFill/>
                </a:ln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Sheet3!$B$1</c:f>
              <c:strCache>
                <c:ptCount val="1"/>
                <c:pt idx="0">
                  <c:v>Millennials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Sheet3!$A$2:$A$5</c:f>
              <c:strCache>
                <c:ptCount val="4"/>
                <c:pt idx="0">
                  <c:v>Written communication</c:v>
                </c:pt>
                <c:pt idx="1">
                  <c:v>English Proficiency</c:v>
                </c:pt>
                <c:pt idx="2">
                  <c:v>Situational Judgement</c:v>
                </c:pt>
                <c:pt idx="3">
                  <c:v>Verbal communication</c:v>
                </c:pt>
              </c:strCache>
            </c:strRef>
          </c:cat>
          <c:val>
            <c:numRef>
              <c:f>Sheet3!$B$2:$B$5</c:f>
              <c:numCache>
                <c:formatCode>General</c:formatCode>
                <c:ptCount val="4"/>
                <c:pt idx="0">
                  <c:v>79.84</c:v>
                </c:pt>
                <c:pt idx="1">
                  <c:v>68.09</c:v>
                </c:pt>
                <c:pt idx="2">
                  <c:v>46.92</c:v>
                </c:pt>
                <c:pt idx="3">
                  <c:v>49.47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CAD-4F70-B273-2C89311FB61F}"/>
            </c:ext>
          </c:extLst>
        </c:ser>
        <c:ser>
          <c:idx val="1"/>
          <c:order val="1"/>
          <c:tx>
            <c:strRef>
              <c:f>Sheet3!$C$1</c:f>
              <c:strCache>
                <c:ptCount val="1"/>
                <c:pt idx="0">
                  <c:v>Generation X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Sheet3!$A$2:$A$5</c:f>
              <c:strCache>
                <c:ptCount val="4"/>
                <c:pt idx="0">
                  <c:v>Written communication</c:v>
                </c:pt>
                <c:pt idx="1">
                  <c:v>English Proficiency</c:v>
                </c:pt>
                <c:pt idx="2">
                  <c:v>Situational Judgement</c:v>
                </c:pt>
                <c:pt idx="3">
                  <c:v>Verbal communication</c:v>
                </c:pt>
              </c:strCache>
            </c:strRef>
          </c:cat>
          <c:val>
            <c:numRef>
              <c:f>Sheet3!$C$2:$C$5</c:f>
              <c:numCache>
                <c:formatCode>General</c:formatCode>
                <c:ptCount val="4"/>
                <c:pt idx="0">
                  <c:v>72.5</c:v>
                </c:pt>
                <c:pt idx="1">
                  <c:v>62.5</c:v>
                </c:pt>
                <c:pt idx="2">
                  <c:v>43.53</c:v>
                </c:pt>
                <c:pt idx="3">
                  <c:v>47.5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CCAD-4F70-B273-2C89311FB61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607529592"/>
        <c:axId val="607530904"/>
      </c:barChart>
      <c:catAx>
        <c:axId val="60752959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07530904"/>
        <c:crosses val="autoZero"/>
        <c:auto val="1"/>
        <c:lblAlgn val="ctr"/>
        <c:lblOffset val="100"/>
        <c:noMultiLvlLbl val="0"/>
      </c:catAx>
      <c:valAx>
        <c:axId val="6075309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075295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Sheet2!$B$1</c:f>
              <c:strCache>
                <c:ptCount val="1"/>
                <c:pt idx="0">
                  <c:v>Millennials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/>
          </c:spPr>
          <c:invertIfNegative val="0"/>
          <c:cat>
            <c:strRef>
              <c:f>Sheet2!$A$2:$A$12</c:f>
              <c:strCache>
                <c:ptCount val="11"/>
                <c:pt idx="0">
                  <c:v>Team Player</c:v>
                </c:pt>
                <c:pt idx="1">
                  <c:v>Decision Making</c:v>
                </c:pt>
                <c:pt idx="2">
                  <c:v>Creativity</c:v>
                </c:pt>
                <c:pt idx="3">
                  <c:v>Vision Approach</c:v>
                </c:pt>
                <c:pt idx="4">
                  <c:v>Resourcefulness</c:v>
                </c:pt>
                <c:pt idx="5">
                  <c:v>Openness</c:v>
                </c:pt>
                <c:pt idx="6">
                  <c:v>Morality</c:v>
                </c:pt>
                <c:pt idx="7">
                  <c:v>Team Management</c:v>
                </c:pt>
                <c:pt idx="8">
                  <c:v>Self Esteem</c:v>
                </c:pt>
                <c:pt idx="9">
                  <c:v>Fight vs. Flight</c:v>
                </c:pt>
                <c:pt idx="10">
                  <c:v>Emotional Stability</c:v>
                </c:pt>
              </c:strCache>
            </c:strRef>
          </c:cat>
          <c:val>
            <c:numRef>
              <c:f>Sheet2!$B$2:$B$12</c:f>
              <c:numCache>
                <c:formatCode>General</c:formatCode>
                <c:ptCount val="11"/>
                <c:pt idx="0">
                  <c:v>58.08</c:v>
                </c:pt>
                <c:pt idx="1">
                  <c:v>51.44</c:v>
                </c:pt>
                <c:pt idx="2">
                  <c:v>60.74</c:v>
                </c:pt>
                <c:pt idx="3">
                  <c:v>56.42</c:v>
                </c:pt>
                <c:pt idx="4">
                  <c:v>55.11</c:v>
                </c:pt>
                <c:pt idx="5">
                  <c:v>55.55</c:v>
                </c:pt>
                <c:pt idx="6">
                  <c:v>56.58</c:v>
                </c:pt>
                <c:pt idx="7">
                  <c:v>59.27</c:v>
                </c:pt>
                <c:pt idx="8">
                  <c:v>59.85</c:v>
                </c:pt>
                <c:pt idx="9">
                  <c:v>51.61</c:v>
                </c:pt>
                <c:pt idx="10">
                  <c:v>62.59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C8F-4408-9683-F0F19A7F5824}"/>
            </c:ext>
          </c:extLst>
        </c:ser>
        <c:ser>
          <c:idx val="1"/>
          <c:order val="1"/>
          <c:tx>
            <c:strRef>
              <c:f>Sheet2!$C$1</c:f>
              <c:strCache>
                <c:ptCount val="1"/>
                <c:pt idx="0">
                  <c:v>Generation X</c:v>
                </c:pt>
              </c:strCache>
            </c:strRef>
          </c:tx>
          <c:spPr>
            <a:gradFill rotWithShape="1">
              <a:gsLst>
                <a:gs pos="0">
                  <a:schemeClr val="accent4"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/>
          </c:spPr>
          <c:invertIfNegative val="0"/>
          <c:cat>
            <c:strRef>
              <c:f>Sheet2!$A$2:$A$12</c:f>
              <c:strCache>
                <c:ptCount val="11"/>
                <c:pt idx="0">
                  <c:v>Team Player</c:v>
                </c:pt>
                <c:pt idx="1">
                  <c:v>Decision Making</c:v>
                </c:pt>
                <c:pt idx="2">
                  <c:v>Creativity</c:v>
                </c:pt>
                <c:pt idx="3">
                  <c:v>Vision Approach</c:v>
                </c:pt>
                <c:pt idx="4">
                  <c:v>Resourcefulness</c:v>
                </c:pt>
                <c:pt idx="5">
                  <c:v>Openness</c:v>
                </c:pt>
                <c:pt idx="6">
                  <c:v>Morality</c:v>
                </c:pt>
                <c:pt idx="7">
                  <c:v>Team Management</c:v>
                </c:pt>
                <c:pt idx="8">
                  <c:v>Self Esteem</c:v>
                </c:pt>
                <c:pt idx="9">
                  <c:v>Fight vs. Flight</c:v>
                </c:pt>
                <c:pt idx="10">
                  <c:v>Emotional Stability</c:v>
                </c:pt>
              </c:strCache>
            </c:strRef>
          </c:cat>
          <c:val>
            <c:numRef>
              <c:f>Sheet2!$C$2:$C$12</c:f>
              <c:numCache>
                <c:formatCode>General</c:formatCode>
                <c:ptCount val="11"/>
                <c:pt idx="0">
                  <c:v>61.68</c:v>
                </c:pt>
                <c:pt idx="1">
                  <c:v>54.49</c:v>
                </c:pt>
                <c:pt idx="2">
                  <c:v>63.69</c:v>
                </c:pt>
                <c:pt idx="3">
                  <c:v>58.43</c:v>
                </c:pt>
                <c:pt idx="4">
                  <c:v>56.47</c:v>
                </c:pt>
                <c:pt idx="5">
                  <c:v>56.67</c:v>
                </c:pt>
                <c:pt idx="6">
                  <c:v>57.53</c:v>
                </c:pt>
                <c:pt idx="7">
                  <c:v>59.71</c:v>
                </c:pt>
                <c:pt idx="8">
                  <c:v>58.71</c:v>
                </c:pt>
                <c:pt idx="9">
                  <c:v>50.56</c:v>
                </c:pt>
                <c:pt idx="10">
                  <c:v>59.82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2C8F-4408-9683-F0F19A7F582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-24"/>
        <c:axId val="559893344"/>
        <c:axId val="559893672"/>
      </c:barChart>
      <c:catAx>
        <c:axId val="5598933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2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59893672"/>
        <c:crosses val="autoZero"/>
        <c:auto val="1"/>
        <c:lblAlgn val="ctr"/>
        <c:lblOffset val="100"/>
        <c:noMultiLvlLbl val="0"/>
      </c:catAx>
      <c:valAx>
        <c:axId val="5598936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598933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withinLinearReversed" id="25">
  <a:schemeClr val="accent5"/>
</cs:colorStyle>
</file>

<file path=word/charts/colors2.xml><?xml version="1.0" encoding="utf-8"?>
<cs:colorStyle xmlns:cs="http://schemas.microsoft.com/office/drawing/2012/chartStyle" xmlns:a="http://schemas.openxmlformats.org/drawingml/2006/main" meth="withinLinearReversed" id="25">
  <a:schemeClr val="accent5"/>
</cs:colorStyle>
</file>

<file path=word/charts/colors3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07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3">
      <cs:styleClr val="auto"/>
    </cs:fillRef>
    <cs:effectRef idx="2"/>
    <cs:fontRef idx="minor">
      <a:schemeClr val="tx2"/>
    </cs:fontRef>
    <cs:spPr>
      <a:ln w="12700">
        <a:solidFill>
          <a:schemeClr val="lt2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  <a:lumOff val="2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</dc:creator>
  <cp:keywords/>
  <dc:description/>
  <cp:lastModifiedBy>Jay</cp:lastModifiedBy>
  <cp:revision>13</cp:revision>
  <dcterms:created xsi:type="dcterms:W3CDTF">2018-01-09T05:19:00Z</dcterms:created>
  <dcterms:modified xsi:type="dcterms:W3CDTF">2018-01-09T06:01:00Z</dcterms:modified>
</cp:coreProperties>
</file>