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CE066" w14:textId="68E4337A" w:rsidR="007E2166" w:rsidRDefault="004F138A" w:rsidP="004F138A">
      <w:pPr>
        <w:pStyle w:val="NoSpacing"/>
      </w:pPr>
      <w:r>
        <w:t xml:space="preserve">----- </w:t>
      </w:r>
      <w:r w:rsidRPr="0086114D">
        <w:rPr>
          <w:b/>
          <w:bCs/>
          <w:highlight w:val="yellow"/>
          <w:u w:val="single"/>
        </w:rPr>
        <w:t>Fed Fund’s Rate</w:t>
      </w:r>
      <w:r>
        <w:t>:</w:t>
      </w:r>
    </w:p>
    <w:p w14:paraId="1597AF3B" w14:textId="512ACCC4" w:rsidR="004F138A" w:rsidRDefault="007A2D02" w:rsidP="004F138A">
      <w:pPr>
        <w:pStyle w:val="NoSpacing"/>
      </w:pPr>
      <w:hyperlink r:id="rId6" w:history="1">
        <w:r w:rsidR="004F138A" w:rsidRPr="005464B4">
          <w:rPr>
            <w:rStyle w:val="Hyperlink"/>
          </w:rPr>
          <w:t>https://www.federalreserve.gov/data.htm</w:t>
        </w:r>
      </w:hyperlink>
    </w:p>
    <w:p w14:paraId="40253DE4" w14:textId="3818F7FE" w:rsidR="004F138A" w:rsidRDefault="004F138A" w:rsidP="004F138A">
      <w:pPr>
        <w:pStyle w:val="NoSpacing"/>
      </w:pPr>
      <w:r>
        <w:t xml:space="preserve">data tab </w:t>
      </w:r>
      <w:r>
        <w:sym w:font="Wingdings" w:char="F0E0"/>
      </w:r>
      <w:r>
        <w:t xml:space="preserve"> under “Interest Rates” </w:t>
      </w:r>
      <w:hyperlink r:id="rId7" w:history="1">
        <w:r>
          <w:rPr>
            <w:rStyle w:val="Hyperlink"/>
          </w:rPr>
          <w:t>Selected Interest Rates - H.15</w:t>
        </w:r>
      </w:hyperlink>
      <w:r>
        <w:t xml:space="preserve">  </w:t>
      </w:r>
      <w:r>
        <w:sym w:font="Wingdings" w:char="F0E0"/>
      </w:r>
      <w:r>
        <w:t xml:space="preserve"> build your own data package: </w:t>
      </w:r>
      <w:hyperlink r:id="rId8" w:history="1">
        <w:r w:rsidRPr="005464B4">
          <w:rPr>
            <w:rStyle w:val="Hyperlink"/>
          </w:rPr>
          <w:t>https://www.federalreserve.gov/datadownload/Choose.aspx?rel=H15</w:t>
        </w:r>
      </w:hyperlink>
      <w:r>
        <w:t xml:space="preserve"> (“Select Interest Rates” continue </w:t>
      </w:r>
      <w:r>
        <w:sym w:font="Wingdings" w:char="F0E0"/>
      </w:r>
      <w:r>
        <w:t xml:space="preserve"> FF “Federal funds” continue </w:t>
      </w:r>
      <w:r>
        <w:sym w:font="Wingdings" w:char="F0E0"/>
      </w:r>
      <w:r>
        <w:t xml:space="preserve"> maturity (overnight) </w:t>
      </w:r>
      <w:r>
        <w:sym w:font="Wingdings" w:char="F0E0"/>
      </w:r>
      <w:r>
        <w:t xml:space="preserve"> weekly </w:t>
      </w:r>
    </w:p>
    <w:p w14:paraId="4EB41609" w14:textId="7CEC6B2C" w:rsidR="004F138A" w:rsidRDefault="004F138A" w:rsidP="004F138A">
      <w:pPr>
        <w:pStyle w:val="NoSpacing"/>
      </w:pPr>
      <w:r>
        <w:t>- files stored in:</w:t>
      </w:r>
    </w:p>
    <w:p w14:paraId="54130B0D" w14:textId="30EEA81C" w:rsidR="004F138A" w:rsidRDefault="004F138A" w:rsidP="004F138A">
      <w:pPr>
        <w:pStyle w:val="NoSpacing"/>
      </w:pPr>
      <w:r w:rsidRPr="004F138A">
        <w:t>C:\Code\_Metis\02 - Linear Regression and Web Scraping\_Project\data\Fed Funds Rate (weekly) - 2010.12.26-2020.01.07</w:t>
      </w:r>
    </w:p>
    <w:p w14:paraId="5F50C16A" w14:textId="5F12B0FE" w:rsidR="004F138A" w:rsidRDefault="004F138A" w:rsidP="004F138A">
      <w:pPr>
        <w:pStyle w:val="NoSpacing"/>
      </w:pPr>
    </w:p>
    <w:p w14:paraId="6B1CF516" w14:textId="77777777" w:rsidR="0086114D" w:rsidRDefault="0086114D" w:rsidP="004F138A">
      <w:pPr>
        <w:pStyle w:val="NoSpacing"/>
      </w:pPr>
    </w:p>
    <w:p w14:paraId="4D9DF290" w14:textId="6264ECAF" w:rsidR="004F138A" w:rsidRDefault="0086114D" w:rsidP="004F138A">
      <w:pPr>
        <w:pStyle w:val="NoSpacing"/>
      </w:pPr>
      <w:r>
        <w:t xml:space="preserve">----- </w:t>
      </w:r>
      <w:r w:rsidRPr="0086114D">
        <w:rPr>
          <w:b/>
          <w:bCs/>
          <w:highlight w:val="yellow"/>
          <w:u w:val="single"/>
        </w:rPr>
        <w:t>INFLATION</w:t>
      </w:r>
      <w:r>
        <w:t xml:space="preserve">: </w:t>
      </w:r>
    </w:p>
    <w:p w14:paraId="54D8F028" w14:textId="1F2664B6" w:rsidR="0086114D" w:rsidRDefault="007A2D02" w:rsidP="004F138A">
      <w:pPr>
        <w:pStyle w:val="NoSpacing"/>
      </w:pPr>
      <w:hyperlink r:id="rId9" w:history="1">
        <w:r w:rsidR="0086114D" w:rsidRPr="005464B4">
          <w:rPr>
            <w:rStyle w:val="Hyperlink"/>
          </w:rPr>
          <w:t>https://fred.stlouisfed.org/tags/series?t=inflation</w:t>
        </w:r>
      </w:hyperlink>
    </w:p>
    <w:p w14:paraId="0398EE7E" w14:textId="6130F080" w:rsidR="0086114D" w:rsidRDefault="007A2D02" w:rsidP="004F138A">
      <w:pPr>
        <w:pStyle w:val="NoSpacing"/>
      </w:pPr>
      <w:hyperlink r:id="rId10" w:history="1">
        <w:r w:rsidR="0086114D" w:rsidRPr="005464B4">
          <w:rPr>
            <w:rStyle w:val="Hyperlink"/>
          </w:rPr>
          <w:t>https://fred.stlouisfed.org/series/T10YIE</w:t>
        </w:r>
      </w:hyperlink>
    </w:p>
    <w:p w14:paraId="6B56BFCC" w14:textId="089FEF8A" w:rsidR="0086114D" w:rsidRDefault="0086114D" w:rsidP="004F138A">
      <w:pPr>
        <w:pStyle w:val="NoSpacing"/>
      </w:pPr>
    </w:p>
    <w:p w14:paraId="110E703C" w14:textId="77777777" w:rsidR="0086114D" w:rsidRDefault="0086114D" w:rsidP="0086114D">
      <w:r>
        <w:t xml:space="preserve">NOTES </w:t>
      </w:r>
    </w:p>
    <w:p w14:paraId="71F45D13" w14:textId="77777777" w:rsidR="0086114D" w:rsidRDefault="0086114D" w:rsidP="0086114D">
      <w:pPr>
        <w:pStyle w:val="col-xs-12col-md-6"/>
      </w:pPr>
      <w:r>
        <w:rPr>
          <w:rStyle w:val="Strong"/>
        </w:rPr>
        <w:t>Source:</w:t>
      </w:r>
      <w:r>
        <w:t xml:space="preserve"> </w:t>
      </w:r>
      <w:hyperlink r:id="rId11" w:tgtFrame="_blank" w:history="1">
        <w:r>
          <w:rPr>
            <w:rStyle w:val="Hyperlink"/>
          </w:rPr>
          <w:t xml:space="preserve">Federal Reserve Bank of St. Louis </w:t>
        </w:r>
      </w:hyperlink>
      <w:r>
        <w:t xml:space="preserve">  </w:t>
      </w:r>
    </w:p>
    <w:p w14:paraId="46A39358" w14:textId="77777777" w:rsidR="0086114D" w:rsidRDefault="0086114D" w:rsidP="0086114D">
      <w:pPr>
        <w:pStyle w:val="col-xs-12col-md-6"/>
      </w:pPr>
      <w:r>
        <w:rPr>
          <w:rStyle w:val="Strong"/>
        </w:rPr>
        <w:t>Release:</w:t>
      </w:r>
      <w:r>
        <w:t xml:space="preserve"> Interest Rate Spreads </w:t>
      </w:r>
    </w:p>
    <w:p w14:paraId="0C58711C" w14:textId="77777777" w:rsidR="0086114D" w:rsidRDefault="0086114D" w:rsidP="0086114D">
      <w:pPr>
        <w:pStyle w:val="col-xs-12pull-left"/>
      </w:pPr>
      <w:r>
        <w:rPr>
          <w:rStyle w:val="Strong"/>
        </w:rPr>
        <w:t>Units:</w:t>
      </w:r>
      <w:r>
        <w:t xml:space="preserve">  </w:t>
      </w:r>
      <w:r>
        <w:rPr>
          <w:rStyle w:val="series-meta-value-units"/>
        </w:rPr>
        <w:t>Percent</w:t>
      </w:r>
      <w:r>
        <w:rPr>
          <w:rStyle w:val="series-meta-value"/>
        </w:rPr>
        <w:t xml:space="preserve">, Not Seasonally Adjusted </w:t>
      </w:r>
    </w:p>
    <w:p w14:paraId="37F8065B" w14:textId="77777777" w:rsidR="0086114D" w:rsidRDefault="0086114D" w:rsidP="0086114D">
      <w:pPr>
        <w:pStyle w:val="col-xs-12pull-left"/>
      </w:pPr>
      <w:r>
        <w:rPr>
          <w:rStyle w:val="Strong"/>
        </w:rPr>
        <w:t>Frequency:</w:t>
      </w:r>
      <w:r>
        <w:t xml:space="preserve">  </w:t>
      </w:r>
      <w:r>
        <w:rPr>
          <w:rStyle w:val="series-meta-value-frequency"/>
        </w:rPr>
        <w:t xml:space="preserve">Daily </w:t>
      </w:r>
    </w:p>
    <w:p w14:paraId="411899F7" w14:textId="77777777" w:rsidR="0086114D" w:rsidRDefault="0086114D" w:rsidP="0086114D">
      <w:pPr>
        <w:pStyle w:val="series-notes"/>
      </w:pPr>
      <w:r>
        <w:t>The breakeven inflation rate represents a measure of expected inflation derived from 10-Year Treasury Constant Maturity Securities (BC_10YEAR) and 10-Year Treasury Inflation-Indexed Constant Maturity Securities (TC_10YEAR). The latest value implies what market participants expect inflation to be in the next 10 years, on average.</w:t>
      </w:r>
      <w:r>
        <w:br/>
        <w:t xml:space="preserve">Starting with the update on June 21, 2019, the Treasury bond data used in calculating interest rate spreads is obtained directly from the </w:t>
      </w:r>
      <w:hyperlink r:id="rId12" w:history="1">
        <w:r>
          <w:rPr>
            <w:rStyle w:val="Hyperlink"/>
          </w:rPr>
          <w:t>U.S. Treasury Department</w:t>
        </w:r>
      </w:hyperlink>
      <w:r>
        <w:t>.</w:t>
      </w:r>
    </w:p>
    <w:p w14:paraId="67D76874" w14:textId="77777777" w:rsidR="0086114D" w:rsidRDefault="0086114D" w:rsidP="0086114D">
      <w:pPr>
        <w:pStyle w:val="Heading4"/>
      </w:pPr>
      <w:r>
        <w:t>Suggested Citation:</w:t>
      </w:r>
    </w:p>
    <w:p w14:paraId="4DCF0E2B" w14:textId="77777777" w:rsidR="0086114D" w:rsidRDefault="0086114D" w:rsidP="0086114D">
      <w:pPr>
        <w:pStyle w:val="citation"/>
      </w:pPr>
      <w:r>
        <w:t xml:space="preserve">Federal Reserve Bank of St. Louis, 10-Year Breakeven Inflation Rate [T10YIE], retrieved from FRED, Federal Reserve Bank of St. Louis; https://fred.stlouisfed.org/series/T10YIE, November 5, 2021. </w:t>
      </w:r>
    </w:p>
    <w:p w14:paraId="67CCAD5B" w14:textId="77777777" w:rsidR="0086114D" w:rsidRDefault="0086114D" w:rsidP="004F138A">
      <w:pPr>
        <w:pStyle w:val="NoSpacing"/>
      </w:pPr>
    </w:p>
    <w:p w14:paraId="0BC15963" w14:textId="5D3EA430" w:rsidR="004F138A" w:rsidRDefault="006F1BB1" w:rsidP="004F138A">
      <w:pPr>
        <w:pStyle w:val="NoSpacing"/>
      </w:pPr>
      <w:r>
        <w:t xml:space="preserve">----- </w:t>
      </w:r>
      <w:r w:rsidR="00044CA0" w:rsidRPr="0086114D">
        <w:rPr>
          <w:b/>
          <w:bCs/>
          <w:highlight w:val="yellow"/>
          <w:u w:val="single"/>
        </w:rPr>
        <w:t>Unemployment</w:t>
      </w:r>
      <w:r w:rsidR="00044CA0">
        <w:t xml:space="preserve">: </w:t>
      </w:r>
      <w:hyperlink r:id="rId13" w:history="1">
        <w:r w:rsidR="00044CA0" w:rsidRPr="005464B4">
          <w:rPr>
            <w:rStyle w:val="Hyperlink"/>
          </w:rPr>
          <w:t>https://fred.stlouisfed.org/series/UNRATE</w:t>
        </w:r>
      </w:hyperlink>
    </w:p>
    <w:p w14:paraId="615FB145" w14:textId="0D8B76F6" w:rsidR="00044CA0" w:rsidRDefault="00044CA0" w:rsidP="004F138A">
      <w:pPr>
        <w:pStyle w:val="NoSpacing"/>
      </w:pPr>
    </w:p>
    <w:p w14:paraId="6A020781" w14:textId="77777777" w:rsidR="0086114D" w:rsidRDefault="0086114D" w:rsidP="0086114D">
      <w:r>
        <w:t xml:space="preserve">NOTES </w:t>
      </w:r>
    </w:p>
    <w:p w14:paraId="6AE6CF48" w14:textId="77777777" w:rsidR="0086114D" w:rsidRDefault="0086114D" w:rsidP="0086114D">
      <w:pPr>
        <w:pStyle w:val="col-xs-12col-md-6"/>
      </w:pPr>
      <w:r>
        <w:rPr>
          <w:rStyle w:val="Strong"/>
        </w:rPr>
        <w:t>Source:</w:t>
      </w:r>
      <w:r>
        <w:t xml:space="preserve"> </w:t>
      </w:r>
      <w:hyperlink r:id="rId14" w:tgtFrame="_blank" w:history="1">
        <w:r>
          <w:rPr>
            <w:rStyle w:val="Hyperlink"/>
          </w:rPr>
          <w:t xml:space="preserve">U.S. Bureau of Labor Statistics </w:t>
        </w:r>
      </w:hyperlink>
      <w:r>
        <w:t xml:space="preserve">  </w:t>
      </w:r>
    </w:p>
    <w:p w14:paraId="33AAE648" w14:textId="77777777" w:rsidR="0086114D" w:rsidRDefault="0086114D" w:rsidP="0086114D">
      <w:pPr>
        <w:pStyle w:val="col-xs-12col-md-6"/>
      </w:pPr>
      <w:r>
        <w:rPr>
          <w:rStyle w:val="Strong"/>
        </w:rPr>
        <w:t>Release:</w:t>
      </w:r>
      <w:r>
        <w:t xml:space="preserve"> </w:t>
      </w:r>
      <w:hyperlink r:id="rId15" w:tgtFrame="_blank" w:history="1">
        <w:r>
          <w:rPr>
            <w:rStyle w:val="Hyperlink"/>
          </w:rPr>
          <w:t xml:space="preserve">Employment Situation </w:t>
        </w:r>
      </w:hyperlink>
      <w:r>
        <w:t xml:space="preserve">  </w:t>
      </w:r>
    </w:p>
    <w:p w14:paraId="3E512C00" w14:textId="77777777" w:rsidR="0086114D" w:rsidRDefault="0086114D" w:rsidP="0086114D">
      <w:pPr>
        <w:pStyle w:val="col-xs-12pull-left"/>
      </w:pPr>
      <w:r>
        <w:rPr>
          <w:rStyle w:val="Strong"/>
        </w:rPr>
        <w:t>Units:</w:t>
      </w:r>
      <w:r>
        <w:t xml:space="preserve">  </w:t>
      </w:r>
      <w:r>
        <w:rPr>
          <w:rStyle w:val="series-meta-value-units"/>
        </w:rPr>
        <w:t>Percent</w:t>
      </w:r>
      <w:r>
        <w:rPr>
          <w:rStyle w:val="series-meta-value"/>
        </w:rPr>
        <w:t xml:space="preserve">, Seasonally Adjusted </w:t>
      </w:r>
    </w:p>
    <w:p w14:paraId="4B11DFA7" w14:textId="77777777" w:rsidR="0086114D" w:rsidRDefault="0086114D" w:rsidP="0086114D">
      <w:pPr>
        <w:pStyle w:val="col-xs-12pull-left"/>
      </w:pPr>
      <w:r>
        <w:rPr>
          <w:rStyle w:val="Strong"/>
        </w:rPr>
        <w:lastRenderedPageBreak/>
        <w:t>Frequency:</w:t>
      </w:r>
      <w:r>
        <w:t xml:space="preserve">  </w:t>
      </w:r>
      <w:r>
        <w:rPr>
          <w:rStyle w:val="series-meta-value-frequency"/>
        </w:rPr>
        <w:t xml:space="preserve">Monthly </w:t>
      </w:r>
    </w:p>
    <w:p w14:paraId="07BDF9D7" w14:textId="77777777" w:rsidR="0086114D" w:rsidRDefault="0086114D" w:rsidP="0086114D">
      <w:pPr>
        <w:pStyle w:val="series-notes"/>
      </w:pPr>
      <w:r>
        <w:t xml:space="preserve">The unemployment rate represents the number of unemployed as a percentage of the labor force. Labor force data are restricted to people 16 years of age and older, who currently reside in 1 of the 50 states or the District of Columbia, who do not reside in institutions (e.g., penal and mental facilities, homes for the aged), and who are not on active duty in the Armed Forces. </w:t>
      </w:r>
      <w:r>
        <w:br/>
      </w:r>
      <w:r>
        <w:br/>
        <w:t xml:space="preserve">This rate is also defined as the U-3 measure of labor underutilization. </w:t>
      </w:r>
      <w:r>
        <w:br/>
      </w:r>
      <w:r>
        <w:br/>
        <w:t xml:space="preserve">The series comes from the 'Current Population Survey (Household Survey)' </w:t>
      </w:r>
      <w:r>
        <w:br/>
      </w:r>
      <w:r>
        <w:br/>
        <w:t>The source code is: LNS14000000</w:t>
      </w:r>
    </w:p>
    <w:p w14:paraId="1E265D5D" w14:textId="77777777" w:rsidR="0086114D" w:rsidRDefault="0086114D" w:rsidP="0086114D">
      <w:pPr>
        <w:pStyle w:val="Heading4"/>
      </w:pPr>
      <w:r>
        <w:t>Suggested Citation:</w:t>
      </w:r>
    </w:p>
    <w:p w14:paraId="40D86B5D" w14:textId="692FE1E2" w:rsidR="0086114D" w:rsidRDefault="0086114D" w:rsidP="0086114D">
      <w:pPr>
        <w:pStyle w:val="citation"/>
      </w:pPr>
      <w:r>
        <w:t xml:space="preserve">U.S. Bureau of Labor Statistics, Unemployment Rate [UNRATE], retrieved from FRED, Federal Reserve Bank of St. Louis; https://fred.stlouisfed.org/series/UNRATE, November 4, 2021. </w:t>
      </w:r>
    </w:p>
    <w:p w14:paraId="03B12CD3" w14:textId="3F113F5E" w:rsidR="00811556" w:rsidRDefault="00811556" w:rsidP="00811556">
      <w:pPr>
        <w:pStyle w:val="NoSpacing"/>
      </w:pPr>
    </w:p>
    <w:p w14:paraId="13B8D324" w14:textId="0EA0CAC6" w:rsidR="00811556" w:rsidRDefault="00811556" w:rsidP="00811556">
      <w:pPr>
        <w:pStyle w:val="NoSpacing"/>
      </w:pPr>
      <w:r>
        <w:t xml:space="preserve">----- </w:t>
      </w:r>
      <w:r w:rsidRPr="00811556">
        <w:rPr>
          <w:b/>
          <w:bCs/>
          <w:highlight w:val="yellow"/>
          <w:u w:val="single"/>
        </w:rPr>
        <w:t>10 year Treasuries</w:t>
      </w:r>
      <w:r>
        <w:t xml:space="preserve">: </w:t>
      </w:r>
      <w:hyperlink r:id="rId16" w:history="1">
        <w:r w:rsidRPr="00561DE5">
          <w:rPr>
            <w:rStyle w:val="Hyperlink"/>
          </w:rPr>
          <w:t>https://www.federalreserve.gov/releases/h15/</w:t>
        </w:r>
      </w:hyperlink>
    </w:p>
    <w:p w14:paraId="5543C7D6" w14:textId="3D7526FD" w:rsidR="00811556" w:rsidRPr="00811556" w:rsidRDefault="00811556" w:rsidP="00811556">
      <w:pPr>
        <w:pStyle w:val="NoSpacing"/>
      </w:pPr>
      <w:r>
        <w:t xml:space="preserve">- </w:t>
      </w:r>
      <w:hyperlink r:id="rId17" w:history="1">
        <w:r w:rsidRPr="00561DE5">
          <w:rPr>
            <w:rStyle w:val="Hyperlink"/>
          </w:rPr>
          <w:t>https://www.federalreserve.gov/</w:t>
        </w:r>
      </w:hyperlink>
      <w:r>
        <w:t xml:space="preserve"> </w:t>
      </w:r>
      <w:r>
        <w:sym w:font="Wingdings" w:char="F0E0"/>
      </w:r>
      <w:r>
        <w:t xml:space="preserve"> Data </w:t>
      </w:r>
      <w:r>
        <w:sym w:font="Wingdings" w:char="F0E0"/>
      </w:r>
      <w:r>
        <w:t xml:space="preserve"> Interest rates </w:t>
      </w:r>
      <w:r>
        <w:sym w:font="Wingdings" w:char="F0E0"/>
      </w:r>
      <w:r>
        <w:t xml:space="preserve"> Select Interest Rates - H.15 </w:t>
      </w:r>
      <w:r>
        <w:sym w:font="Wingdings" w:char="F0E0"/>
      </w:r>
      <w:r>
        <w:t xml:space="preserve"> “Data Download” </w:t>
      </w:r>
      <w:r>
        <w:sym w:font="Wingdings" w:char="F0E0"/>
      </w:r>
      <w:r>
        <w:t xml:space="preserve"> Build Package </w:t>
      </w:r>
      <w:r>
        <w:sym w:font="Wingdings" w:char="F0E0"/>
      </w:r>
      <w:r>
        <w:t xml:space="preserve"> </w:t>
      </w:r>
    </w:p>
    <w:p w14:paraId="2826D2D4" w14:textId="03950EE9" w:rsidR="00811556" w:rsidRPr="00811556" w:rsidRDefault="003D5CDD" w:rsidP="00811556">
      <w:pPr>
        <w:pStyle w:val="NoSpacing"/>
      </w:pPr>
      <w:r>
        <w:rPr>
          <w:noProof/>
        </w:rPr>
        <w:drawing>
          <wp:inline distT="0" distB="0" distL="0" distR="0" wp14:anchorId="7E713250" wp14:editId="495351A2">
            <wp:extent cx="4786313" cy="3106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88931" cy="3108200"/>
                    </a:xfrm>
                    <a:prstGeom prst="rect">
                      <a:avLst/>
                    </a:prstGeom>
                    <a:noFill/>
                    <a:ln>
                      <a:noFill/>
                    </a:ln>
                  </pic:spPr>
                </pic:pic>
              </a:graphicData>
            </a:graphic>
          </wp:inline>
        </w:drawing>
      </w:r>
    </w:p>
    <w:p w14:paraId="3A5F68D9" w14:textId="77777777" w:rsidR="00044CA0" w:rsidRDefault="00044CA0" w:rsidP="004F138A">
      <w:pPr>
        <w:pStyle w:val="NoSpacing"/>
      </w:pPr>
    </w:p>
    <w:p w14:paraId="72C64D14" w14:textId="17CF6573" w:rsidR="004F138A" w:rsidRPr="0086114D" w:rsidRDefault="00B16E5C" w:rsidP="0086114D">
      <w:pPr>
        <w:pStyle w:val="NoSpacing"/>
      </w:pPr>
      <w:r w:rsidRPr="00B16E5C">
        <w:rPr>
          <w:noProof/>
        </w:rPr>
        <w:lastRenderedPageBreak/>
        <w:drawing>
          <wp:inline distT="0" distB="0" distL="0" distR="0" wp14:anchorId="5D18D1D3" wp14:editId="07C32628">
            <wp:extent cx="5943600" cy="3402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sectPr w:rsidR="004F138A" w:rsidRPr="008611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3FA7D" w14:textId="77777777" w:rsidR="007A2D02" w:rsidRDefault="007A2D02" w:rsidP="004F138A">
      <w:pPr>
        <w:spacing w:after="0" w:line="240" w:lineRule="auto"/>
      </w:pPr>
      <w:r>
        <w:separator/>
      </w:r>
    </w:p>
  </w:endnote>
  <w:endnote w:type="continuationSeparator" w:id="0">
    <w:p w14:paraId="745EF320" w14:textId="77777777" w:rsidR="007A2D02" w:rsidRDefault="007A2D02" w:rsidP="004F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43D72" w14:textId="77777777" w:rsidR="007A2D02" w:rsidRDefault="007A2D02" w:rsidP="004F138A">
      <w:pPr>
        <w:spacing w:after="0" w:line="240" w:lineRule="auto"/>
      </w:pPr>
      <w:r>
        <w:separator/>
      </w:r>
    </w:p>
  </w:footnote>
  <w:footnote w:type="continuationSeparator" w:id="0">
    <w:p w14:paraId="17E40A31" w14:textId="77777777" w:rsidR="007A2D02" w:rsidRDefault="007A2D02" w:rsidP="004F1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B3"/>
    <w:rsid w:val="00044CA0"/>
    <w:rsid w:val="001848B3"/>
    <w:rsid w:val="003D5CDD"/>
    <w:rsid w:val="004F138A"/>
    <w:rsid w:val="005B225C"/>
    <w:rsid w:val="006F1BB1"/>
    <w:rsid w:val="007A2D02"/>
    <w:rsid w:val="007E2166"/>
    <w:rsid w:val="00811556"/>
    <w:rsid w:val="0086114D"/>
    <w:rsid w:val="00B16E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92B0F"/>
  <w15:chartTrackingRefBased/>
  <w15:docId w15:val="{30D43B47-137A-4DAA-8DE3-040E6092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611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8A"/>
  </w:style>
  <w:style w:type="paragraph" w:styleId="Footer">
    <w:name w:val="footer"/>
    <w:basedOn w:val="Normal"/>
    <w:link w:val="FooterChar"/>
    <w:uiPriority w:val="99"/>
    <w:unhideWhenUsed/>
    <w:rsid w:val="004F1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8A"/>
  </w:style>
  <w:style w:type="paragraph" w:styleId="NoSpacing">
    <w:name w:val="No Spacing"/>
    <w:uiPriority w:val="1"/>
    <w:qFormat/>
    <w:rsid w:val="004F138A"/>
    <w:pPr>
      <w:spacing w:after="0" w:line="240" w:lineRule="auto"/>
    </w:pPr>
  </w:style>
  <w:style w:type="character" w:styleId="Hyperlink">
    <w:name w:val="Hyperlink"/>
    <w:basedOn w:val="DefaultParagraphFont"/>
    <w:uiPriority w:val="99"/>
    <w:unhideWhenUsed/>
    <w:rsid w:val="004F138A"/>
    <w:rPr>
      <w:color w:val="0563C1" w:themeColor="hyperlink"/>
      <w:u w:val="single"/>
    </w:rPr>
  </w:style>
  <w:style w:type="character" w:styleId="UnresolvedMention">
    <w:name w:val="Unresolved Mention"/>
    <w:basedOn w:val="DefaultParagraphFont"/>
    <w:uiPriority w:val="99"/>
    <w:semiHidden/>
    <w:unhideWhenUsed/>
    <w:rsid w:val="004F138A"/>
    <w:rPr>
      <w:color w:val="605E5C"/>
      <w:shd w:val="clear" w:color="auto" w:fill="E1DFDD"/>
    </w:rPr>
  </w:style>
  <w:style w:type="character" w:customStyle="1" w:styleId="Heading4Char">
    <w:name w:val="Heading 4 Char"/>
    <w:basedOn w:val="DefaultParagraphFont"/>
    <w:link w:val="Heading4"/>
    <w:uiPriority w:val="9"/>
    <w:rsid w:val="0086114D"/>
    <w:rPr>
      <w:rFonts w:ascii="Times New Roman" w:eastAsia="Times New Roman" w:hAnsi="Times New Roman" w:cs="Times New Roman"/>
      <w:b/>
      <w:bCs/>
      <w:sz w:val="24"/>
      <w:szCs w:val="24"/>
    </w:rPr>
  </w:style>
  <w:style w:type="paragraph" w:customStyle="1" w:styleId="col-xs-12col-md-6">
    <w:name w:val="col-xs-12 col-md-6"/>
    <w:basedOn w:val="Normal"/>
    <w:rsid w:val="00861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14D"/>
    <w:rPr>
      <w:b/>
      <w:bCs/>
    </w:rPr>
  </w:style>
  <w:style w:type="paragraph" w:customStyle="1" w:styleId="col-xs-12pull-left">
    <w:name w:val="col-xs-12 pull-left"/>
    <w:basedOn w:val="Normal"/>
    <w:rsid w:val="00861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ies-meta-value">
    <w:name w:val="series-meta-value"/>
    <w:basedOn w:val="DefaultParagraphFont"/>
    <w:rsid w:val="0086114D"/>
  </w:style>
  <w:style w:type="character" w:customStyle="1" w:styleId="series-meta-value-units">
    <w:name w:val="series-meta-value-units"/>
    <w:basedOn w:val="DefaultParagraphFont"/>
    <w:rsid w:val="0086114D"/>
  </w:style>
  <w:style w:type="character" w:customStyle="1" w:styleId="series-meta-value-frequency">
    <w:name w:val="series-meta-value-frequency"/>
    <w:basedOn w:val="DefaultParagraphFont"/>
    <w:rsid w:val="0086114D"/>
  </w:style>
  <w:style w:type="paragraph" w:customStyle="1" w:styleId="series-notes">
    <w:name w:val="series-notes"/>
    <w:basedOn w:val="Normal"/>
    <w:rsid w:val="008611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
    <w:name w:val="citation"/>
    <w:basedOn w:val="Normal"/>
    <w:rsid w:val="008611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902889">
      <w:bodyDiv w:val="1"/>
      <w:marLeft w:val="0"/>
      <w:marRight w:val="0"/>
      <w:marTop w:val="0"/>
      <w:marBottom w:val="0"/>
      <w:divBdr>
        <w:top w:val="none" w:sz="0" w:space="0" w:color="auto"/>
        <w:left w:val="none" w:sz="0" w:space="0" w:color="auto"/>
        <w:bottom w:val="none" w:sz="0" w:space="0" w:color="auto"/>
        <w:right w:val="none" w:sz="0" w:space="0" w:color="auto"/>
      </w:divBdr>
      <w:divsChild>
        <w:div w:id="2066023121">
          <w:marLeft w:val="0"/>
          <w:marRight w:val="0"/>
          <w:marTop w:val="0"/>
          <w:marBottom w:val="0"/>
          <w:divBdr>
            <w:top w:val="none" w:sz="0" w:space="0" w:color="auto"/>
            <w:left w:val="none" w:sz="0" w:space="0" w:color="auto"/>
            <w:bottom w:val="none" w:sz="0" w:space="0" w:color="auto"/>
            <w:right w:val="none" w:sz="0" w:space="0" w:color="auto"/>
          </w:divBdr>
          <w:divsChild>
            <w:div w:id="578097629">
              <w:marLeft w:val="0"/>
              <w:marRight w:val="0"/>
              <w:marTop w:val="0"/>
              <w:marBottom w:val="0"/>
              <w:divBdr>
                <w:top w:val="none" w:sz="0" w:space="0" w:color="auto"/>
                <w:left w:val="none" w:sz="0" w:space="0" w:color="auto"/>
                <w:bottom w:val="none" w:sz="0" w:space="0" w:color="auto"/>
                <w:right w:val="none" w:sz="0" w:space="0" w:color="auto"/>
              </w:divBdr>
            </w:div>
            <w:div w:id="1659459823">
              <w:marLeft w:val="0"/>
              <w:marRight w:val="0"/>
              <w:marTop w:val="0"/>
              <w:marBottom w:val="0"/>
              <w:divBdr>
                <w:top w:val="none" w:sz="0" w:space="0" w:color="auto"/>
                <w:left w:val="none" w:sz="0" w:space="0" w:color="auto"/>
                <w:bottom w:val="none" w:sz="0" w:space="0" w:color="auto"/>
                <w:right w:val="none" w:sz="0" w:space="0" w:color="auto"/>
              </w:divBdr>
              <w:divsChild>
                <w:div w:id="1259213077">
                  <w:marLeft w:val="0"/>
                  <w:marRight w:val="0"/>
                  <w:marTop w:val="0"/>
                  <w:marBottom w:val="0"/>
                  <w:divBdr>
                    <w:top w:val="none" w:sz="0" w:space="0" w:color="auto"/>
                    <w:left w:val="none" w:sz="0" w:space="0" w:color="auto"/>
                    <w:bottom w:val="none" w:sz="0" w:space="0" w:color="auto"/>
                    <w:right w:val="none" w:sz="0" w:space="0" w:color="auto"/>
                  </w:divBdr>
                  <w:divsChild>
                    <w:div w:id="15116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12275">
      <w:bodyDiv w:val="1"/>
      <w:marLeft w:val="0"/>
      <w:marRight w:val="0"/>
      <w:marTop w:val="0"/>
      <w:marBottom w:val="0"/>
      <w:divBdr>
        <w:top w:val="none" w:sz="0" w:space="0" w:color="auto"/>
        <w:left w:val="none" w:sz="0" w:space="0" w:color="auto"/>
        <w:bottom w:val="none" w:sz="0" w:space="0" w:color="auto"/>
        <w:right w:val="none" w:sz="0" w:space="0" w:color="auto"/>
      </w:divBdr>
      <w:divsChild>
        <w:div w:id="1846507169">
          <w:marLeft w:val="0"/>
          <w:marRight w:val="0"/>
          <w:marTop w:val="0"/>
          <w:marBottom w:val="0"/>
          <w:divBdr>
            <w:top w:val="none" w:sz="0" w:space="0" w:color="auto"/>
            <w:left w:val="none" w:sz="0" w:space="0" w:color="auto"/>
            <w:bottom w:val="none" w:sz="0" w:space="0" w:color="auto"/>
            <w:right w:val="none" w:sz="0" w:space="0" w:color="auto"/>
          </w:divBdr>
          <w:divsChild>
            <w:div w:id="2139761427">
              <w:marLeft w:val="0"/>
              <w:marRight w:val="0"/>
              <w:marTop w:val="0"/>
              <w:marBottom w:val="0"/>
              <w:divBdr>
                <w:top w:val="none" w:sz="0" w:space="0" w:color="auto"/>
                <w:left w:val="none" w:sz="0" w:space="0" w:color="auto"/>
                <w:bottom w:val="none" w:sz="0" w:space="0" w:color="auto"/>
                <w:right w:val="none" w:sz="0" w:space="0" w:color="auto"/>
              </w:divBdr>
            </w:div>
            <w:div w:id="434594362">
              <w:marLeft w:val="0"/>
              <w:marRight w:val="0"/>
              <w:marTop w:val="0"/>
              <w:marBottom w:val="0"/>
              <w:divBdr>
                <w:top w:val="none" w:sz="0" w:space="0" w:color="auto"/>
                <w:left w:val="none" w:sz="0" w:space="0" w:color="auto"/>
                <w:bottom w:val="none" w:sz="0" w:space="0" w:color="auto"/>
                <w:right w:val="none" w:sz="0" w:space="0" w:color="auto"/>
              </w:divBdr>
              <w:divsChild>
                <w:div w:id="462499630">
                  <w:marLeft w:val="0"/>
                  <w:marRight w:val="0"/>
                  <w:marTop w:val="0"/>
                  <w:marBottom w:val="0"/>
                  <w:divBdr>
                    <w:top w:val="none" w:sz="0" w:space="0" w:color="auto"/>
                    <w:left w:val="none" w:sz="0" w:space="0" w:color="auto"/>
                    <w:bottom w:val="none" w:sz="0" w:space="0" w:color="auto"/>
                    <w:right w:val="none" w:sz="0" w:space="0" w:color="auto"/>
                  </w:divBdr>
                  <w:divsChild>
                    <w:div w:id="3825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54385">
      <w:bodyDiv w:val="1"/>
      <w:marLeft w:val="0"/>
      <w:marRight w:val="0"/>
      <w:marTop w:val="0"/>
      <w:marBottom w:val="0"/>
      <w:divBdr>
        <w:top w:val="none" w:sz="0" w:space="0" w:color="auto"/>
        <w:left w:val="none" w:sz="0" w:space="0" w:color="auto"/>
        <w:bottom w:val="none" w:sz="0" w:space="0" w:color="auto"/>
        <w:right w:val="none" w:sz="0" w:space="0" w:color="auto"/>
      </w:divBdr>
      <w:divsChild>
        <w:div w:id="1087775436">
          <w:marLeft w:val="0"/>
          <w:marRight w:val="0"/>
          <w:marTop w:val="0"/>
          <w:marBottom w:val="0"/>
          <w:divBdr>
            <w:top w:val="none" w:sz="0" w:space="0" w:color="auto"/>
            <w:left w:val="none" w:sz="0" w:space="0" w:color="auto"/>
            <w:bottom w:val="none" w:sz="0" w:space="0" w:color="auto"/>
            <w:right w:val="none" w:sz="0" w:space="0" w:color="auto"/>
          </w:divBdr>
          <w:divsChild>
            <w:div w:id="683363710">
              <w:marLeft w:val="0"/>
              <w:marRight w:val="0"/>
              <w:marTop w:val="0"/>
              <w:marBottom w:val="0"/>
              <w:divBdr>
                <w:top w:val="none" w:sz="0" w:space="0" w:color="auto"/>
                <w:left w:val="none" w:sz="0" w:space="0" w:color="auto"/>
                <w:bottom w:val="none" w:sz="0" w:space="0" w:color="auto"/>
                <w:right w:val="none" w:sz="0" w:space="0" w:color="auto"/>
              </w:divBdr>
            </w:div>
            <w:div w:id="664287014">
              <w:marLeft w:val="0"/>
              <w:marRight w:val="0"/>
              <w:marTop w:val="0"/>
              <w:marBottom w:val="0"/>
              <w:divBdr>
                <w:top w:val="none" w:sz="0" w:space="0" w:color="auto"/>
                <w:left w:val="none" w:sz="0" w:space="0" w:color="auto"/>
                <w:bottom w:val="none" w:sz="0" w:space="0" w:color="auto"/>
                <w:right w:val="none" w:sz="0" w:space="0" w:color="auto"/>
              </w:divBdr>
              <w:divsChild>
                <w:div w:id="1058821260">
                  <w:marLeft w:val="0"/>
                  <w:marRight w:val="0"/>
                  <w:marTop w:val="0"/>
                  <w:marBottom w:val="0"/>
                  <w:divBdr>
                    <w:top w:val="none" w:sz="0" w:space="0" w:color="auto"/>
                    <w:left w:val="none" w:sz="0" w:space="0" w:color="auto"/>
                    <w:bottom w:val="none" w:sz="0" w:space="0" w:color="auto"/>
                    <w:right w:val="none" w:sz="0" w:space="0" w:color="auto"/>
                  </w:divBdr>
                  <w:divsChild>
                    <w:div w:id="21113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datadownload/Choose.aspx?rel=H15" TargetMode="External"/><Relationship Id="rId13" Type="http://schemas.openxmlformats.org/officeDocument/2006/relationships/hyperlink" Target="https://fred.stlouisfed.org/series/UNRATE"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federalreserve.gov/releases/h15/" TargetMode="External"/><Relationship Id="rId12" Type="http://schemas.openxmlformats.org/officeDocument/2006/relationships/hyperlink" Target="https://www.treasury.gov/resource-center/data-chart-center/interest-rates/Pages/TextView.aspx?data=yield" TargetMode="External"/><Relationship Id="rId17" Type="http://schemas.openxmlformats.org/officeDocument/2006/relationships/hyperlink" Target="https://www.federalreserve.gov/" TargetMode="External"/><Relationship Id="rId2" Type="http://schemas.openxmlformats.org/officeDocument/2006/relationships/settings" Target="settings.xml"/><Relationship Id="rId16" Type="http://schemas.openxmlformats.org/officeDocument/2006/relationships/hyperlink" Target="https://www.federalreserve.gov/releases/h15/"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federalreserve.gov/data.htm" TargetMode="External"/><Relationship Id="rId11" Type="http://schemas.openxmlformats.org/officeDocument/2006/relationships/hyperlink" Target="http://www.stlouisfed.org/" TargetMode="External"/><Relationship Id="rId5" Type="http://schemas.openxmlformats.org/officeDocument/2006/relationships/endnotes" Target="endnotes.xml"/><Relationship Id="rId15" Type="http://schemas.openxmlformats.org/officeDocument/2006/relationships/hyperlink" Target="http://www.bls.gov/ces/" TargetMode="External"/><Relationship Id="rId10" Type="http://schemas.openxmlformats.org/officeDocument/2006/relationships/hyperlink" Target="https://fred.stlouisfed.org/series/T10YIE" TargetMode="External"/><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fred.stlouisfed.org/tags/series?t=inflation" TargetMode="External"/><Relationship Id="rId14" Type="http://schemas.openxmlformats.org/officeDocument/2006/relationships/hyperlink" Target="https://www.b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3</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8</cp:revision>
  <dcterms:created xsi:type="dcterms:W3CDTF">2021-11-06T04:44:00Z</dcterms:created>
  <dcterms:modified xsi:type="dcterms:W3CDTF">2021-11-10T09:33:00Z</dcterms:modified>
</cp:coreProperties>
</file>