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320"/>
      </w:pPr>
      <w:r>
        <w:rPr>
          <w:rFonts w:ascii="Arial" w:cs="Arial" w:eastAsia="Arial" w:hAnsi="Arial"/>
          <w:b/>
          <w:bCs/>
          <w:color w:val="153E35"/>
          <w:sz w:val="22"/>
          <w:szCs w:val="22"/>
        </w:rPr>
        <w:t xml:space="preserve">AEAMS · DETAILED SYSTEM DESIGN</w:t>
      </w:r>
    </w:p>
    <w:p>
      <w:pPr>
        <w:spacing w:after="260" w:before="0"/>
      </w:pPr>
      <w:r>
        <w:rPr>
          <w:rFonts w:ascii="Arial" w:cs="Arial" w:eastAsia="Arial" w:hAnsi="Arial"/>
          <w:b/>
          <w:bCs/>
          <w:color w:val="153E35"/>
          <w:sz w:val="56"/>
          <w:szCs w:val="56"/>
        </w:rPr>
        <w:t xml:space="preserve">Agricultural Equipment and Asset Management System</w:t>
      </w:r>
    </w:p>
    <w:p>
      <w:pPr>
        <w:spacing w:after="200" w:before="0"/>
      </w:pPr>
      <w:r>
        <w:rPr>
          <w:rFonts w:ascii="Arial" w:cs="Arial" w:eastAsia="Arial" w:hAnsi="Arial"/>
          <w:b w:val="false"/>
          <w:bCs w:val="false"/>
          <w:color w:val="153E35"/>
          <w:sz w:val="24"/>
          <w:szCs w:val="24"/>
        </w:rPr>
        <w:t xml:space="preserve">A system developed to manage agricultural machinery, equipment, and other municipal agricultural assets. It supports equipment reservations, borrowing and return transactions, maintenance scheduling, equipment availability monitoring, and asset utilization tracking to improve operational efficiency.</w:t>
      </w:r>
    </w:p>
    <w:p>
      <w:pPr>
        <w:spacing w:after="100" w:before="0"/>
      </w:pPr>
      <w:r>
        <w:rPr>
          <w:rFonts w:ascii="Arial" w:cs="Arial" w:eastAsia="Arial" w:hAnsi="Arial"/>
          <w:b w:val="false"/>
          <w:bCs w:val="false"/>
          <w:color w:val="153E35"/>
          <w:sz w:val="22"/>
          <w:szCs w:val="22"/>
        </w:rPr>
        <w:t xml:space="preserve">Users: Admin and Employee | Technology: React, Express, Prisma, PostgreSQL</w:t>
      </w:r>
    </w:p>
    <w:p>
      <w:pPr>
        <w:spacing w:after="180" w:before="0"/>
      </w:pPr>
      <w:r>
        <w:rPr>
          <w:rFonts w:ascii="Arial" w:cs="Arial" w:eastAsia="Arial" w:hAnsi="Arial"/>
          <w:b w:val="false"/>
          <w:bCs w:val="false"/>
          <w:color w:val="153E35"/>
          <w:sz w:val="22"/>
          <w:szCs w:val="22"/>
        </w:rPr>
        <w:t xml:space="preserve">Green and teal · One diagram per page with detailed interpretation notes</w:t>
      </w:r>
    </w:p>
    <w:p>
      <w:pPr>
        <w:spacing w:after="150" w:before="0"/>
      </w:pPr>
      <w:r>
        <w:rPr>
          <w:rFonts w:ascii="Arial" w:cs="Arial" w:eastAsia="Arial" w:hAnsi="Arial"/>
          <w:b/>
          <w:bCs/>
          <w:color w:val="153E35"/>
          <w:sz w:val="28"/>
          <w:szCs w:val="28"/>
        </w:rPr>
        <w:t xml:space="preserve">Diagram index</w:t>
      </w:r>
    </w:p>
    <w:p>
      <w:pPr>
        <w:spacing w:after="90" w:before="0"/>
      </w:pPr>
      <w:r>
        <w:rPr>
          <w:rFonts w:ascii="Arial" w:cs="Arial" w:eastAsia="Arial" w:hAnsi="Arial"/>
          <w:b w:val="false"/>
          <w:bCs w:val="false"/>
          <w:color w:val="153E35"/>
          <w:sz w:val="20"/>
          <w:szCs w:val="20"/>
        </w:rPr>
        <w:t xml:space="preserve">01 System Architecture   •   02 Class Diagram   •   03 Component Diagram</w:t>
      </w:r>
    </w:p>
    <w:p>
      <w:pPr>
        <w:spacing w:after="90" w:before="0"/>
      </w:pPr>
      <w:r>
        <w:rPr>
          <w:rFonts w:ascii="Arial" w:cs="Arial" w:eastAsia="Arial" w:hAnsi="Arial"/>
          <w:b w:val="false"/>
          <w:bCs w:val="false"/>
          <w:color w:val="153E35"/>
          <w:sz w:val="20"/>
          <w:szCs w:val="20"/>
        </w:rPr>
        <w:t xml:space="preserve">04 Deployment Diagram   •   05 Object Diagram   •   06 Package Diagram</w:t>
      </w:r>
    </w:p>
    <w:p>
      <w:pPr>
        <w:spacing w:after="90" w:before="0"/>
      </w:pPr>
      <w:r>
        <w:rPr>
          <w:rFonts w:ascii="Arial" w:cs="Arial" w:eastAsia="Arial" w:hAnsi="Arial"/>
          <w:b w:val="false"/>
          <w:bCs w:val="false"/>
          <w:color w:val="153E35"/>
          <w:sz w:val="20"/>
          <w:szCs w:val="20"/>
        </w:rPr>
        <w:t xml:space="preserve">07 Composite Structure Diagram   •   08 Profile Diagram   •   09 Data Flow Diagram</w:t>
      </w:r>
    </w:p>
    <w:p>
      <w:pPr>
        <w:spacing w:after="90" w:before="0"/>
      </w:pPr>
      <w:r>
        <w:rPr>
          <w:rFonts w:ascii="Arial" w:cs="Arial" w:eastAsia="Arial" w:hAnsi="Arial"/>
          <w:b w:val="false"/>
          <w:bCs w:val="false"/>
          <w:color w:val="153E35"/>
          <w:sz w:val="20"/>
          <w:szCs w:val="20"/>
        </w:rPr>
        <w:t xml:space="preserve">10 Use Case Diagram   •   11 Activity Diagram   •   12 Sequence Diagram</w:t>
      </w:r>
    </w:p>
    <w:p>
      <w:pPr>
        <w:spacing w:after="90" w:before="0"/>
      </w:pPr>
      <w:r>
        <w:rPr>
          <w:rFonts w:ascii="Arial" w:cs="Arial" w:eastAsia="Arial" w:hAnsi="Arial"/>
          <w:b w:val="false"/>
          <w:bCs w:val="false"/>
          <w:color w:val="153E35"/>
          <w:sz w:val="20"/>
          <w:szCs w:val="20"/>
        </w:rPr>
        <w:t xml:space="preserve">13 State Machine Diagram   •   14 Communication Diagram   •   15 Interaction Overview Diagram</w:t>
      </w:r>
    </w:p>
    <w:p>
      <w:pPr>
        <w:spacing w:after="90" w:before="0"/>
      </w:pPr>
      <w:r>
        <w:rPr>
          <w:rFonts w:ascii="Arial" w:cs="Arial" w:eastAsia="Arial" w:hAnsi="Arial"/>
          <w:b w:val="false"/>
          <w:bCs w:val="false"/>
          <w:color w:val="153E35"/>
          <w:sz w:val="20"/>
          <w:szCs w:val="20"/>
        </w:rPr>
        <w:t xml:space="preserve">16 Timing Diagram   •   17 Entity Relationship Diagram   •   18 SysML Requirement Diagram</w:t>
      </w:r>
    </w:p>
    <w:p>
      <w:pPr>
        <w:spacing w:after="60" w:before="160"/>
        <w:sectPr>
          <w:footerReference w:type="default" r:id="rId6"/>
          <w:type w:val="nextPage"/>
          <w:pgSz w:w="11906" w:h="16838" w:orient="landscape"/>
          <w:pgMar w:top="650" w:right="650" w:bottom="650" w:left="650" w:header="708" w:footer="300" w:gutter="0"/>
          <w:pgNumType/>
          <w:docGrid w:linePitch="360"/>
        </w:sectPr>
      </w:pPr>
      <w:r>
        <w:rPr>
          <w:rFonts w:ascii="Arial" w:cs="Arial" w:eastAsia="Arial" w:hAnsi="Arial"/>
          <w:b w:val="false"/>
          <w:bCs w:val="false"/>
          <w:color w:val="153E35"/>
          <w:sz w:val="20"/>
          <w:szCs w:val="20"/>
        </w:rPr>
        <w:t xml:space="preserve">Fictional examples and modeling-only conventions are identified. The core ERD omits supporting tables for readability; the captions state its scope.</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01  System Architecture</w:t>
      </w:r>
    </w:p>
    <w:p>
      <w:pPr>
        <w:keepNext/>
        <w:spacing w:after="100" w:before="0"/>
      </w:pPr>
      <w:r>
        <w:rPr>
          <w:rFonts w:ascii="Arial" w:cs="Arial" w:eastAsia="Arial" w:hAnsi="Arial"/>
          <w:b w:val="false"/>
          <w:bCs w:val="false"/>
          <w:color w:val="153E35"/>
          <w:sz w:val="19"/>
          <w:szCs w:val="19"/>
        </w:rPr>
        <w:t xml:space="preserve">The implemented React → Nginx → Express → Prisma → PostgreSQL stack. Farmers are borrower references, not portal users.</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6343650" cy="4036868"/>
                  <wp:effectExtent t="0" r="0" b="0" l="0"/>
                  <wp:docPr id="1" name="System Architecture" descr="The implemented React → Nginx → Express → Prisma → PostgreSQL stack. Farmers are borrower references, not portal users."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343650" cy="4036868"/>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Requests pass from React through Nginx to the Express API; JWT cookies identify the signed-in staff member.</w:t>
      </w:r>
    </w:p>
    <w:p>
      <w:pPr>
        <w:spacing w:after="55" w:before="0"/>
      </w:pPr>
      <w:r>
        <w:rPr>
          <w:rFonts w:ascii="Arial" w:cs="Arial" w:eastAsia="Arial" w:hAnsi="Arial"/>
          <w:b w:val="false"/>
          <w:bCs w:val="false"/>
          <w:color w:val="153E35"/>
          <w:sz w:val="19"/>
          <w:szCs w:val="19"/>
        </w:rPr>
        <w:t xml:space="preserve">• The API checks permissions before equipment, booking, maintenance, and reporting operations.</w:t>
      </w:r>
    </w:p>
    <w:p>
      <w:pPr>
        <w:spacing w:after="55" w:before="0"/>
        <w:sectPr>
          <w:footerReference w:type="default" r:id="rId7"/>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PostgreSQL stores records and audit evidence; a separate volume holds authenticated equipment photos.</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02  Class Diagram</w:t>
      </w:r>
    </w:p>
    <w:p>
      <w:pPr>
        <w:keepNext/>
        <w:spacing w:after="100" w:before="0"/>
      </w:pPr>
      <w:r>
        <w:rPr>
          <w:rFonts w:ascii="Arial" w:cs="Arial" w:eastAsia="Arial" w:hAnsi="Arial"/>
          <w:b w:val="false"/>
          <w:bCs w:val="false"/>
          <w:color w:val="153E35"/>
          <w:sz w:val="19"/>
          <w:szCs w:val="19"/>
        </w:rPr>
        <w:t xml:space="preserve">Conceptual domain model aligned with the implemented records. User roles are Admin or Employee; workflow operations are responsibilities, not literal ORM methods.</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6343650" cy="6518757"/>
                  <wp:effectExtent t="0" r="0" b="0" l="0"/>
                  <wp:docPr id="2" name="Class Diagram" descr="Conceptual domain model aligned with the implemented records. User roles are Admin or Employee; workflow operations are responsibilities, not literal ORM methods."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343650" cy="6518757"/>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Each staff account has one role: Admin or Employee. One role can be assigned to many accounts.</w:t>
      </w:r>
    </w:p>
    <w:p>
      <w:pPr>
        <w:spacing w:after="55" w:before="0"/>
      </w:pPr>
      <w:r>
        <w:rPr>
          <w:rFonts w:ascii="Arial" w:cs="Arial" w:eastAsia="Arial" w:hAnsi="Arial"/>
          <w:b w:val="false"/>
          <w:bCs w:val="false"/>
          <w:color w:val="153E35"/>
          <w:sz w:val="19"/>
          <w:szCs w:val="19"/>
        </w:rPr>
        <w:t xml:space="preserve">• Equipment and verified farmer references link to reservations and borrowing transactions.</w:t>
      </w:r>
    </w:p>
    <w:p>
      <w:pPr>
        <w:spacing w:after="55" w:before="0"/>
        <w:sectPr>
          <w:footerReference w:type="default" r:id="rId8"/>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A borrowing may have one return and one utilization log; inspections supply return-condition evidence.</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03  Component Diagram</w:t>
      </w:r>
    </w:p>
    <w:p>
      <w:pPr>
        <w:keepNext/>
        <w:spacing w:after="100" w:before="0"/>
      </w:pPr>
      <w:r>
        <w:rPr>
          <w:rFonts w:ascii="Arial" w:cs="Arial" w:eastAsia="Arial" w:hAnsi="Arial"/>
          <w:b w:val="false"/>
          <w:bCs w:val="false"/>
          <w:color w:val="153E35"/>
          <w:sz w:val="19"/>
          <w:szCs w:val="19"/>
        </w:rPr>
        <w:t xml:space="preserve">Logical components and their dependencies. Database constraints enforce conflicts and evidence requirements in addition to API validation.</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6343650" cy="4209877"/>
                  <wp:effectExtent t="0" r="0" b="0" l="0"/>
                  <wp:docPr id="3" name="Component Diagram" descr="Logical components and their dependencies. Database constraints enforce conflicts and evidence requirements in addition to API validation."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343650" cy="4209877"/>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Frontend and proxy components call authenticated API capabilities through a same-origin endpoint.</w:t>
      </w:r>
    </w:p>
    <w:p>
      <w:pPr>
        <w:spacing w:after="55" w:before="0"/>
      </w:pPr>
      <w:r>
        <w:rPr>
          <w:rFonts w:ascii="Arial" w:cs="Arial" w:eastAsia="Arial" w:hAnsi="Arial"/>
          <w:b w:val="false"/>
          <w:bCs w:val="false"/>
          <w:color w:val="153E35"/>
          <w:sz w:val="19"/>
          <w:szCs w:val="19"/>
        </w:rPr>
        <w:t xml:space="preserve">• Inventory, transactions, maintenance, reports, and reminders depend on the persistence component.</w:t>
      </w:r>
    </w:p>
    <w:p>
      <w:pPr>
        <w:spacing w:after="55" w:before="0"/>
        <w:sectPr>
          <w:footerReference w:type="default" r:id="rId9"/>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Database constraints supplement API validation; permissions are enforced on the backend.</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04  Deployment Diagram</w:t>
      </w:r>
    </w:p>
    <w:p>
      <w:pPr>
        <w:keepNext/>
        <w:spacing w:after="100" w:before="0"/>
      </w:pPr>
      <w:r>
        <w:rPr>
          <w:rFonts w:ascii="Arial" w:cs="Arial" w:eastAsia="Arial" w:hAnsi="Arial"/>
          <w:b w:val="false"/>
          <w:bCs w:val="false"/>
          <w:color w:val="153E35"/>
          <w:sz w:val="19"/>
          <w:szCs w:val="19"/>
        </w:rPr>
        <w:t xml:space="preserve">Current local Docker deployment, with the configured HTTPS gateway shown as a production option. Database/photo volumes persist across container replacement.</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4853514" cy="6724650"/>
                  <wp:effectExtent t="0" r="0" b="0" l="0"/>
                  <wp:docPr id="4" name="Deployment Diagram" descr="Current local Docker deployment, with the configured HTTPS gateway shown as a production option. Database/photo volumes persist across container replacement."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853514" cy="6724650"/>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The local browser reaches Nginx on port 3002; Nginx proxies API calls to the backend container.</w:t>
      </w:r>
    </w:p>
    <w:p>
      <w:pPr>
        <w:spacing w:after="55" w:before="0"/>
      </w:pPr>
      <w:r>
        <w:rPr>
          <w:rFonts w:ascii="Arial" w:cs="Arial" w:eastAsia="Arial" w:hAnsi="Arial"/>
          <w:b w:val="false"/>
          <w:bCs w:val="false"/>
          <w:color w:val="153E35"/>
          <w:sz w:val="19"/>
          <w:szCs w:val="19"/>
        </w:rPr>
        <w:t xml:space="preserve">• The API uses a restricted database login. The migration job uses a separate deployment credential.</w:t>
      </w:r>
    </w:p>
    <w:p>
      <w:pPr>
        <w:spacing w:after="55" w:before="0"/>
        <w:sectPr>
          <w:footerReference w:type="default" r:id="rId10"/>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Database and photo volumes persist. The dashed Caddy path is a configured production HTTPS option.</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05  Object Diagram</w:t>
      </w:r>
    </w:p>
    <w:p>
      <w:pPr>
        <w:keepNext/>
        <w:spacing w:after="100" w:before="0"/>
      </w:pPr>
      <w:r>
        <w:rPr>
          <w:rFonts w:ascii="Arial" w:cs="Arial" w:eastAsia="Arial" w:hAnsi="Arial"/>
          <w:b w:val="false"/>
          <w:bCs w:val="false"/>
          <w:color w:val="153E35"/>
          <w:sz w:val="19"/>
          <w:szCs w:val="19"/>
        </w:rPr>
        <w:t xml:space="preserve">Fictional snapshot after a good inspected return. Object values illustrate valid relationships and are not personal or live municipal records.</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6343650" cy="4141722"/>
                  <wp:effectExtent t="0" r="0" b="0" l="0"/>
                  <wp:docPr id="5" name="Object Diagram" descr="Fictional snapshot after a good inspected return. Object values illustrate valid relationships and are not personal or live municipal records." title="Objec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343650" cy="4141722"/>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This fictional snapshot shows a borrowing that has been returned after a good-condition inspection.</w:t>
      </w:r>
    </w:p>
    <w:p>
      <w:pPr>
        <w:spacing w:after="55" w:before="0"/>
      </w:pPr>
      <w:r>
        <w:rPr>
          <w:rFonts w:ascii="Arial" w:cs="Arial" w:eastAsia="Arial" w:hAnsi="Arial"/>
          <w:b w:val="false"/>
          <w:bCs w:val="false"/>
          <w:color w:val="153E35"/>
          <w:sz w:val="19"/>
          <w:szCs w:val="19"/>
        </w:rPr>
        <w:t xml:space="preserve">• Admin A supplies approval; Employee B requests the loan. Both refer to the same transaction.</w:t>
      </w:r>
    </w:p>
    <w:p>
      <w:pPr>
        <w:spacing w:after="55" w:before="0"/>
        <w:sectPr>
          <w:footerReference w:type="default" r:id="rId11"/>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The return references its inspection, and the utilization log records 2.50 operating hours.</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06  Package Diagram</w:t>
      </w:r>
    </w:p>
    <w:p>
      <w:pPr>
        <w:keepNext/>
        <w:spacing w:after="100" w:before="0"/>
      </w:pPr>
      <w:r>
        <w:rPr>
          <w:rFonts w:ascii="Arial" w:cs="Arial" w:eastAsia="Arial" w:hAnsi="Arial"/>
          <w:b w:val="false"/>
          <w:bCs w:val="false"/>
          <w:color w:val="153E35"/>
          <w:sz w:val="19"/>
          <w:szCs w:val="19"/>
        </w:rPr>
        <w:t xml:space="preserve">Logical organization of the implemented frontend, API and persistence responsibilities; package names express design groupings.</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4421781" cy="6724650"/>
                  <wp:effectExtent t="0" r="0" b="0" l="0"/>
                  <wp:docPr id="6" name="Package Diagram" descr="Logical organization of the implemented frontend, API and persistence responsibilities; package names express design groupings." title="Packag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21781" cy="6724650"/>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Presentation packages contain pages, reusable UI components, authentication context, and API access.</w:t>
      </w:r>
    </w:p>
    <w:p>
      <w:pPr>
        <w:spacing w:after="55" w:before="0"/>
      </w:pPr>
      <w:r>
        <w:rPr>
          <w:rFonts w:ascii="Arial" w:cs="Arial" w:eastAsia="Arial" w:hAnsi="Arial"/>
          <w:b w:val="false"/>
          <w:bCs w:val="false"/>
          <w:color w:val="153E35"/>
          <w:sz w:val="19"/>
          <w:szCs w:val="19"/>
        </w:rPr>
        <w:t xml:space="preserve">• Backend responsibilities are grouped into security, routes, reports, notifications, and integrations.</w:t>
      </w:r>
    </w:p>
    <w:p>
      <w:pPr>
        <w:spacing w:after="55" w:before="0"/>
        <w:sectPr>
          <w:footerReference w:type="default" r:id="rId12"/>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Dashed dependencies lead to Prisma and PostgreSQL. External module delivery remains unconfigured.</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07  Composite Structure Diagram</w:t>
      </w:r>
    </w:p>
    <w:p>
      <w:pPr>
        <w:keepNext/>
        <w:spacing w:after="100" w:before="0"/>
      </w:pPr>
      <w:r>
        <w:rPr>
          <w:rFonts w:ascii="Arial" w:cs="Arial" w:eastAsia="Arial" w:hAnsi="Arial"/>
          <w:b w:val="false"/>
          <w:bCs w:val="false"/>
          <w:color w:val="153E35"/>
          <w:sz w:val="19"/>
          <w:szCs w:val="19"/>
        </w:rPr>
        <w:t xml:space="preserve">Internal parts of a borrowing-approval request. A booking conflict rolls back the transaction; notifications and audit evidence commit with the change.</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3983295" cy="6724650"/>
                  <wp:effectExtent t="0" r="0" b="0" l="0"/>
                  <wp:docPr id="7" name="Composite Structure Diagram" descr="Internal parts of a borrowing-approval request. A booking conflict rolls back the transaction; notifications and audit evidence commit with the change." title="Composite Stru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983295" cy="6724650"/>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An approval request enters through the HTTP port and passes session and permission checks.</w:t>
      </w:r>
    </w:p>
    <w:p>
      <w:pPr>
        <w:spacing w:after="55" w:before="0"/>
      </w:pPr>
      <w:r>
        <w:rPr>
          <w:rFonts w:ascii="Arial" w:cs="Arial" w:eastAsia="Arial" w:hAnsi="Arial"/>
          <w:b w:val="false"/>
          <w:bCs w:val="false"/>
          <w:color w:val="153E35"/>
          <w:sz w:val="19"/>
          <w:szCs w:val="19"/>
        </w:rPr>
        <w:t xml:space="preserve">• The handler opens an actor-scoped transaction and validates borrower and equipment booking rules.</w:t>
      </w:r>
    </w:p>
    <w:p>
      <w:pPr>
        <w:spacing w:after="55" w:before="0"/>
        <w:sectPr>
          <w:footerReference w:type="default" r:id="rId13"/>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Approval, notification, and audit evidence commit together; a failed constraint rolls back the change.</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08  Profile Diagram</w:t>
      </w:r>
    </w:p>
    <w:p>
      <w:pPr>
        <w:keepNext/>
        <w:spacing w:after="100" w:before="0"/>
      </w:pPr>
      <w:r>
        <w:rPr>
          <w:rFonts w:ascii="Arial" w:cs="Arial" w:eastAsia="Arial" w:hAnsi="Arial"/>
          <w:b w:val="false"/>
          <w:bCs w:val="false"/>
          <w:color w:val="153E35"/>
          <w:sz w:val="19"/>
          <w:szCs w:val="19"/>
        </w:rPr>
        <w:t xml:space="preserve">Proposed UML modeling conventions for this documentation. These stereotypes are design annotations, not an installed runtime framework or additional user roles.</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6343650" cy="5104198"/>
                  <wp:effectExtent t="0" r="0" b="0" l="0"/>
                  <wp:docPr id="8" name="Profile Diagram" descr="Proposed UML modeling conventions for this documentation. These stereotypes are design annotations, not an installed runtime framework or additional user roles." title="Profi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343650" cy="5104198"/>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The profile proposes documentation stereotypes for assets, transactions, reviews, and services.</w:t>
      </w:r>
    </w:p>
    <w:p>
      <w:pPr>
        <w:spacing w:after="55" w:before="0"/>
      </w:pPr>
      <w:r>
        <w:rPr>
          <w:rFonts w:ascii="Arial" w:cs="Arial" w:eastAsia="Arial" w:hAnsi="Arial"/>
          <w:b w:val="false"/>
          <w:bCs w:val="false"/>
          <w:color w:val="153E35"/>
          <w:sz w:val="19"/>
          <w:szCs w:val="19"/>
        </w:rPr>
        <w:t xml:space="preserve">• Each extension arrow connects a proposed stereotype to its UML metaclass.</w:t>
      </w:r>
    </w:p>
    <w:p>
      <w:pPr>
        <w:spacing w:after="55" w:before="0"/>
        <w:sectPr>
          <w:footerReference w:type="default" r:id="rId14"/>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These modeling conventions are annotations, not runtime modules or additional portal roles.</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09  Data Flow Diagram</w:t>
      </w:r>
    </w:p>
    <w:p>
      <w:pPr>
        <w:keepNext/>
        <w:spacing w:after="100" w:before="0"/>
      </w:pPr>
      <w:r>
        <w:rPr>
          <w:rFonts w:ascii="Arial" w:cs="Arial" w:eastAsia="Arial" w:hAnsi="Arial"/>
          <w:b w:val="false"/>
          <w:bCs w:val="false"/>
          <w:color w:val="153E35"/>
          <w:sz w:val="19"/>
          <w:szCs w:val="19"/>
        </w:rPr>
        <w:t xml:space="preserve">Level 1 DFD: rectangles are external staff, circles are processes, cylinders are logical stores. Process labels map to actual AEAMS responsibilities.</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6343650" cy="5766955"/>
                  <wp:effectExtent t="0" r="0" b="0" l="0"/>
                  <wp:docPr id="9" name="Data Flow Diagram" descr="Level 1 DFD: rectangles are external staff, circles are processes, cylinders are logical stores. Process labels map to actual AEAMS responsibilities." titl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343650" cy="5766955"/>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Rectangles represent external staff, circles are processes, and cylinders are logical data stores.</w:t>
      </w:r>
    </w:p>
    <w:p>
      <w:pPr>
        <w:spacing w:after="55" w:before="0"/>
      </w:pPr>
      <w:r>
        <w:rPr>
          <w:rFonts w:ascii="Arial" w:cs="Arial" w:eastAsia="Arial" w:hAnsi="Arial"/>
          <w:b w:val="false"/>
          <w:bCs w:val="false"/>
          <w:color w:val="153E35"/>
          <w:sz w:val="19"/>
          <w:szCs w:val="19"/>
        </w:rPr>
        <w:t xml:space="preserve">• Request approval uses verified references and equipment availability before storing a booking.</w:t>
      </w:r>
    </w:p>
    <w:p>
      <w:pPr>
        <w:spacing w:after="55" w:before="0"/>
        <w:sectPr>
          <w:footerReference w:type="default" r:id="rId15"/>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Inspected returns feed transaction history, asset condition, usage, maintenance alerts, and reports.</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10  Use Case Diagram</w:t>
      </w:r>
    </w:p>
    <w:p>
      <w:pPr>
        <w:keepNext/>
        <w:spacing w:after="100" w:before="0"/>
      </w:pPr>
      <w:r>
        <w:rPr>
          <w:rFonts w:ascii="Arial" w:cs="Arial" w:eastAsia="Arial" w:hAnsi="Arial"/>
          <w:b w:val="false"/>
          <w:bCs w:val="false"/>
          <w:color w:val="153E35"/>
          <w:sz w:val="19"/>
          <w:szCs w:val="19"/>
        </w:rPr>
        <w:t xml:space="preserve">Exactly two portal actors. Admin manages approvals and administration; both roles carry out permitted equipment operations. Farmers remain external borrower references.</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4276152" cy="6724650"/>
                  <wp:effectExtent t="0" r="0" b="0" l="0"/>
                  <wp:docPr id="10" name="Use Case Diagram" descr="Exactly two portal actors. Admin manages approvals and administration; both roles carry out permitted equipment operations. Farmers remain external borrower references."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76152" cy="6724650"/>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Admin and Employee share sign-in, inventory, requests, release/return, maintenance, and reporting.</w:t>
      </w:r>
    </w:p>
    <w:p>
      <w:pPr>
        <w:spacing w:after="55" w:before="0"/>
      </w:pPr>
      <w:r>
        <w:rPr>
          <w:rFonts w:ascii="Arial" w:cs="Arial" w:eastAsia="Arial" w:hAnsi="Arial"/>
          <w:b w:val="false"/>
          <w:bCs w:val="false"/>
          <w:color w:val="153E35"/>
          <w:sz w:val="19"/>
          <w:szCs w:val="19"/>
        </w:rPr>
        <w:t xml:space="preserve">• Only Admin approves or rejects requests and manages accounts, integrations, settings, and audit access.</w:t>
      </w:r>
    </w:p>
    <w:p>
      <w:pPr>
        <w:spacing w:after="55" w:before="0"/>
        <w:sectPr>
          <w:footerReference w:type="default" r:id="rId16"/>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Associations show permitted participation; farmers are external borrower references, not portal users.</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11  Activity Diagram</w:t>
      </w:r>
    </w:p>
    <w:p>
      <w:pPr>
        <w:keepNext/>
        <w:spacing w:after="100" w:before="0"/>
      </w:pPr>
      <w:r>
        <w:rPr>
          <w:rFonts w:ascii="Arial" w:cs="Arial" w:eastAsia="Arial" w:hAnsi="Arial"/>
          <w:b w:val="false"/>
          <w:bCs w:val="false"/>
          <w:color w:val="153E35"/>
          <w:sz w:val="19"/>
          <w:szCs w:val="19"/>
        </w:rPr>
        <w:t xml:space="preserve">End-to-end operational workflow. The Admin decides approval; permitted staff release and inspect the return. Damage flags the asset unavailable and alerts maintenance.</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6343650" cy="5190259"/>
                  <wp:effectExtent t="0" r="0" b="0" l="0"/>
                  <wp:docPr id="11" name="Activity Diagram" descr="End-to-end operational workflow. The Admin decides approval; permitted staff release and inspect the return. Damage flags the asset unavailable and alerts maintenance." title="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343650" cy="5190259"/>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A request is corrected if reference or equipment checks fail; Admin then approves or rejects it.</w:t>
      </w:r>
    </w:p>
    <w:p>
      <w:pPr>
        <w:spacing w:after="55" w:before="0"/>
      </w:pPr>
      <w:r>
        <w:rPr>
          <w:rFonts w:ascii="Arial" w:cs="Arial" w:eastAsia="Arial" w:hAnsi="Arial"/>
          <w:b w:val="false"/>
          <w:bCs w:val="false"/>
          <w:color w:val="153E35"/>
          <w:sz w:val="19"/>
          <w:szCs w:val="19"/>
        </w:rPr>
        <w:t xml:space="preserve">• Permitted staff inspect and release approved equipment, then inspect it again when returned.</w:t>
      </w:r>
    </w:p>
    <w:p>
      <w:pPr>
        <w:spacing w:after="55" w:before="0"/>
        <w:sectPr>
          <w:footerReference w:type="default" r:id="rId17"/>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A usable return refreshes availability. Damage flags the asset unavailable and starts maintenance review.</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12  Sequence Diagram</w:t>
      </w:r>
    </w:p>
    <w:p>
      <w:pPr>
        <w:keepNext/>
        <w:spacing w:after="100" w:before="0"/>
      </w:pPr>
      <w:r>
        <w:rPr>
          <w:rFonts w:ascii="Arial" w:cs="Arial" w:eastAsia="Arial" w:hAnsi="Arial"/>
          <w:b w:val="false"/>
          <w:bCs w:val="false"/>
          <w:color w:val="153E35"/>
          <w:sz w:val="19"/>
          <w:szCs w:val="19"/>
        </w:rPr>
        <w:t xml:space="preserve">Borrowing approval sequence. Authentication and permission checks precede the database transaction; constraint failures roll back instead of committing partial approvals.</w:t>
      </w:r>
    </w:p>
    <w:tbl>
      <w:tblPr>
        <w:tblW w:type="dxa" w:w="15300"/>
        <w:tblBorders>
          <w:top w:val="single" w:color="auto" w:sz="4"/>
          <w:left w:val="single" w:color="auto" w:sz="4"/>
          <w:bottom w:val="single" w:color="auto" w:sz="4"/>
          <w:right w:val="single" w:color="auto" w:sz="4"/>
          <w:insideH w:val="single" w:color="auto" w:sz="4"/>
          <w:insideV w:val="single" w:color="auto" w:sz="4"/>
        </w:tblBorders>
      </w:tblPr>
      <w:tblGrid>
        <w:gridCol w:w="15300"/>
      </w:tblGrid>
      <w:tr>
        <w:trPr>
          <w:cantSplit/>
          <w:trHeight w:val="64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6960870" cy="3867150"/>
                  <wp:effectExtent t="0" r="0" b="0" l="0"/>
                  <wp:docPr id="12" name="Sequence Diagram" descr="Borrowing approval sequence. Authentication and permission checks precede the database transaction; constraint failures roll back instead of committing partial approvals."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960870" cy="3867150"/>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Lifelines run downward in time; solid arrows are requests and dashed arrows are responses.</w:t>
      </w:r>
    </w:p>
    <w:p>
      <w:pPr>
        <w:spacing w:after="55" w:before="0"/>
      </w:pPr>
      <w:r>
        <w:rPr>
          <w:rFonts w:ascii="Arial" w:cs="Arial" w:eastAsia="Arial" w:hAnsi="Arial"/>
          <w:b w:val="false"/>
          <w:bCs w:val="false"/>
          <w:color w:val="153E35"/>
          <w:sz w:val="19"/>
          <w:szCs w:val="19"/>
        </w:rPr>
        <w:t xml:space="preserve">• Approval uses an actor-scoped Prisma transaction and PostgreSQL booking/verification constraints.</w:t>
      </w:r>
    </w:p>
    <w:p>
      <w:pPr>
        <w:spacing w:after="55" w:before="0"/>
        <w:sectPr>
          <w:footerReference w:type="default" r:id="rId18"/>
          <w:type w:val="nextPage"/>
          <w:pgSz w:w="11906" w:h="16838" w:orient="landscape"/>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The alternative fragment distinguishes a committed approval from rollback with a 422 or 409 response.</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13  State Machine Diagram</w:t>
      </w:r>
    </w:p>
    <w:p>
      <w:pPr>
        <w:keepNext/>
        <w:spacing w:after="100" w:before="0"/>
      </w:pPr>
      <w:r>
        <w:rPr>
          <w:rFonts w:ascii="Arial" w:cs="Arial" w:eastAsia="Arial" w:hAnsi="Arial"/>
          <w:b w:val="false"/>
          <w:bCs w:val="false"/>
          <w:color w:val="153E35"/>
          <w:sz w:val="19"/>
          <w:szCs w:val="19"/>
        </w:rPr>
        <w:t xml:space="preserve">Canonical BorrowingTransaction status values from the database. UI labels may show Requested as Pending and Released as Borrowed. Rejection is stored as CANCELLED with a reason.</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6343650" cy="5672076"/>
                  <wp:effectExtent t="0" r="0" b="0" l="0"/>
                  <wp:docPr id="13" name="State Machine Diagram" descr="Canonical BorrowingTransaction status values from the database. UI labels may show Requested as Pending and Released as Borrowed. Rejection is stored as CANCELLED with a reason." title="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343650" cy="5672076"/>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REQUESTED moves to APPROVED only after Admin approval; rejected requests become CANCELLED.</w:t>
      </w:r>
    </w:p>
    <w:p>
      <w:pPr>
        <w:spacing w:after="55" w:before="0"/>
      </w:pPr>
      <w:r>
        <w:rPr>
          <w:rFonts w:ascii="Arial" w:cs="Arial" w:eastAsia="Arial" w:hAnsi="Arial"/>
          <w:b w:val="false"/>
          <w:bCs w:val="false"/>
          <w:color w:val="153E35"/>
          <w:sz w:val="19"/>
          <w:szCs w:val="19"/>
        </w:rPr>
        <w:t xml:space="preserve">• Release requires inspection evidence and a valid window. An unreturned released loan may become OVERDUE.</w:t>
      </w:r>
    </w:p>
    <w:p>
      <w:pPr>
        <w:spacing w:after="55" w:before="0"/>
        <w:sectPr>
          <w:footerReference w:type="default" r:id="rId19"/>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An inspected return closes RELEASED or OVERDUE as RETURNED. Cancellation is allowed before release.</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14  Communication Diagram</w:t>
      </w:r>
    </w:p>
    <w:p>
      <w:pPr>
        <w:keepNext/>
        <w:spacing w:after="100" w:before="0"/>
      </w:pPr>
      <w:r>
        <w:rPr>
          <w:rFonts w:ascii="Arial" w:cs="Arial" w:eastAsia="Arial" w:hAnsi="Arial"/>
          <w:b w:val="false"/>
          <w:bCs w:val="false"/>
          <w:color w:val="153E35"/>
          <w:sz w:val="19"/>
          <w:szCs w:val="19"/>
        </w:rPr>
        <w:t xml:space="preserve">Numbered messages for a borrowing approval. The notification and audit records are written inside the same transaction as the approved borrowing.</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6343650" cy="5493355"/>
                  <wp:effectExtent t="0" r="0" b="0" l="0"/>
                  <wp:docPr id="14" name="Communication Diagram" descr="Numbered messages for a borrowing approval. The notification and audit records are written inside the same transaction as the approved borrowing." title="Communic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343650" cy="5493355"/>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Messages are numbered to show the order of collaboration among the participating objects.</w:t>
      </w:r>
    </w:p>
    <w:p>
      <w:pPr>
        <w:spacing w:after="55" w:before="0"/>
      </w:pPr>
      <w:r>
        <w:rPr>
          <w:rFonts w:ascii="Arial" w:cs="Arial" w:eastAsia="Arial" w:hAnsi="Arial"/>
          <w:b w:val="false"/>
          <w:bCs w:val="false"/>
          <w:color w:val="153E35"/>
          <w:sz w:val="19"/>
          <w:szCs w:val="19"/>
        </w:rPr>
        <w:t xml:space="preserve">• The API verifies authorization before opening the database transaction and applying booking rules.</w:t>
      </w:r>
    </w:p>
    <w:p>
      <w:pPr>
        <w:spacing w:after="55" w:before="0"/>
        <w:sectPr>
          <w:footerReference w:type="default" r:id="rId20"/>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Approval, notification, and audit writes commit together; the UI then displays the approved result.</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15  Interaction Overview Diagram</w:t>
      </w:r>
    </w:p>
    <w:p>
      <w:pPr>
        <w:keepNext/>
        <w:spacing w:after="100" w:before="0"/>
      </w:pPr>
      <w:r>
        <w:rPr>
          <w:rFonts w:ascii="Arial" w:cs="Arial" w:eastAsia="Arial" w:hAnsi="Arial"/>
          <w:b w:val="false"/>
          <w:bCs w:val="false"/>
          <w:color w:val="153E35"/>
          <w:sz w:val="19"/>
          <w:szCs w:val="19"/>
        </w:rPr>
        <w:t xml:space="preserve">High-level orchestration of the system interactions. Each ref node represents a separate user/API interaction, not an additional deployed service.</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6343650" cy="5363268"/>
                  <wp:effectExtent t="0" r="0" b="0" l="0"/>
                  <wp:docPr id="15" name="Interaction Overview Diagram" descr="High-level orchestration of the system interactions. Each ref node represents a separate user/API interaction, not an additional deployed service." title="Interaction Overvie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343650" cy="5363268"/>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Each ref frame summarizes an interaction; diamonds select approval and maintenance paths.</w:t>
      </w:r>
    </w:p>
    <w:p>
      <w:pPr>
        <w:spacing w:after="55" w:before="0"/>
      </w:pPr>
      <w:r>
        <w:rPr>
          <w:rFonts w:ascii="Arial" w:cs="Arial" w:eastAsia="Arial" w:hAnsi="Arial"/>
          <w:b w:val="false"/>
          <w:bCs w:val="false"/>
          <w:color w:val="153E35"/>
          <w:sz w:val="19"/>
          <w:szCs w:val="19"/>
        </w:rPr>
        <w:t xml:space="preserve">• When a reservation is used, a linked borrowing must be created and approved before equipment release.</w:t>
      </w:r>
    </w:p>
    <w:p>
      <w:pPr>
        <w:spacing w:after="55" w:before="0"/>
        <w:sectPr>
          <w:footerReference w:type="default" r:id="rId21"/>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Rejection returns to request revision; inspected returns lead to maintenance when required, then reports.</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16  Timing Diagram</w:t>
      </w:r>
    </w:p>
    <w:p>
      <w:pPr>
        <w:keepNext/>
        <w:spacing w:after="100" w:before="0"/>
      </w:pPr>
      <w:r>
        <w:rPr>
          <w:rFonts w:ascii="Arial" w:cs="Arial" w:eastAsia="Arial" w:hAnsi="Arial"/>
          <w:b w:val="false"/>
          <w:bCs w:val="false"/>
          <w:color w:val="153E35"/>
          <w:sz w:val="19"/>
          <w:szCs w:val="19"/>
        </w:rPr>
        <w:t xml:space="preserve">Qualitative timing, not a measured response-time or SLA claim. OVERDUE is set by the reminder process after the expected return time; reminders are deduplicated.</w:t>
      </w:r>
    </w:p>
    <w:tbl>
      <w:tblPr>
        <w:tblW w:type="dxa" w:w="15300"/>
        <w:tblBorders>
          <w:top w:val="single" w:color="auto" w:sz="4"/>
          <w:left w:val="single" w:color="auto" w:sz="4"/>
          <w:bottom w:val="single" w:color="auto" w:sz="4"/>
          <w:right w:val="single" w:color="auto" w:sz="4"/>
          <w:insideH w:val="single" w:color="auto" w:sz="4"/>
          <w:insideV w:val="single" w:color="auto" w:sz="4"/>
        </w:tblBorders>
      </w:tblPr>
      <w:tblGrid>
        <w:gridCol w:w="15300"/>
      </w:tblGrid>
      <w:tr>
        <w:trPr>
          <w:cantSplit/>
          <w:trHeight w:val="64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7327232" cy="3867150"/>
                  <wp:effectExtent t="0" r="0" b="0" l="0"/>
                  <wp:docPr id="16" name="Timing Diagram" descr="Qualitative timing, not a measured response-time or SLA claim. OVERDUE is set by the reminder process after the expected return time; reminders are deduplicated." title="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7327232" cy="3867150"/>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The phases illustrate request, approval, release, due time, and a late inspected return.</w:t>
      </w:r>
    </w:p>
    <w:p>
      <w:pPr>
        <w:spacing w:after="55" w:before="0"/>
      </w:pPr>
      <w:r>
        <w:rPr>
          <w:rFonts w:ascii="Arial" w:cs="Arial" w:eastAsia="Arial" w:hAnsi="Arial"/>
          <w:b w:val="false"/>
          <w:bCs w:val="false"/>
          <w:color w:val="153E35"/>
          <w:sz w:val="19"/>
          <w:szCs w:val="19"/>
        </w:rPr>
        <w:t xml:space="preserve">• Borrowing status changes while custody remains with the borrower until the physical return.</w:t>
      </w:r>
    </w:p>
    <w:p>
      <w:pPr>
        <w:spacing w:after="55" w:before="0"/>
        <w:sectPr>
          <w:footerReference w:type="default" r:id="rId22"/>
          <w:type w:val="nextPage"/>
          <w:pgSz w:w="11906" w:h="16838" w:orient="landscape"/>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Overdue reminders are periodic and deduplicated. This is qualitative timing, not a performance SLA.</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17  Entity Relationship Diagram</w:t>
      </w:r>
    </w:p>
    <w:p>
      <w:pPr>
        <w:keepNext/>
        <w:spacing w:after="100" w:before="0"/>
      </w:pPr>
      <w:r>
        <w:rPr>
          <w:rFonts w:ascii="Arial" w:cs="Arial" w:eastAsia="Arial" w:hAnsi="Arial"/>
          <w:b w:val="false"/>
          <w:bCs w:val="false"/>
          <w:color w:val="153E35"/>
          <w:sz w:val="19"/>
          <w:szCs w:val="19"/>
        </w:rPr>
        <w:t xml:space="preserve">Core physical entities only; supporting roles/permissions, audit, bookings, settings, damage, and integration tables are omitted for readability. PK = primary key; FK = foreign key; ? = nullable.</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5799373" cy="6724650"/>
                  <wp:effectExtent t="0" r="0" b="0" l="0"/>
                  <wp:docPr id="17" name="Entity Relationship Diagram" descr="Core physical entities only; supporting roles/permissions, audit, bookings, settings, damage, and integration tables are omitted for readability. PK = primary key; FK = foreign key; ? = nullab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99373" cy="6724650"/>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PK identifies a primary key; FK identifies a foreign key. A question mark denotes a nullable field.</w:t>
      </w:r>
    </w:p>
    <w:p>
      <w:pPr>
        <w:spacing w:after="55" w:before="0"/>
      </w:pPr>
      <w:r>
        <w:rPr>
          <w:rFonts w:ascii="Arial" w:cs="Arial" w:eastAsia="Arial" w:hAnsi="Arial"/>
          <w:b w:val="false"/>
          <w:bCs w:val="false"/>
          <w:color w:val="153E35"/>
          <w:sz w:val="19"/>
          <w:szCs w:val="19"/>
        </w:rPr>
        <w:t xml:space="preserve">• A reservation may link to one borrowing. Each borrowing has at most one return and one usage log.</w:t>
      </w:r>
    </w:p>
    <w:p>
      <w:pPr>
        <w:spacing w:after="55" w:before="0"/>
        <w:sectPr>
          <w:footerReference w:type="default" r:id="rId23"/>
          <w:type w:val="nextPage"/>
          <w:pgSz w:w="11906" w:h="16838" w:orient="portrait"/>
          <w:pgMar w:top="650" w:right="650" w:bottom="650" w:left="650" w:header="708" w:footer="300" w:gutter="0"/>
          <w:pgNumType/>
          <w:docGrid w:linePitch="360"/>
        </w:sectPr>
      </w:pPr>
      <w:r>
        <w:rPr>
          <w:rFonts w:ascii="Arial" w:cs="Arial" w:eastAsia="Arial" w:hAnsi="Arial"/>
          <w:b w:val="false"/>
          <w:bCs w:val="false"/>
          <w:color w:val="153E35"/>
          <w:sz w:val="19"/>
          <w:szCs w:val="19"/>
        </w:rPr>
        <w:t xml:space="preserve">• This core ERD omits supporting audit, authorization, booking, damage, settings, and integration tables.</w:t>
      </w:r>
    </w:p>
    <w:p>
      <w:pPr>
        <w:spacing w:after="70" w:before="0"/>
      </w:pPr>
      <w:r>
        <w:rPr>
          <w:rFonts w:ascii="Arial" w:cs="Arial" w:eastAsia="Arial" w:hAnsi="Arial"/>
          <w:b/>
          <w:bCs/>
          <w:color w:val="153E35"/>
          <w:sz w:val="16"/>
          <w:szCs w:val="16"/>
        </w:rPr>
        <w:t xml:space="preserve">AGRICULTURAL EQUIPMENT AND ASSET MANAGEMENT SYSTEM</w:t>
      </w:r>
    </w:p>
    <w:p>
      <w:pPr>
        <w:keepNext/>
        <w:spacing w:after="75" w:before="0"/>
      </w:pPr>
      <w:r>
        <w:rPr>
          <w:rFonts w:ascii="Arial" w:cs="Arial" w:eastAsia="Arial" w:hAnsi="Arial"/>
          <w:b/>
          <w:bCs/>
          <w:color w:val="153E35"/>
          <w:sz w:val="32"/>
          <w:szCs w:val="32"/>
        </w:rPr>
        <w:t xml:space="preserve">18  SysML Requirement Diagram</w:t>
      </w:r>
    </w:p>
    <w:p>
      <w:pPr>
        <w:keepNext/>
        <w:spacing w:after="100" w:before="0"/>
      </w:pPr>
      <w:r>
        <w:rPr>
          <w:rFonts w:ascii="Arial" w:cs="Arial" w:eastAsia="Arial" w:hAnsi="Arial"/>
          <w:b w:val="false"/>
          <w:bCs w:val="false"/>
          <w:color w:val="153E35"/>
          <w:sz w:val="19"/>
          <w:szCs w:val="19"/>
        </w:rPr>
        <w:t xml:space="preserve">Requirements are traced to implemented responsibilities and verification activities. This is a focused system-level traceability view, not a claim of external certification.</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350"/>
      </w:tblGrid>
      <w:tr>
        <w:trPr>
          <w:cantSplit/>
          <w:trHeight w:val="10950" w:hRule="exact"/>
        </w:trPr>
        <w:tc>
          <w:tcPr>
            <w:tcBorders>
              <w:top w:val="single" w:color="CFE2D8" w:sz="4"/>
              <w:left w:val="single" w:color="CFE2D8" w:sz="4"/>
              <w:bottom w:val="single" w:color="CFE2D8" w:sz="4"/>
              <w:right w:val="single" w:color="CFE2D8" w:sz="4"/>
            </w:tcBorders>
            <w:tcMar>
              <w:top w:type="dxa" w:w="60"/>
              <w:left w:type="dxa" w:w="60"/>
              <w:bottom w:type="dxa" w:w="60"/>
              <w:right w:type="dxa" w:w="60"/>
            </w:tcMar>
            <w:vAlign w:val="center"/>
          </w:tcPr>
          <w:p>
            <w:pPr>
              <w:spacing w:after="0" w:before="0"/>
              <w:jc w:val="center"/>
            </w:pPr>
            <w:r>
              <w:drawing>
                <wp:inline distT="0" distB="0" distL="0" distR="0">
                  <wp:extent cx="6035420" cy="6724650"/>
                  <wp:effectExtent t="0" r="0" b="0" l="0"/>
                  <wp:docPr id="18" name="SysML Requirement Diagram" descr="Requirements are traced to implemented responsibilities and verification activities. This is a focused system-level traceability view, not a claim of external certification." title="SysML Require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35420" cy="6724650"/>
                          </a:xfrm>
                          <a:prstGeom prst="rect">
                            <a:avLst/>
                          </a:prstGeom>
                        </pic:spPr>
                      </pic:pic>
                    </a:graphicData>
                  </a:graphic>
                </wp:inline>
              </w:drawing>
            </w:r>
          </w:p>
        </w:tc>
      </w:tr>
    </w:tbl>
    <w:p>
      <w:pPr>
        <w:spacing w:after="65" w:before="110"/>
      </w:pPr>
      <w:r>
        <w:rPr>
          <w:rFonts w:ascii="Arial" w:cs="Arial" w:eastAsia="Arial" w:hAnsi="Arial"/>
          <w:b/>
          <w:bCs/>
          <w:color w:val="153E35"/>
          <w:sz w:val="19"/>
          <w:szCs w:val="19"/>
        </w:rPr>
        <w:t xml:space="preserve">HOW TO READ THIS DIAGRAM</w:t>
      </w:r>
    </w:p>
    <w:p>
      <w:pPr>
        <w:spacing w:after="55" w:before="0"/>
      </w:pPr>
      <w:r>
        <w:rPr>
          <w:rFonts w:ascii="Arial" w:cs="Arial" w:eastAsia="Arial" w:hAnsi="Arial"/>
          <w:b w:val="false"/>
          <w:bCs w:val="false"/>
          <w:color w:val="153E35"/>
          <w:sz w:val="19"/>
          <w:szCs w:val="19"/>
        </w:rPr>
        <w:t xml:space="preserve">• FR-01 through FR-06 cover staff access, inventory, approvals, inspections, maintenance, and reporting.</w:t>
      </w:r>
    </w:p>
    <w:p>
      <w:pPr>
        <w:spacing w:after="55" w:before="0"/>
      </w:pPr>
      <w:r>
        <w:rPr>
          <w:rFonts w:ascii="Arial" w:cs="Arial" w:eastAsia="Arial" w:hAnsi="Arial"/>
          <w:b w:val="false"/>
          <w:bCs w:val="false"/>
          <w:color w:val="153E35"/>
          <w:sz w:val="19"/>
          <w:szCs w:val="19"/>
        </w:rPr>
        <w:t xml:space="preserve">• Dashed satisfy links map implementation responsibilities to the requirements they address.</w:t>
      </w:r>
    </w:p>
    <w:p>
      <w:pPr>
        <w:spacing w:after="55" w:before="0"/>
      </w:pPr>
      <w:r>
        <w:rPr>
          <w:rFonts w:ascii="Arial" w:cs="Arial" w:eastAsia="Arial" w:hAnsi="Arial"/>
          <w:b w:val="false"/>
          <w:bCs w:val="false"/>
          <w:color w:val="153E35"/>
          <w:sz w:val="19"/>
          <w:szCs w:val="19"/>
        </w:rPr>
        <w:t xml:space="preserve">• Dashed verify links map database, API, and browser checks to requirements; this is not certification.</w:t>
      </w:r>
    </w:p>
    <w:sectPr>
      <w:footerReference w:type="default" r:id="rId24"/>
      <w:type w:val="nextPage"/>
      <w:pgSz w:w="11906" w:h="16838" w:orient="portrait"/>
      <w:pgMar w:top="650" w:right="650" w:bottom="650" w:left="650" w:header="708" w:footer="3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85F"/>
        <w:sz w:val="17"/>
        <w:szCs w:val="17"/>
      </w:rPr>
      <w:t xml:space="preserve">AEAMS · Detailed system diagrams  |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theme" Target="theme/theme1.xml"/><Relationship Id="rId26" Type="http://schemas.openxmlformats.org/officeDocument/2006/relationships/image" Target="media/540aea8caf8223345774c7819504f20ea9082ea5.png"/><Relationship Id="rId27" Type="http://schemas.openxmlformats.org/officeDocument/2006/relationships/image" Target="media/762c16194046743799d39c345a0b9e6775b1af28.png"/><Relationship Id="rId28" Type="http://schemas.openxmlformats.org/officeDocument/2006/relationships/image" Target="media/496466ed822c12827799e2a0f91ea598ed982356.png"/><Relationship Id="rId29" Type="http://schemas.openxmlformats.org/officeDocument/2006/relationships/image" Target="media/0698cb6daf1320ea2808d770fc1c2a41359bfcaa.png"/><Relationship Id="rId30" Type="http://schemas.openxmlformats.org/officeDocument/2006/relationships/image" Target="media/28877c0071eaca963a913b5fd25b1e10701d8b24.png"/><Relationship Id="rId31" Type="http://schemas.openxmlformats.org/officeDocument/2006/relationships/image" Target="media/2c8818b8d911bf045d682925947a1e20cfe4171c.png"/><Relationship Id="rId32" Type="http://schemas.openxmlformats.org/officeDocument/2006/relationships/image" Target="media/410007b3f972dc638b60e22ed96cc577325dc67e.png"/><Relationship Id="rId33" Type="http://schemas.openxmlformats.org/officeDocument/2006/relationships/image" Target="media/301ecf00a3979339bf99dbbadfd7ed872bd6546d.png"/><Relationship Id="rId34" Type="http://schemas.openxmlformats.org/officeDocument/2006/relationships/image" Target="media/4b2f06887965d06c84c2e464f1b42a5b6d973810.png"/><Relationship Id="rId35" Type="http://schemas.openxmlformats.org/officeDocument/2006/relationships/image" Target="media/5197ff5970bb4d98b93c89e34d3fdbc71118e0f2.png"/><Relationship Id="rId36" Type="http://schemas.openxmlformats.org/officeDocument/2006/relationships/image" Target="media/6c7e4879da6c7679cf81998a1d4e139728cb5aa0.png"/><Relationship Id="rId37" Type="http://schemas.openxmlformats.org/officeDocument/2006/relationships/image" Target="media/74cb2cbb1d5625cc61ee59862bb463235d3b5ade.png"/><Relationship Id="rId38" Type="http://schemas.openxmlformats.org/officeDocument/2006/relationships/image" Target="media/d6afd56443ee9439cbd2dddbd8f2016a0d72327d.png"/><Relationship Id="rId39" Type="http://schemas.openxmlformats.org/officeDocument/2006/relationships/image" Target="media/9dd3e24f9d336db00b71e811e767eed1955ea228.png"/><Relationship Id="rId40" Type="http://schemas.openxmlformats.org/officeDocument/2006/relationships/image" Target="media/3a4e0ea0a579541c8081cb2e92392c99d7b703f8.png"/><Relationship Id="rId41" Type="http://schemas.openxmlformats.org/officeDocument/2006/relationships/image" Target="media/fe9a932187e6bdb088880442e6dd6634df1b3cc5.png"/><Relationship Id="rId42" Type="http://schemas.openxmlformats.org/officeDocument/2006/relationships/image" Target="media/897022f61da8919c022f44824baba41a60896aae.png"/><Relationship Id="rId43" Type="http://schemas.openxmlformats.org/officeDocument/2006/relationships/image" Target="media/875f91b3377faff64e354540fc2bb21abf61deb0.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Agricultural Equipment and Asset Management System — Detailed System Diagrams</dc:title>
  <dc:creator>AEAMS project</dc:creator>
  <dc:description>A system developed to manage agricultural machinery, equipment, and other municipal agricultural assets. It supports equipment reservations, borrowing and return transactions, maintenance scheduling, equipment availability monitoring, and asset utilization tracking to improve operational efficiency.</dc:description>
  <cp:lastModifiedBy>Un-named</cp:lastModifiedBy>
  <cp:revision>1</cp:revision>
  <dcterms:created xsi:type="dcterms:W3CDTF">2026-10-29T20:29:11.420Z</dcterms:created>
  <dcterms:modified xsi:type="dcterms:W3CDTF">2026-10-29T20:29:11.428Z</dcterms:modified>
</cp:coreProperties>
</file>

<file path=docProps/custom.xml><?xml version="1.0" encoding="utf-8"?>
<Properties xmlns="http://schemas.openxmlformats.org/officeDocument/2006/custom-properties" xmlns:vt="http://schemas.openxmlformats.org/officeDocument/2006/docPropsVTypes"/>
</file>