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11AA" w14:textId="77777777" w:rsidR="00316CA7" w:rsidRPr="002003C0" w:rsidRDefault="00316CA7">
      <w:pPr>
        <w:rPr>
          <w:rFonts w:cstheme="minorHAnsi"/>
          <w:sz w:val="20"/>
          <w:szCs w:val="20"/>
        </w:rPr>
      </w:pPr>
      <w:r w:rsidRPr="002003C0">
        <w:rPr>
          <w:rFonts w:cstheme="minorHAnsi"/>
          <w:sz w:val="20"/>
          <w:szCs w:val="20"/>
          <w:highlight w:val="yellow"/>
        </w:rPr>
        <w:t>Protein</w:t>
      </w:r>
      <w:r w:rsidR="00A129B7" w:rsidRPr="002003C0">
        <w:rPr>
          <w:rFonts w:cstheme="minorHAnsi"/>
          <w:sz w:val="20"/>
          <w:szCs w:val="20"/>
        </w:rPr>
        <w:t xml:space="preserve"> (name, PDB id, etc.)</w:t>
      </w:r>
    </w:p>
    <w:p w14:paraId="1AA36CE5" w14:textId="77777777" w:rsidR="00316CA7" w:rsidRPr="002003C0" w:rsidRDefault="00316CA7">
      <w:pPr>
        <w:rPr>
          <w:rFonts w:cstheme="minorHAnsi"/>
          <w:sz w:val="20"/>
          <w:szCs w:val="20"/>
        </w:rPr>
      </w:pPr>
      <w:r w:rsidRPr="002003C0">
        <w:rPr>
          <w:rFonts w:cstheme="minorHAnsi"/>
          <w:sz w:val="20"/>
          <w:szCs w:val="20"/>
          <w:highlight w:val="green"/>
        </w:rPr>
        <w:t>Variants</w:t>
      </w:r>
      <w:r w:rsidR="00A129B7" w:rsidRPr="002003C0">
        <w:rPr>
          <w:rFonts w:cstheme="minorHAnsi"/>
          <w:sz w:val="20"/>
          <w:szCs w:val="20"/>
        </w:rPr>
        <w:t xml:space="preserve"> (position, substitution)</w:t>
      </w:r>
    </w:p>
    <w:p w14:paraId="0A954145" w14:textId="77777777" w:rsidR="00316CA7" w:rsidRPr="002003C0" w:rsidRDefault="00316CA7">
      <w:pPr>
        <w:rPr>
          <w:rFonts w:cstheme="minorHAnsi"/>
          <w:sz w:val="20"/>
          <w:szCs w:val="20"/>
        </w:rPr>
      </w:pPr>
      <w:r w:rsidRPr="002003C0">
        <w:rPr>
          <w:rFonts w:cstheme="minorHAnsi"/>
          <w:sz w:val="20"/>
          <w:szCs w:val="20"/>
          <w:highlight w:val="cyan"/>
        </w:rPr>
        <w:t>Experimental method</w:t>
      </w:r>
      <w:r w:rsidR="00A129B7" w:rsidRPr="002003C0">
        <w:rPr>
          <w:rFonts w:cstheme="minorHAnsi"/>
          <w:sz w:val="20"/>
          <w:szCs w:val="20"/>
        </w:rPr>
        <w:t xml:space="preserve"> (technique, pH, salt concentrations, T, etc. used)</w:t>
      </w:r>
    </w:p>
    <w:p w14:paraId="1AF5B0C3" w14:textId="77777777" w:rsidR="00316CA7" w:rsidRPr="002003C0" w:rsidRDefault="00316CA7">
      <w:pPr>
        <w:rPr>
          <w:rFonts w:cstheme="minorHAnsi"/>
          <w:sz w:val="20"/>
          <w:szCs w:val="20"/>
        </w:rPr>
      </w:pPr>
      <w:r w:rsidRPr="002003C0">
        <w:rPr>
          <w:rFonts w:cstheme="minorHAnsi"/>
          <w:sz w:val="20"/>
          <w:szCs w:val="20"/>
          <w:highlight w:val="magenta"/>
        </w:rPr>
        <w:t>Stability data</w:t>
      </w:r>
      <w:r w:rsidR="00A129B7" w:rsidRPr="002003C0">
        <w:rPr>
          <w:rFonts w:cstheme="minorHAnsi"/>
          <w:sz w:val="20"/>
          <w:szCs w:val="20"/>
        </w:rPr>
        <w:t xml:space="preserve"> (∆G and/or Tm of WT and mutant, or corresponding ∆∆G and/or ∆Tm </w:t>
      </w:r>
      <w:r w:rsidR="003B172D" w:rsidRPr="002003C0">
        <w:rPr>
          <w:rFonts w:cstheme="minorHAnsi"/>
          <w:sz w:val="20"/>
          <w:szCs w:val="20"/>
        </w:rPr>
        <w:t>and any</w:t>
      </w:r>
      <w:r w:rsidR="00A129B7" w:rsidRPr="002003C0">
        <w:rPr>
          <w:rFonts w:cstheme="minorHAnsi"/>
          <w:sz w:val="20"/>
          <w:szCs w:val="20"/>
        </w:rPr>
        <w:t xml:space="preserve"> indication stabilizing/destabilizing)</w:t>
      </w:r>
    </w:p>
    <w:p w14:paraId="5E8AE142" w14:textId="77777777" w:rsidR="00CF3ACB" w:rsidRPr="002003C0" w:rsidRDefault="00CF3ACB">
      <w:pPr>
        <w:rPr>
          <w:rFonts w:cstheme="minorHAnsi"/>
          <w:sz w:val="20"/>
          <w:szCs w:val="20"/>
        </w:rPr>
      </w:pPr>
    </w:p>
    <w:p w14:paraId="10F09891" w14:textId="77777777" w:rsidR="0061281B" w:rsidRPr="002003C0" w:rsidRDefault="0061281B" w:rsidP="0061281B">
      <w:pPr>
        <w:pBdr>
          <w:top w:val="single" w:sz="12" w:space="1" w:color="auto"/>
          <w:bottom w:val="single" w:sz="12" w:space="1" w:color="auto"/>
        </w:pBdr>
        <w:rPr>
          <w:rFonts w:cstheme="minorHAnsi"/>
          <w:sz w:val="20"/>
          <w:szCs w:val="20"/>
        </w:rPr>
      </w:pPr>
    </w:p>
    <w:p w14:paraId="24D8378E" w14:textId="0AFCF3CB" w:rsidR="00E10F4C" w:rsidRPr="00E10F4C" w:rsidRDefault="000143E9" w:rsidP="0061281B">
      <w:pPr>
        <w:pBdr>
          <w:top w:val="single" w:sz="12" w:space="1" w:color="auto"/>
          <w:bottom w:val="single" w:sz="12" w:space="1" w:color="auto"/>
        </w:pBdr>
        <w:rPr>
          <w:rFonts w:cstheme="minorHAnsi"/>
          <w:b/>
          <w:bCs/>
          <w:sz w:val="20"/>
          <w:szCs w:val="20"/>
        </w:rPr>
      </w:pPr>
      <w:r>
        <w:rPr>
          <w:rFonts w:cstheme="minorHAnsi"/>
          <w:b/>
          <w:bCs/>
          <w:sz w:val="20"/>
          <w:szCs w:val="20"/>
        </w:rPr>
        <w:t>S</w:t>
      </w:r>
      <w:r w:rsidRPr="000143E9">
        <w:rPr>
          <w:rFonts w:cstheme="minorHAnsi"/>
          <w:b/>
          <w:bCs/>
          <w:sz w:val="20"/>
          <w:szCs w:val="20"/>
        </w:rPr>
        <w:t>tability 01 (PMID: 24945274)</w:t>
      </w:r>
    </w:p>
    <w:p w14:paraId="7919A241" w14:textId="26B5BB1E" w:rsidR="001A4F05" w:rsidRPr="00522D8F" w:rsidRDefault="00316CA7" w:rsidP="0061281B">
      <w:pPr>
        <w:pBdr>
          <w:top w:val="single" w:sz="12" w:space="1" w:color="auto"/>
          <w:bottom w:val="single" w:sz="12" w:space="1" w:color="auto"/>
        </w:pBdr>
        <w:rPr>
          <w:rFonts w:cstheme="minorHAnsi"/>
          <w:sz w:val="20"/>
          <w:szCs w:val="20"/>
        </w:rPr>
      </w:pPr>
      <w:r w:rsidRPr="002003C0">
        <w:rPr>
          <w:rFonts w:cstheme="minorHAnsi"/>
          <w:sz w:val="20"/>
          <w:szCs w:val="20"/>
        </w:rPr>
        <w:t xml:space="preserve">Applied to </w:t>
      </w:r>
      <w:r w:rsidRPr="002003C0">
        <w:rPr>
          <w:rFonts w:cstheme="minorHAnsi"/>
          <w:sz w:val="20"/>
          <w:szCs w:val="20"/>
          <w:highlight w:val="yellow"/>
        </w:rPr>
        <w:t>HET-s</w:t>
      </w:r>
      <w:r w:rsidRPr="002003C0">
        <w:rPr>
          <w:rFonts w:cstheme="minorHAnsi"/>
          <w:sz w:val="20"/>
          <w:szCs w:val="20"/>
        </w:rPr>
        <w:t xml:space="preserve"> this would mean that a change of the stability of the β-solenoid may alter heterokaryon incompatibility, spontaneous prion formation, prion propagation and spore killing (Figure 2, Figure 3, Tables 1 and 2). In order to get insights into the individual contribution of the amino acid side chains to the stability of the </w:t>
      </w:r>
      <w:r w:rsidRPr="002003C0">
        <w:rPr>
          <w:rFonts w:cstheme="minorHAnsi"/>
          <w:sz w:val="20"/>
          <w:szCs w:val="20"/>
          <w:highlight w:val="yellow"/>
        </w:rPr>
        <w:t>HET-s</w:t>
      </w:r>
      <w:r w:rsidRPr="002003C0">
        <w:rPr>
          <w:rFonts w:cstheme="minorHAnsi"/>
          <w:sz w:val="20"/>
          <w:szCs w:val="20"/>
        </w:rPr>
        <w:t xml:space="preserve"> prion, Ala variants </w:t>
      </w:r>
      <w:r w:rsidRPr="002003C0">
        <w:rPr>
          <w:rFonts w:cstheme="minorHAnsi"/>
          <w:sz w:val="20"/>
          <w:szCs w:val="20"/>
          <w:highlight w:val="green"/>
        </w:rPr>
        <w:t>K229A, I231A, V239A, Q240A, L241A, N262A, V264A, V267A, E272A, S273A, G278A, F286A, D288A</w:t>
      </w:r>
      <w:r w:rsidRPr="002003C0">
        <w:rPr>
          <w:rFonts w:cstheme="minorHAnsi"/>
          <w:sz w:val="20"/>
          <w:szCs w:val="20"/>
        </w:rPr>
        <w:t xml:space="preserve"> and </w:t>
      </w:r>
      <w:r w:rsidRPr="002003C0">
        <w:rPr>
          <w:rFonts w:cstheme="minorHAnsi"/>
          <w:sz w:val="20"/>
          <w:szCs w:val="20"/>
          <w:highlight w:val="green"/>
        </w:rPr>
        <w:t>F286A/W287A</w:t>
      </w:r>
      <w:r w:rsidRPr="002003C0">
        <w:rPr>
          <w:rFonts w:cstheme="minorHAnsi"/>
          <w:sz w:val="20"/>
          <w:szCs w:val="20"/>
        </w:rPr>
        <w:t xml:space="preserve"> were measured by a </w:t>
      </w:r>
      <w:r w:rsidRPr="002003C0">
        <w:rPr>
          <w:rFonts w:cstheme="minorHAnsi"/>
          <w:sz w:val="20"/>
          <w:szCs w:val="20"/>
          <w:highlight w:val="cyan"/>
        </w:rPr>
        <w:t>fibril denaturation assay using GuHCl</w:t>
      </w:r>
      <w:r w:rsidRPr="002003C0">
        <w:rPr>
          <w:rFonts w:cstheme="minorHAnsi"/>
          <w:sz w:val="20"/>
          <w:szCs w:val="20"/>
        </w:rPr>
        <w:t xml:space="preserve"> (Figure 5 and Table 3) following the concept by Santoro and Bolen to study protein folding and unfolding [61]…</w:t>
      </w:r>
      <w:r w:rsidRPr="002003C0">
        <w:rPr>
          <w:rFonts w:cstheme="minorHAnsi"/>
          <w:sz w:val="20"/>
          <w:szCs w:val="20"/>
          <w:shd w:val="clear" w:color="auto" w:fill="FFFFFF"/>
        </w:rPr>
        <w:t xml:space="preserve"> The </w:t>
      </w:r>
      <w:r w:rsidRPr="002003C0">
        <w:rPr>
          <w:rFonts w:cstheme="minorHAnsi"/>
          <w:sz w:val="20"/>
          <w:szCs w:val="20"/>
          <w:highlight w:val="magenta"/>
          <w:shd w:val="clear" w:color="auto" w:fill="FFFFFF"/>
        </w:rPr>
        <w:t>positive ΔΔG</w:t>
      </w:r>
      <w:r w:rsidRPr="002003C0">
        <w:rPr>
          <w:rFonts w:cstheme="minorHAnsi"/>
          <w:sz w:val="20"/>
          <w:szCs w:val="20"/>
          <w:shd w:val="clear" w:color="auto" w:fill="FFFFFF"/>
        </w:rPr>
        <w:t xml:space="preserve"> value for </w:t>
      </w:r>
      <w:r w:rsidRPr="002003C0">
        <w:rPr>
          <w:rFonts w:cstheme="minorHAnsi"/>
          <w:sz w:val="20"/>
          <w:szCs w:val="20"/>
          <w:highlight w:val="green"/>
          <w:shd w:val="clear" w:color="auto" w:fill="FFFFFF"/>
        </w:rPr>
        <w:t>K229A</w:t>
      </w:r>
      <w:r w:rsidRPr="002003C0">
        <w:rPr>
          <w:rFonts w:cstheme="minorHAnsi"/>
          <w:sz w:val="20"/>
          <w:szCs w:val="20"/>
          <w:shd w:val="clear" w:color="auto" w:fill="FFFFFF"/>
        </w:rPr>
        <w:t xml:space="preserve"> of </w:t>
      </w:r>
      <w:r w:rsidRPr="002003C0">
        <w:rPr>
          <w:rFonts w:cstheme="minorHAnsi"/>
          <w:sz w:val="20"/>
          <w:szCs w:val="20"/>
          <w:highlight w:val="magenta"/>
          <w:shd w:val="clear" w:color="auto" w:fill="FFFFFF"/>
        </w:rPr>
        <w:t>1.5 kcal/mol</w:t>
      </w:r>
      <w:r w:rsidRPr="002003C0">
        <w:rPr>
          <w:rFonts w:cstheme="minorHAnsi"/>
          <w:sz w:val="20"/>
          <w:szCs w:val="20"/>
          <w:shd w:val="clear" w:color="auto" w:fill="FFFFFF"/>
        </w:rPr>
        <w:t xml:space="preserve"> indicates that the salt bridge between K229 and E265 does not play a favorable stability effect on the β-solenoid structure. Similarly, the replacement E272A (removing the E272-R236 salt bridge) results in a </w:t>
      </w:r>
      <w:r w:rsidRPr="002003C0">
        <w:rPr>
          <w:rFonts w:cstheme="minorHAnsi"/>
          <w:sz w:val="20"/>
          <w:szCs w:val="20"/>
          <w:highlight w:val="magenta"/>
          <w:shd w:val="clear" w:color="auto" w:fill="FFFFFF"/>
        </w:rPr>
        <w:t>positive stability effect</w:t>
      </w:r>
      <w:r w:rsidRPr="002003C0">
        <w:rPr>
          <w:rFonts w:cstheme="minorHAnsi"/>
          <w:sz w:val="20"/>
          <w:szCs w:val="20"/>
          <w:shd w:val="clear" w:color="auto" w:fill="FFFFFF"/>
        </w:rPr>
        <w:t xml:space="preserve"> of approximately </w:t>
      </w:r>
      <w:r w:rsidRPr="002003C0">
        <w:rPr>
          <w:rFonts w:cstheme="minorHAnsi"/>
          <w:sz w:val="20"/>
          <w:szCs w:val="20"/>
          <w:highlight w:val="magenta"/>
          <w:shd w:val="clear" w:color="auto" w:fill="FFFFFF"/>
        </w:rPr>
        <w:t>2 kcal/mol</w:t>
      </w:r>
      <w:r w:rsidRPr="002003C0">
        <w:rPr>
          <w:rFonts w:cstheme="minorHAnsi"/>
          <w:sz w:val="20"/>
          <w:szCs w:val="20"/>
          <w:shd w:val="clear" w:color="auto" w:fill="FFFFFF"/>
        </w:rPr>
        <w:t xml:space="preserve">. The amino acid replacements in the hydrophobic core at position </w:t>
      </w:r>
      <w:r w:rsidRPr="002003C0">
        <w:rPr>
          <w:rFonts w:cstheme="minorHAnsi"/>
          <w:sz w:val="20"/>
          <w:szCs w:val="20"/>
          <w:highlight w:val="green"/>
          <w:shd w:val="clear" w:color="auto" w:fill="FFFFFF"/>
        </w:rPr>
        <w:t>V239</w:t>
      </w:r>
      <w:r w:rsidRPr="002003C0">
        <w:rPr>
          <w:rFonts w:cstheme="minorHAnsi"/>
          <w:sz w:val="20"/>
          <w:szCs w:val="20"/>
          <w:shd w:val="clear" w:color="auto" w:fill="FFFFFF"/>
        </w:rPr>
        <w:t xml:space="preserve">, </w:t>
      </w:r>
      <w:r w:rsidRPr="002003C0">
        <w:rPr>
          <w:rFonts w:cstheme="minorHAnsi"/>
          <w:sz w:val="20"/>
          <w:szCs w:val="20"/>
          <w:highlight w:val="green"/>
          <w:shd w:val="clear" w:color="auto" w:fill="FFFFFF"/>
        </w:rPr>
        <w:t>L241</w:t>
      </w:r>
      <w:r w:rsidRPr="002003C0">
        <w:rPr>
          <w:rFonts w:cstheme="minorHAnsi"/>
          <w:sz w:val="20"/>
          <w:szCs w:val="20"/>
          <w:shd w:val="clear" w:color="auto" w:fill="FFFFFF"/>
        </w:rPr>
        <w:t xml:space="preserve">, </w:t>
      </w:r>
      <w:r w:rsidRPr="002003C0">
        <w:rPr>
          <w:rFonts w:cstheme="minorHAnsi"/>
          <w:sz w:val="20"/>
          <w:szCs w:val="20"/>
          <w:highlight w:val="green"/>
          <w:shd w:val="clear" w:color="auto" w:fill="FFFFFF"/>
        </w:rPr>
        <w:t>V264</w:t>
      </w:r>
      <w:r w:rsidRPr="002003C0">
        <w:rPr>
          <w:rFonts w:cstheme="minorHAnsi"/>
          <w:sz w:val="20"/>
          <w:szCs w:val="20"/>
          <w:shd w:val="clear" w:color="auto" w:fill="FFFFFF"/>
        </w:rPr>
        <w:t xml:space="preserve"> also had a </w:t>
      </w:r>
      <w:r w:rsidRPr="002003C0">
        <w:rPr>
          <w:rFonts w:cstheme="minorHAnsi"/>
          <w:sz w:val="20"/>
          <w:szCs w:val="20"/>
          <w:highlight w:val="magenta"/>
          <w:shd w:val="clear" w:color="auto" w:fill="FFFFFF"/>
        </w:rPr>
        <w:t>1 kcal/mol positive effect on stability</w:t>
      </w:r>
      <w:r w:rsidRPr="002003C0">
        <w:rPr>
          <w:rFonts w:cstheme="minorHAnsi"/>
          <w:sz w:val="20"/>
          <w:szCs w:val="20"/>
          <w:shd w:val="clear" w:color="auto" w:fill="FFFFFF"/>
        </w:rPr>
        <w:t xml:space="preserve"> </w:t>
      </w:r>
      <w:r w:rsidRPr="002003C0">
        <w:rPr>
          <w:rFonts w:cstheme="minorHAnsi"/>
          <w:sz w:val="20"/>
          <w:szCs w:val="20"/>
          <w:highlight w:val="green"/>
          <w:shd w:val="clear" w:color="auto" w:fill="FFFFFF"/>
        </w:rPr>
        <w:t>V267</w:t>
      </w:r>
      <w:r w:rsidRPr="002003C0">
        <w:rPr>
          <w:rFonts w:cstheme="minorHAnsi"/>
          <w:sz w:val="20"/>
          <w:szCs w:val="20"/>
          <w:shd w:val="clear" w:color="auto" w:fill="FFFFFF"/>
        </w:rPr>
        <w:t xml:space="preserve"> had </w:t>
      </w:r>
      <w:r w:rsidRPr="002003C0">
        <w:rPr>
          <w:rFonts w:cstheme="minorHAnsi"/>
          <w:sz w:val="20"/>
          <w:szCs w:val="20"/>
          <w:highlight w:val="magenta"/>
          <w:shd w:val="clear" w:color="auto" w:fill="FFFFFF"/>
        </w:rPr>
        <w:t>no effect</w:t>
      </w:r>
      <w:r w:rsidRPr="002003C0">
        <w:rPr>
          <w:rFonts w:cstheme="minorHAnsi"/>
          <w:sz w:val="20"/>
          <w:szCs w:val="20"/>
          <w:shd w:val="clear" w:color="auto" w:fill="FFFFFF"/>
        </w:rPr>
        <w:t>.</w:t>
      </w:r>
    </w:p>
    <w:p w14:paraId="2E6E4A55" w14:textId="01AAFBAB" w:rsidR="002003C0" w:rsidRPr="002003C0" w:rsidRDefault="005A7357" w:rsidP="002003C0">
      <w:pPr>
        <w:pBdr>
          <w:bottom w:val="single" w:sz="12" w:space="1" w:color="auto"/>
          <w:between w:val="single" w:sz="12" w:space="1" w:color="auto"/>
        </w:pBdr>
        <w:spacing w:after="0" w:line="330" w:lineRule="atLeast"/>
        <w:ind w:right="360"/>
        <w:rPr>
          <w:rFonts w:eastAsia="Times New Roman" w:cstheme="minorHAnsi"/>
          <w:sz w:val="20"/>
          <w:szCs w:val="20"/>
          <w:lang w:val="en-GB" w:eastAsia="en-GB"/>
        </w:rPr>
      </w:pPr>
      <w:r w:rsidRPr="005A7357">
        <w:rPr>
          <w:rFonts w:eastAsia="Times New Roman" w:cstheme="minorHAnsi"/>
          <w:b/>
          <w:bCs/>
          <w:sz w:val="20"/>
          <w:szCs w:val="20"/>
          <w:lang w:val="en-GB" w:eastAsia="en-GB"/>
        </w:rPr>
        <w:t>S</w:t>
      </w:r>
      <w:r w:rsidR="000143E9" w:rsidRPr="000143E9">
        <w:rPr>
          <w:rFonts w:eastAsia="Times New Roman" w:cstheme="minorHAnsi"/>
          <w:b/>
          <w:bCs/>
          <w:sz w:val="20"/>
          <w:szCs w:val="20"/>
          <w:lang w:val="en-GB" w:eastAsia="en-GB"/>
        </w:rPr>
        <w:t>tability 02 (PMID: 25184759)</w:t>
      </w:r>
      <w:r w:rsidRPr="005A7357">
        <w:rPr>
          <w:rFonts w:eastAsia="Times New Roman" w:cstheme="minorHAnsi"/>
          <w:b/>
          <w:bCs/>
          <w:sz w:val="20"/>
          <w:szCs w:val="20"/>
          <w:lang w:val="en-GB" w:eastAsia="en-GB"/>
        </w:rPr>
        <w:br/>
      </w:r>
      <w:r w:rsidR="002003C0" w:rsidRPr="002003C0">
        <w:rPr>
          <w:rFonts w:eastAsia="Times New Roman" w:cstheme="minorHAnsi"/>
          <w:sz w:val="20"/>
          <w:szCs w:val="20"/>
          <w:lang w:val="en-GB" w:eastAsia="en-GB"/>
        </w:rPr>
        <w:t xml:space="preserve">From Table 1, the </w:t>
      </w:r>
      <w:r w:rsidR="002003C0" w:rsidRPr="002003C0">
        <w:rPr>
          <w:rFonts w:eastAsia="Times New Roman" w:cstheme="minorHAnsi"/>
          <w:sz w:val="20"/>
          <w:szCs w:val="20"/>
          <w:highlight w:val="magenta"/>
          <w:lang w:val="en-GB" w:eastAsia="en-GB"/>
        </w:rPr>
        <w:t>ΔΔGU</w:t>
      </w:r>
      <w:r w:rsidR="002003C0" w:rsidRPr="002003C0">
        <w:rPr>
          <w:rFonts w:eastAsia="Times New Roman" w:cstheme="minorHAnsi"/>
          <w:sz w:val="20"/>
          <w:szCs w:val="20"/>
          <w:lang w:val="en-GB" w:eastAsia="en-GB"/>
        </w:rPr>
        <w:t xml:space="preserve"> values for </w:t>
      </w:r>
      <w:r w:rsidR="002003C0" w:rsidRPr="002003C0">
        <w:rPr>
          <w:rFonts w:eastAsia="Times New Roman" w:cstheme="minorHAnsi"/>
          <w:sz w:val="20"/>
          <w:szCs w:val="20"/>
          <w:highlight w:val="green"/>
          <w:lang w:val="en-GB" w:eastAsia="en-GB"/>
        </w:rPr>
        <w:t>P19A</w:t>
      </w:r>
      <w:r w:rsidR="002003C0" w:rsidRPr="002003C0">
        <w:rPr>
          <w:rFonts w:eastAsia="Times New Roman" w:cstheme="minorHAnsi"/>
          <w:sz w:val="20"/>
          <w:szCs w:val="20"/>
          <w:lang w:val="en-GB" w:eastAsia="en-GB"/>
        </w:rPr>
        <w:t xml:space="preserve"> and </w:t>
      </w:r>
      <w:r w:rsidR="002003C0" w:rsidRPr="002003C0">
        <w:rPr>
          <w:rFonts w:eastAsia="Times New Roman" w:cstheme="minorHAnsi"/>
          <w:sz w:val="20"/>
          <w:szCs w:val="20"/>
          <w:highlight w:val="green"/>
          <w:lang w:val="en-GB" w:eastAsia="en-GB"/>
        </w:rPr>
        <w:t>P18A</w:t>
      </w:r>
      <w:r w:rsidR="002003C0" w:rsidRPr="002003C0">
        <w:rPr>
          <w:rFonts w:eastAsia="Times New Roman" w:cstheme="minorHAnsi"/>
          <w:sz w:val="20"/>
          <w:szCs w:val="20"/>
          <w:lang w:val="en-GB" w:eastAsia="en-GB"/>
        </w:rPr>
        <w:t xml:space="preserve"> are </w:t>
      </w:r>
      <w:r w:rsidR="002003C0" w:rsidRPr="002003C0">
        <w:rPr>
          <w:rFonts w:eastAsia="Times New Roman" w:cstheme="minorHAnsi"/>
          <w:sz w:val="20"/>
          <w:szCs w:val="20"/>
          <w:highlight w:val="magenta"/>
          <w:lang w:val="en-GB" w:eastAsia="en-GB"/>
        </w:rPr>
        <w:t>−11.8</w:t>
      </w:r>
      <w:r w:rsidR="002003C0" w:rsidRPr="002003C0">
        <w:rPr>
          <w:rFonts w:eastAsia="Times New Roman" w:cstheme="minorHAnsi"/>
          <w:sz w:val="20"/>
          <w:szCs w:val="20"/>
          <w:lang w:val="en-GB" w:eastAsia="en-GB"/>
        </w:rPr>
        <w:t xml:space="preserve"> and </w:t>
      </w:r>
      <w:r w:rsidR="002003C0" w:rsidRPr="002003C0">
        <w:rPr>
          <w:rFonts w:eastAsia="Times New Roman" w:cstheme="minorHAnsi"/>
          <w:sz w:val="20"/>
          <w:szCs w:val="20"/>
          <w:highlight w:val="magenta"/>
          <w:lang w:val="en-GB" w:eastAsia="en-GB"/>
        </w:rPr>
        <w:t>ca. −1.2 kJ/mol</w:t>
      </w:r>
      <w:r w:rsidR="002003C0" w:rsidRPr="002003C0">
        <w:rPr>
          <w:rFonts w:eastAsia="Times New Roman" w:cstheme="minorHAnsi"/>
          <w:sz w:val="20"/>
          <w:szCs w:val="20"/>
          <w:lang w:val="en-GB" w:eastAsia="en-GB"/>
        </w:rPr>
        <w:t>, respectively. The data appearing in Table 1 provide multiple determinations for a number of single site mutations and for acidification (pH 2.5 stabilities versus those at pH 7). We designate the acidification effect as ΔpH: ΔpH = 3.13 ± 0.61 kJ/mol (over 10 observed cases). Three single site mutation effects, all fold-destabilizing, are also observed in three or more instances: Δ(</w:t>
      </w:r>
      <w:r w:rsidR="002003C0" w:rsidRPr="002003C0">
        <w:rPr>
          <w:rFonts w:eastAsia="Times New Roman" w:cstheme="minorHAnsi"/>
          <w:sz w:val="20"/>
          <w:szCs w:val="20"/>
          <w:highlight w:val="green"/>
          <w:lang w:val="en-GB" w:eastAsia="en-GB"/>
        </w:rPr>
        <w:t>S14A</w:t>
      </w:r>
      <w:r w:rsidR="002003C0" w:rsidRPr="002003C0">
        <w:rPr>
          <w:rFonts w:eastAsia="Times New Roman" w:cstheme="minorHAnsi"/>
          <w:sz w:val="20"/>
          <w:szCs w:val="20"/>
          <w:lang w:val="en-GB" w:eastAsia="en-GB"/>
        </w:rPr>
        <w:t>) = 5.55 ± 0.43 (n = 3), Δ(</w:t>
      </w:r>
      <w:r w:rsidR="002003C0" w:rsidRPr="002003C0">
        <w:rPr>
          <w:rFonts w:eastAsia="Times New Roman" w:cstheme="minorHAnsi"/>
          <w:sz w:val="20"/>
          <w:szCs w:val="20"/>
          <w:highlight w:val="green"/>
          <w:lang w:val="en-GB" w:eastAsia="en-GB"/>
        </w:rPr>
        <w:t>R16nva</w:t>
      </w:r>
      <w:r w:rsidR="002003C0" w:rsidRPr="002003C0">
        <w:rPr>
          <w:rFonts w:eastAsia="Times New Roman" w:cstheme="minorHAnsi"/>
          <w:sz w:val="20"/>
          <w:szCs w:val="20"/>
          <w:lang w:val="en-GB" w:eastAsia="en-GB"/>
        </w:rPr>
        <w:t>) = 5.5 ± 1.6 (n = 4), and Δ(</w:t>
      </w:r>
      <w:r w:rsidR="002003C0" w:rsidRPr="002003C0">
        <w:rPr>
          <w:rFonts w:eastAsia="Times New Roman" w:cstheme="minorHAnsi"/>
          <w:sz w:val="20"/>
          <w:szCs w:val="20"/>
          <w:highlight w:val="green"/>
          <w:lang w:val="en-GB" w:eastAsia="en-GB"/>
        </w:rPr>
        <w:t>P17A</w:t>
      </w:r>
      <w:r w:rsidR="002003C0" w:rsidRPr="002003C0">
        <w:rPr>
          <w:rFonts w:eastAsia="Times New Roman" w:cstheme="minorHAnsi"/>
          <w:sz w:val="20"/>
          <w:szCs w:val="20"/>
          <w:lang w:val="en-GB" w:eastAsia="en-GB"/>
        </w:rPr>
        <w:t xml:space="preserve">) = 2.37 ± 0.46 kJ/mol (n = 3). All of these are based on the ΔGU300K values in Table 1. A </w:t>
      </w:r>
      <w:r w:rsidR="002003C0" w:rsidRPr="002003C0">
        <w:rPr>
          <w:rFonts w:eastAsia="Times New Roman" w:cstheme="minorHAnsi"/>
          <w:sz w:val="20"/>
          <w:szCs w:val="20"/>
          <w:highlight w:val="green"/>
          <w:lang w:val="en-GB" w:eastAsia="en-GB"/>
        </w:rPr>
        <w:t>P12W</w:t>
      </w:r>
      <w:r w:rsidR="002003C0" w:rsidRPr="002003C0">
        <w:rPr>
          <w:rFonts w:eastAsia="Times New Roman" w:cstheme="minorHAnsi"/>
          <w:sz w:val="20"/>
          <w:szCs w:val="20"/>
          <w:lang w:val="en-GB" w:eastAsia="en-GB"/>
        </w:rPr>
        <w:t xml:space="preserve"> mutation was also examined in multiple situations (</w:t>
      </w:r>
      <w:r w:rsidR="002003C0" w:rsidRPr="002003C0">
        <w:rPr>
          <w:rFonts w:eastAsia="Times New Roman" w:cstheme="minorHAnsi"/>
          <w:sz w:val="20"/>
          <w:szCs w:val="20"/>
          <w:highlight w:val="magenta"/>
          <w:lang w:val="en-GB" w:eastAsia="en-GB"/>
        </w:rPr>
        <w:t>ΔΔGUmut = −1.7 – +2.9 kJ/mol</w:t>
      </w:r>
      <w:r w:rsidR="002003C0" w:rsidRPr="002003C0">
        <w:rPr>
          <w:rFonts w:eastAsia="Times New Roman" w:cstheme="minorHAnsi"/>
          <w:sz w:val="20"/>
          <w:szCs w:val="20"/>
          <w:lang w:val="en-GB" w:eastAsia="en-GB"/>
        </w:rPr>
        <w:t xml:space="preserve">); no single value can be given for this mutation, vide infra. The most destabilizing single site mutation for the </w:t>
      </w:r>
      <w:r w:rsidR="002003C0" w:rsidRPr="002003C0">
        <w:rPr>
          <w:rFonts w:eastAsia="Times New Roman" w:cstheme="minorHAnsi"/>
          <w:sz w:val="20"/>
          <w:szCs w:val="20"/>
          <w:highlight w:val="yellow"/>
          <w:lang w:val="en-GB" w:eastAsia="en-GB"/>
        </w:rPr>
        <w:t>Trp-cage</w:t>
      </w:r>
      <w:r w:rsidR="002003C0" w:rsidRPr="002003C0">
        <w:rPr>
          <w:rFonts w:eastAsia="Times New Roman" w:cstheme="minorHAnsi"/>
          <w:sz w:val="20"/>
          <w:szCs w:val="20"/>
          <w:lang w:val="en-GB" w:eastAsia="en-GB"/>
        </w:rPr>
        <w:t xml:space="preserve">, other than </w:t>
      </w:r>
      <w:r w:rsidR="002003C0" w:rsidRPr="002003C0">
        <w:rPr>
          <w:rFonts w:eastAsia="Times New Roman" w:cstheme="minorHAnsi"/>
          <w:sz w:val="20"/>
          <w:szCs w:val="20"/>
          <w:highlight w:val="green"/>
          <w:lang w:val="en-GB" w:eastAsia="en-GB"/>
        </w:rPr>
        <w:t xml:space="preserve">P19A </w:t>
      </w:r>
      <w:r w:rsidR="002003C0" w:rsidRPr="002003C0">
        <w:rPr>
          <w:rFonts w:eastAsia="Times New Roman" w:cstheme="minorHAnsi"/>
          <w:sz w:val="20"/>
          <w:szCs w:val="20"/>
          <w:lang w:val="en-GB" w:eastAsia="en-GB"/>
        </w:rPr>
        <w:t xml:space="preserve">and </w:t>
      </w:r>
      <w:r w:rsidR="002003C0" w:rsidRPr="002003C0">
        <w:rPr>
          <w:rFonts w:eastAsia="Times New Roman" w:cstheme="minorHAnsi"/>
          <w:sz w:val="20"/>
          <w:szCs w:val="20"/>
          <w:highlight w:val="green"/>
          <w:lang w:val="en-GB" w:eastAsia="en-GB"/>
        </w:rPr>
        <w:t>Y3A</w:t>
      </w:r>
      <w:r w:rsidR="002003C0" w:rsidRPr="002003C0">
        <w:rPr>
          <w:rFonts w:eastAsia="Times New Roman" w:cstheme="minorHAnsi"/>
          <w:sz w:val="20"/>
          <w:szCs w:val="20"/>
          <w:lang w:val="en-GB" w:eastAsia="en-GB"/>
        </w:rPr>
        <w:t xml:space="preserve">, is the </w:t>
      </w:r>
      <w:r w:rsidR="002003C0" w:rsidRPr="002003C0">
        <w:rPr>
          <w:rFonts w:eastAsia="Times New Roman" w:cstheme="minorHAnsi"/>
          <w:sz w:val="20"/>
          <w:szCs w:val="20"/>
          <w:highlight w:val="green"/>
          <w:lang w:val="en-GB" w:eastAsia="en-GB"/>
        </w:rPr>
        <w:t xml:space="preserve">S14A </w:t>
      </w:r>
      <w:r w:rsidR="002003C0" w:rsidRPr="002003C0">
        <w:rPr>
          <w:rFonts w:eastAsia="Times New Roman" w:cstheme="minorHAnsi"/>
          <w:sz w:val="20"/>
          <w:szCs w:val="20"/>
          <w:lang w:val="en-GB" w:eastAsia="en-GB"/>
        </w:rPr>
        <w:t xml:space="preserve">mutation. The basis for this is now established. In all cases, Hγ of the serine hydroxyl forms an H-bond to O=C-Gly11. In the crystal structure23 of a cyclic Trp-cage that lacks the R16/D9 salt bridge due to the pH employed for crystallization, the S14Hγ/O=C-Gly11 interaction is clearly present and the Ser-Oγ accepts an H-bond from R16HN (the amide NH). In analogues with an R16/D9 salt-bridge, the Arg side chain wrapping around the indole ring places R16Hε, a side chain NH, in position for H-bonding to Ser-Oγ either directly or via a tightly associated water molecule.23,27a These H-bonding interactions are required to allow the burial of the polar S14 side chain in the hydrophobic core, and they contribute a net stabilization of the cage fold. As a result, even though the introduction of an additional alanine in the 310 helix might be expected to provide some net stabilization to this secondary structure element, an </w:t>
      </w:r>
      <w:r w:rsidR="002003C0" w:rsidRPr="002003C0">
        <w:rPr>
          <w:rFonts w:eastAsia="Times New Roman" w:cstheme="minorHAnsi"/>
          <w:sz w:val="20"/>
          <w:szCs w:val="20"/>
          <w:highlight w:val="green"/>
          <w:lang w:val="en-GB" w:eastAsia="en-GB"/>
        </w:rPr>
        <w:t>S14A</w:t>
      </w:r>
      <w:r w:rsidR="002003C0" w:rsidRPr="002003C0">
        <w:rPr>
          <w:rFonts w:eastAsia="Times New Roman" w:cstheme="minorHAnsi"/>
          <w:sz w:val="20"/>
          <w:szCs w:val="20"/>
          <w:lang w:val="en-GB" w:eastAsia="en-GB"/>
        </w:rPr>
        <w:t xml:space="preserve"> mutation is </w:t>
      </w:r>
      <w:r w:rsidR="002003C0" w:rsidRPr="002003C0">
        <w:rPr>
          <w:rFonts w:eastAsia="Times New Roman" w:cstheme="minorHAnsi"/>
          <w:sz w:val="20"/>
          <w:szCs w:val="20"/>
          <w:highlight w:val="magenta"/>
          <w:lang w:val="en-GB" w:eastAsia="en-GB"/>
        </w:rPr>
        <w:t>fold-destabilizing (ΔΔGU = −5.5 ± 0.4 kJ/mol)</w:t>
      </w:r>
      <w:r w:rsidR="002003C0" w:rsidRPr="002003C0">
        <w:rPr>
          <w:rFonts w:eastAsia="Times New Roman" w:cstheme="minorHAnsi"/>
          <w:sz w:val="20"/>
          <w:szCs w:val="20"/>
          <w:lang w:val="en-GB" w:eastAsia="en-GB"/>
        </w:rPr>
        <w:t>.</w:t>
      </w:r>
    </w:p>
    <w:p w14:paraId="5826678F" w14:textId="77777777" w:rsidR="002003C0" w:rsidRPr="002003C0" w:rsidRDefault="002003C0" w:rsidP="001A4F05">
      <w:pPr>
        <w:spacing w:after="0" w:line="330" w:lineRule="atLeast"/>
        <w:ind w:left="360" w:right="360"/>
        <w:rPr>
          <w:rFonts w:eastAsia="Times New Roman" w:cstheme="minorHAnsi"/>
          <w:sz w:val="20"/>
          <w:szCs w:val="20"/>
          <w:lang w:val="en-GB" w:eastAsia="en-GB"/>
        </w:rPr>
      </w:pPr>
    </w:p>
    <w:p w14:paraId="545FBA21" w14:textId="77777777" w:rsidR="001A4F05" w:rsidRPr="001A4F05" w:rsidRDefault="001A4F05" w:rsidP="001A4F05">
      <w:pPr>
        <w:spacing w:after="0" w:line="330" w:lineRule="atLeast"/>
        <w:ind w:left="360" w:right="360"/>
        <w:rPr>
          <w:rFonts w:eastAsia="Times New Roman" w:cstheme="minorHAnsi"/>
          <w:sz w:val="20"/>
          <w:szCs w:val="20"/>
          <w:lang w:val="en-GB" w:eastAsia="en-GB"/>
        </w:rPr>
      </w:pPr>
      <w:commentRangeStart w:id="0"/>
      <w:r w:rsidRPr="002003C0">
        <w:rPr>
          <w:rFonts w:eastAsia="Times New Roman" w:cstheme="minorHAnsi"/>
          <w:sz w:val="20"/>
          <w:szCs w:val="20"/>
          <w:lang w:val="en-GB" w:eastAsia="en-GB"/>
        </w:rPr>
        <w:lastRenderedPageBreak/>
        <w:t>Table</w:t>
      </w:r>
      <w:commentRangeEnd w:id="0"/>
      <w:r w:rsidR="00B83179">
        <w:rPr>
          <w:rStyle w:val="CommentReference"/>
        </w:rPr>
        <w:commentReference w:id="0"/>
      </w:r>
      <w:r w:rsidRPr="002003C0">
        <w:rPr>
          <w:rFonts w:eastAsia="Times New Roman" w:cstheme="minorHAnsi"/>
          <w:sz w:val="20"/>
          <w:szCs w:val="20"/>
          <w:lang w:val="en-GB" w:eastAsia="en-GB"/>
        </w:rPr>
        <w:t xml:space="preserve"> 1</w:t>
      </w:r>
      <w:r w:rsidRPr="001A4F05">
        <w:rPr>
          <w:rFonts w:eastAsia="Times New Roman" w:cstheme="minorHAnsi"/>
          <w:sz w:val="20"/>
          <w:szCs w:val="20"/>
          <w:lang w:val="en-GB" w:eastAsia="en-GB"/>
        </w:rPr>
        <w:t xml:space="preserve">. Thermodynamic parameters for wild-type and mutants of </w:t>
      </w:r>
      <w:r w:rsidRPr="001A4F05">
        <w:rPr>
          <w:rFonts w:eastAsia="Times New Roman" w:cstheme="minorHAnsi"/>
          <w:sz w:val="20"/>
          <w:szCs w:val="20"/>
          <w:highlight w:val="yellow"/>
          <w:lang w:val="en-GB" w:eastAsia="en-GB"/>
        </w:rPr>
        <w:t>mnemiopsin</w:t>
      </w:r>
      <w:r w:rsidRPr="001A4F05">
        <w:rPr>
          <w:rFonts w:eastAsia="Times New Roman" w:cstheme="minorHAnsi"/>
          <w:sz w:val="20"/>
          <w:szCs w:val="20"/>
          <w:lang w:val="en-GB" w:eastAsia="en-GB"/>
        </w:rPr>
        <w:t xml:space="preserve"> obtained by analysis of equilibrium denaturation curves of </w:t>
      </w:r>
      <w:bookmarkStart w:id="1" w:name="bf0010"/>
      <w:r w:rsidRPr="001A4F05">
        <w:rPr>
          <w:rFonts w:eastAsia="Times New Roman" w:cstheme="minorHAnsi"/>
          <w:sz w:val="20"/>
          <w:szCs w:val="20"/>
          <w:lang w:val="en-GB" w:eastAsia="en-GB"/>
        </w:rPr>
        <w:fldChar w:fldCharType="begin"/>
      </w:r>
      <w:r w:rsidRPr="001A4F05">
        <w:rPr>
          <w:rFonts w:eastAsia="Times New Roman" w:cstheme="minorHAnsi"/>
          <w:sz w:val="20"/>
          <w:szCs w:val="20"/>
          <w:lang w:val="en-GB" w:eastAsia="en-GB"/>
        </w:rPr>
        <w:instrText xml:space="preserve"> HYPERLINK "https://www.sciencedirect.com/science/article/pii/S1386142516300208?via%3Dihub" \l "f0010" </w:instrText>
      </w:r>
      <w:r w:rsidRPr="001A4F05">
        <w:rPr>
          <w:rFonts w:eastAsia="Times New Roman" w:cstheme="minorHAnsi"/>
          <w:sz w:val="20"/>
          <w:szCs w:val="20"/>
          <w:lang w:val="en-GB" w:eastAsia="en-GB"/>
        </w:rPr>
        <w:fldChar w:fldCharType="separate"/>
      </w:r>
      <w:r w:rsidRPr="002003C0">
        <w:rPr>
          <w:rFonts w:eastAsia="Times New Roman" w:cstheme="minorHAnsi"/>
          <w:sz w:val="20"/>
          <w:szCs w:val="20"/>
          <w:u w:val="single"/>
          <w:lang w:val="en-GB" w:eastAsia="en-GB"/>
        </w:rPr>
        <w:t>Fig. 2</w:t>
      </w:r>
      <w:r w:rsidRPr="001A4F05">
        <w:rPr>
          <w:rFonts w:eastAsia="Times New Roman" w:cstheme="minorHAnsi"/>
          <w:sz w:val="20"/>
          <w:szCs w:val="20"/>
          <w:lang w:val="en-GB" w:eastAsia="en-GB"/>
        </w:rPr>
        <w:fldChar w:fldCharType="end"/>
      </w:r>
      <w:bookmarkEnd w:id="1"/>
      <w:r w:rsidRPr="001A4F05">
        <w:rPr>
          <w:rFonts w:eastAsia="Times New Roman" w:cstheme="minorHAnsi"/>
          <w:sz w:val="20"/>
          <w:szCs w:val="20"/>
          <w:lang w:val="en-GB" w:eastAsia="en-GB"/>
        </w:rPr>
        <w:t>; a and b, using Eq. </w:t>
      </w:r>
      <w:bookmarkStart w:id="2" w:name="bfo0005"/>
      <w:r w:rsidRPr="001A4F05">
        <w:rPr>
          <w:rFonts w:eastAsia="Times New Roman" w:cstheme="minorHAnsi"/>
          <w:sz w:val="20"/>
          <w:szCs w:val="20"/>
          <w:lang w:val="en-GB" w:eastAsia="en-GB"/>
        </w:rPr>
        <w:fldChar w:fldCharType="begin"/>
      </w:r>
      <w:r w:rsidRPr="001A4F05">
        <w:rPr>
          <w:rFonts w:eastAsia="Times New Roman" w:cstheme="minorHAnsi"/>
          <w:sz w:val="20"/>
          <w:szCs w:val="20"/>
          <w:lang w:val="en-GB" w:eastAsia="en-GB"/>
        </w:rPr>
        <w:instrText xml:space="preserve"> HYPERLINK "https://www.sciencedirect.com/science/article/pii/S1386142516300208?via%3Dihub" \l "fo0005" </w:instrText>
      </w:r>
      <w:r w:rsidRPr="001A4F05">
        <w:rPr>
          <w:rFonts w:eastAsia="Times New Roman" w:cstheme="minorHAnsi"/>
          <w:sz w:val="20"/>
          <w:szCs w:val="20"/>
          <w:lang w:val="en-GB" w:eastAsia="en-GB"/>
        </w:rPr>
        <w:fldChar w:fldCharType="separate"/>
      </w:r>
      <w:r w:rsidRPr="002003C0">
        <w:rPr>
          <w:rFonts w:eastAsia="Times New Roman" w:cstheme="minorHAnsi"/>
          <w:sz w:val="20"/>
          <w:szCs w:val="20"/>
          <w:u w:val="single"/>
          <w:lang w:val="en-GB" w:eastAsia="en-GB"/>
        </w:rPr>
        <w:t>(1)</w:t>
      </w:r>
      <w:r w:rsidRPr="001A4F05">
        <w:rPr>
          <w:rFonts w:eastAsia="Times New Roman" w:cstheme="minorHAnsi"/>
          <w:sz w:val="20"/>
          <w:szCs w:val="20"/>
          <w:lang w:val="en-GB" w:eastAsia="en-GB"/>
        </w:rPr>
        <w:fldChar w:fldCharType="end"/>
      </w:r>
      <w:bookmarkEnd w:id="2"/>
      <w:r w:rsidRPr="001A4F05">
        <w:rPr>
          <w:rFonts w:eastAsia="Times New Roman" w:cstheme="minorHAnsi"/>
          <w:sz w:val="20"/>
          <w:szCs w:val="20"/>
          <w:lang w:val="en-GB" w:eastAsia="en-GB"/>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42"/>
        <w:gridCol w:w="1592"/>
        <w:gridCol w:w="1591"/>
        <w:gridCol w:w="1730"/>
        <w:gridCol w:w="1323"/>
        <w:gridCol w:w="1323"/>
        <w:gridCol w:w="1439"/>
      </w:tblGrid>
      <w:tr w:rsidR="002003C0" w:rsidRPr="002003C0" w14:paraId="3B39DDA5" w14:textId="77777777" w:rsidTr="001A4F05">
        <w:trPr>
          <w:tblHeader/>
        </w:trPr>
        <w:tc>
          <w:tcPr>
            <w:tcW w:w="0" w:type="auto"/>
            <w:vMerge w:val="restart"/>
            <w:tcBorders>
              <w:bottom w:val="single" w:sz="6" w:space="0" w:color="EBEBEB"/>
              <w:right w:val="nil"/>
            </w:tcBorders>
            <w:tcMar>
              <w:top w:w="75" w:type="dxa"/>
              <w:left w:w="75" w:type="dxa"/>
              <w:bottom w:w="75" w:type="dxa"/>
              <w:right w:w="75" w:type="dxa"/>
            </w:tcMar>
            <w:hideMark/>
          </w:tcPr>
          <w:p w14:paraId="77747461" w14:textId="77777777" w:rsidR="001A4F05" w:rsidRPr="001A4F05" w:rsidRDefault="001A4F05" w:rsidP="001A4F05">
            <w:pPr>
              <w:spacing w:after="0" w:line="240" w:lineRule="auto"/>
              <w:rPr>
                <w:rFonts w:eastAsia="Times New Roman" w:cstheme="minorHAnsi"/>
                <w:bCs/>
                <w:sz w:val="20"/>
                <w:szCs w:val="20"/>
                <w:lang w:val="en-GB" w:eastAsia="en-GB"/>
              </w:rPr>
            </w:pPr>
            <w:bookmarkStart w:id="3" w:name="btf0010" w:colFirst="1" w:colLast="4"/>
            <w:bookmarkStart w:id="4" w:name="btf0005" w:colFirst="1" w:colLast="6"/>
            <w:r w:rsidRPr="001A4F05">
              <w:rPr>
                <w:rFonts w:eastAsia="Times New Roman" w:cstheme="minorHAnsi"/>
                <w:bCs/>
                <w:sz w:val="20"/>
                <w:szCs w:val="20"/>
                <w:lang w:val="en-GB" w:eastAsia="en-GB"/>
              </w:rPr>
              <w:t>Variants</w:t>
            </w:r>
          </w:p>
        </w:tc>
        <w:tc>
          <w:tcPr>
            <w:tcW w:w="0" w:type="auto"/>
            <w:gridSpan w:val="3"/>
            <w:tcBorders>
              <w:bottom w:val="single" w:sz="6" w:space="0" w:color="EBEBEB"/>
              <w:right w:val="nil"/>
            </w:tcBorders>
            <w:tcMar>
              <w:top w:w="75" w:type="dxa"/>
              <w:left w:w="75" w:type="dxa"/>
              <w:bottom w:w="75" w:type="dxa"/>
              <w:right w:w="75" w:type="dxa"/>
            </w:tcMar>
            <w:hideMark/>
          </w:tcPr>
          <w:p w14:paraId="49A198C3" w14:textId="77777777" w:rsidR="001A4F05" w:rsidRPr="001A4F05" w:rsidRDefault="001A4F05" w:rsidP="001A4F05">
            <w:pPr>
              <w:spacing w:after="0" w:line="240" w:lineRule="auto"/>
              <w:rPr>
                <w:rFonts w:eastAsia="Times New Roman" w:cstheme="minorHAnsi"/>
                <w:bCs/>
                <w:sz w:val="20"/>
                <w:szCs w:val="20"/>
                <w:lang w:val="en-GB" w:eastAsia="en-GB"/>
              </w:rPr>
            </w:pPr>
            <w:r w:rsidRPr="001A4F05">
              <w:rPr>
                <w:rFonts w:eastAsia="Times New Roman" w:cstheme="minorHAnsi"/>
                <w:bCs/>
                <w:sz w:val="20"/>
                <w:szCs w:val="20"/>
                <w:lang w:val="en-GB" w:eastAsia="en-GB"/>
              </w:rPr>
              <w:t xml:space="preserve">Equilibrium parameters of </w:t>
            </w:r>
            <w:r w:rsidRPr="001A4F05">
              <w:rPr>
                <w:rFonts w:eastAsia="Times New Roman" w:cstheme="minorHAnsi"/>
                <w:bCs/>
                <w:sz w:val="20"/>
                <w:szCs w:val="20"/>
                <w:highlight w:val="cyan"/>
                <w:lang w:val="en-GB" w:eastAsia="en-GB"/>
              </w:rPr>
              <w:t>fluorescence measurements</w:t>
            </w:r>
            <w:hyperlink r:id="rId8" w:anchor="tf0005" w:history="1">
              <w:r w:rsidRPr="002003C0">
                <w:rPr>
                  <w:rFonts w:eastAsia="Times New Roman" w:cstheme="minorHAnsi"/>
                  <w:bCs/>
                  <w:sz w:val="20"/>
                  <w:szCs w:val="20"/>
                  <w:u w:val="single"/>
                  <w:vertAlign w:val="superscript"/>
                  <w:lang w:val="en-GB" w:eastAsia="en-GB"/>
                </w:rPr>
                <w:t>a</w:t>
              </w:r>
            </w:hyperlink>
            <w:r w:rsidRPr="001A4F05">
              <w:rPr>
                <w:rFonts w:eastAsia="Times New Roman" w:cstheme="minorHAnsi"/>
                <w:bCs/>
                <w:sz w:val="20"/>
                <w:szCs w:val="20"/>
                <w:vertAlign w:val="superscript"/>
                <w:lang w:val="en-GB" w:eastAsia="en-GB"/>
              </w:rPr>
              <w:t>,</w:t>
            </w:r>
            <w:hyperlink r:id="rId9" w:anchor="tf0010" w:history="1">
              <w:r w:rsidRPr="002003C0">
                <w:rPr>
                  <w:rFonts w:eastAsia="Times New Roman" w:cstheme="minorHAnsi"/>
                  <w:bCs/>
                  <w:sz w:val="20"/>
                  <w:szCs w:val="20"/>
                  <w:u w:val="single"/>
                  <w:vertAlign w:val="superscript"/>
                  <w:lang w:val="en-GB" w:eastAsia="en-GB"/>
                </w:rPr>
                <w:t>b</w:t>
              </w:r>
            </w:hyperlink>
          </w:p>
        </w:tc>
        <w:tc>
          <w:tcPr>
            <w:tcW w:w="0" w:type="auto"/>
            <w:gridSpan w:val="3"/>
            <w:tcBorders>
              <w:bottom w:val="single" w:sz="6" w:space="0" w:color="EBEBEB"/>
              <w:right w:val="nil"/>
            </w:tcBorders>
            <w:tcMar>
              <w:top w:w="75" w:type="dxa"/>
              <w:left w:w="75" w:type="dxa"/>
              <w:bottom w:w="75" w:type="dxa"/>
              <w:right w:w="75" w:type="dxa"/>
            </w:tcMar>
            <w:hideMark/>
          </w:tcPr>
          <w:p w14:paraId="576E3D7E" w14:textId="77777777" w:rsidR="001A4F05" w:rsidRPr="001A4F05" w:rsidRDefault="001A4F05" w:rsidP="001A4F05">
            <w:pPr>
              <w:spacing w:after="0" w:line="240" w:lineRule="auto"/>
              <w:rPr>
                <w:rFonts w:eastAsia="Times New Roman" w:cstheme="minorHAnsi"/>
                <w:bCs/>
                <w:sz w:val="20"/>
                <w:szCs w:val="20"/>
                <w:lang w:val="en-GB" w:eastAsia="en-GB"/>
              </w:rPr>
            </w:pPr>
            <w:r w:rsidRPr="001A4F05">
              <w:rPr>
                <w:rFonts w:eastAsia="Times New Roman" w:cstheme="minorHAnsi"/>
                <w:bCs/>
                <w:sz w:val="20"/>
                <w:szCs w:val="20"/>
                <w:lang w:val="en-GB" w:eastAsia="en-GB"/>
              </w:rPr>
              <w:t xml:space="preserve">Equilibrium parameters of </w:t>
            </w:r>
            <w:r w:rsidRPr="001A4F05">
              <w:rPr>
                <w:rFonts w:eastAsia="Times New Roman" w:cstheme="minorHAnsi"/>
                <w:bCs/>
                <w:sz w:val="20"/>
                <w:szCs w:val="20"/>
                <w:highlight w:val="cyan"/>
                <w:lang w:val="en-GB" w:eastAsia="en-GB"/>
              </w:rPr>
              <w:t>CD measurements</w:t>
            </w:r>
            <w:hyperlink r:id="rId10" w:anchor="tf0005" w:history="1">
              <w:r w:rsidRPr="002003C0">
                <w:rPr>
                  <w:rFonts w:eastAsia="Times New Roman" w:cstheme="minorHAnsi"/>
                  <w:bCs/>
                  <w:sz w:val="20"/>
                  <w:szCs w:val="20"/>
                  <w:u w:val="single"/>
                  <w:vertAlign w:val="superscript"/>
                  <w:lang w:val="en-GB" w:eastAsia="en-GB"/>
                </w:rPr>
                <w:t>a</w:t>
              </w:r>
            </w:hyperlink>
            <w:r w:rsidRPr="001A4F05">
              <w:rPr>
                <w:rFonts w:eastAsia="Times New Roman" w:cstheme="minorHAnsi"/>
                <w:bCs/>
                <w:sz w:val="20"/>
                <w:szCs w:val="20"/>
                <w:vertAlign w:val="superscript"/>
                <w:lang w:val="en-GB" w:eastAsia="en-GB"/>
              </w:rPr>
              <w:t>,</w:t>
            </w:r>
            <w:hyperlink r:id="rId11" w:anchor="tf0010" w:history="1">
              <w:r w:rsidRPr="002003C0">
                <w:rPr>
                  <w:rFonts w:eastAsia="Times New Roman" w:cstheme="minorHAnsi"/>
                  <w:bCs/>
                  <w:sz w:val="20"/>
                  <w:szCs w:val="20"/>
                  <w:u w:val="single"/>
                  <w:vertAlign w:val="superscript"/>
                  <w:lang w:val="en-GB" w:eastAsia="en-GB"/>
                </w:rPr>
                <w:t>b</w:t>
              </w:r>
            </w:hyperlink>
          </w:p>
        </w:tc>
      </w:tr>
      <w:bookmarkEnd w:id="3"/>
      <w:tr w:rsidR="002003C0" w:rsidRPr="002003C0" w14:paraId="1873F1DC" w14:textId="77777777" w:rsidTr="001A4F05">
        <w:trPr>
          <w:tblHeader/>
        </w:trPr>
        <w:tc>
          <w:tcPr>
            <w:tcW w:w="0" w:type="auto"/>
            <w:vMerge/>
            <w:tcBorders>
              <w:bottom w:val="single" w:sz="6" w:space="0" w:color="EBEBEB"/>
              <w:right w:val="nil"/>
            </w:tcBorders>
            <w:hideMark/>
          </w:tcPr>
          <w:p w14:paraId="35F8D8BC" w14:textId="77777777" w:rsidR="001A4F05" w:rsidRPr="001A4F05" w:rsidRDefault="001A4F05" w:rsidP="001A4F05">
            <w:pPr>
              <w:spacing w:after="0" w:line="240" w:lineRule="auto"/>
              <w:rPr>
                <w:rFonts w:eastAsia="Times New Roman" w:cstheme="minorHAnsi"/>
                <w:bCs/>
                <w:sz w:val="20"/>
                <w:szCs w:val="20"/>
                <w:lang w:val="en-GB" w:eastAsia="en-GB"/>
              </w:rPr>
            </w:pPr>
          </w:p>
        </w:tc>
        <w:tc>
          <w:tcPr>
            <w:tcW w:w="0" w:type="auto"/>
            <w:tcBorders>
              <w:bottom w:val="single" w:sz="6" w:space="0" w:color="EBEBEB"/>
              <w:right w:val="nil"/>
            </w:tcBorders>
            <w:tcMar>
              <w:top w:w="75" w:type="dxa"/>
              <w:left w:w="75" w:type="dxa"/>
              <w:bottom w:w="75" w:type="dxa"/>
              <w:right w:w="75" w:type="dxa"/>
            </w:tcMar>
            <w:hideMark/>
          </w:tcPr>
          <w:p w14:paraId="269F7D50" w14:textId="77777777" w:rsidR="001A4F05" w:rsidRPr="001A4F05" w:rsidRDefault="001A4F05" w:rsidP="001A4F05">
            <w:pPr>
              <w:spacing w:after="0" w:line="240" w:lineRule="auto"/>
              <w:rPr>
                <w:rFonts w:eastAsia="Times New Roman" w:cstheme="minorHAnsi"/>
                <w:bCs/>
                <w:sz w:val="20"/>
                <w:szCs w:val="20"/>
                <w:lang w:val="en-GB" w:eastAsia="en-GB"/>
              </w:rPr>
            </w:pPr>
            <w:r w:rsidRPr="001A4F05">
              <w:rPr>
                <w:rFonts w:eastAsia="Times New Roman" w:cstheme="minorHAnsi"/>
                <w:bCs/>
                <w:sz w:val="20"/>
                <w:szCs w:val="20"/>
                <w:lang w:val="en-GB" w:eastAsia="en-GB"/>
              </w:rPr>
              <w:t>m-Value</w:t>
            </w:r>
            <w:hyperlink r:id="rId12" w:anchor="tf0005" w:history="1">
              <w:r w:rsidRPr="002003C0">
                <w:rPr>
                  <w:rFonts w:eastAsia="Times New Roman" w:cstheme="minorHAnsi"/>
                  <w:bCs/>
                  <w:sz w:val="20"/>
                  <w:szCs w:val="20"/>
                  <w:u w:val="single"/>
                  <w:vertAlign w:val="superscript"/>
                  <w:lang w:val="en-GB" w:eastAsia="en-GB"/>
                </w:rPr>
                <w:t>a</w:t>
              </w:r>
            </w:hyperlink>
          </w:p>
        </w:tc>
        <w:tc>
          <w:tcPr>
            <w:tcW w:w="0" w:type="auto"/>
            <w:tcBorders>
              <w:bottom w:val="single" w:sz="6" w:space="0" w:color="EBEBEB"/>
              <w:right w:val="nil"/>
            </w:tcBorders>
            <w:tcMar>
              <w:top w:w="75" w:type="dxa"/>
              <w:left w:w="75" w:type="dxa"/>
              <w:bottom w:w="75" w:type="dxa"/>
              <w:right w:w="75" w:type="dxa"/>
            </w:tcMar>
            <w:hideMark/>
          </w:tcPr>
          <w:p w14:paraId="4F9737CF" w14:textId="77777777" w:rsidR="001A4F05" w:rsidRPr="001A4F05" w:rsidRDefault="001A4F05" w:rsidP="001A4F05">
            <w:pPr>
              <w:spacing w:after="0" w:line="240" w:lineRule="auto"/>
              <w:rPr>
                <w:rFonts w:eastAsia="Times New Roman" w:cstheme="minorHAnsi"/>
                <w:bCs/>
                <w:sz w:val="20"/>
                <w:szCs w:val="20"/>
                <w:lang w:val="en-GB" w:eastAsia="en-GB"/>
              </w:rPr>
            </w:pPr>
            <w:r w:rsidRPr="001A4F05">
              <w:rPr>
                <w:rFonts w:eastAsia="Times New Roman" w:cstheme="minorHAnsi"/>
                <w:bCs/>
                <w:sz w:val="20"/>
                <w:szCs w:val="20"/>
                <w:lang w:val="en-GB" w:eastAsia="en-GB"/>
              </w:rPr>
              <w:t>[Urea]</w:t>
            </w:r>
            <w:r w:rsidRPr="001A4F05">
              <w:rPr>
                <w:rFonts w:eastAsia="Times New Roman" w:cstheme="minorHAnsi"/>
                <w:bCs/>
                <w:sz w:val="20"/>
                <w:szCs w:val="20"/>
                <w:vertAlign w:val="subscript"/>
                <w:lang w:val="en-GB" w:eastAsia="en-GB"/>
              </w:rPr>
              <w:t>50%</w:t>
            </w:r>
          </w:p>
        </w:tc>
        <w:tc>
          <w:tcPr>
            <w:tcW w:w="0" w:type="auto"/>
            <w:tcBorders>
              <w:bottom w:val="single" w:sz="6" w:space="0" w:color="EBEBEB"/>
              <w:right w:val="nil"/>
            </w:tcBorders>
            <w:tcMar>
              <w:top w:w="75" w:type="dxa"/>
              <w:left w:w="75" w:type="dxa"/>
              <w:bottom w:w="75" w:type="dxa"/>
              <w:right w:w="75" w:type="dxa"/>
            </w:tcMar>
            <w:hideMark/>
          </w:tcPr>
          <w:p w14:paraId="7744E08E" w14:textId="77777777" w:rsidR="001A4F05" w:rsidRPr="001A4F05" w:rsidRDefault="001A4F05" w:rsidP="001A4F05">
            <w:pPr>
              <w:spacing w:after="0" w:line="240" w:lineRule="auto"/>
              <w:rPr>
                <w:rFonts w:eastAsia="Times New Roman" w:cstheme="minorHAnsi"/>
                <w:bCs/>
                <w:sz w:val="20"/>
                <w:szCs w:val="20"/>
                <w:highlight w:val="magenta"/>
                <w:lang w:val="en-GB" w:eastAsia="en-GB"/>
              </w:rPr>
            </w:pPr>
            <w:r w:rsidRPr="001A4F05">
              <w:rPr>
                <w:rFonts w:eastAsia="Times New Roman" w:cstheme="minorHAnsi"/>
                <w:bCs/>
                <w:sz w:val="20"/>
                <w:szCs w:val="20"/>
                <w:highlight w:val="magenta"/>
                <w:lang w:val="en-GB" w:eastAsia="en-GB"/>
              </w:rPr>
              <w:t>ΔG(H</w:t>
            </w:r>
            <w:r w:rsidRPr="001A4F05">
              <w:rPr>
                <w:rFonts w:eastAsia="Times New Roman" w:cstheme="minorHAnsi"/>
                <w:bCs/>
                <w:sz w:val="20"/>
                <w:szCs w:val="20"/>
                <w:highlight w:val="magenta"/>
                <w:vertAlign w:val="subscript"/>
                <w:lang w:val="en-GB" w:eastAsia="en-GB"/>
              </w:rPr>
              <w:t>2</w:t>
            </w:r>
            <w:r w:rsidRPr="001A4F05">
              <w:rPr>
                <w:rFonts w:eastAsia="Times New Roman" w:cstheme="minorHAnsi"/>
                <w:bCs/>
                <w:sz w:val="20"/>
                <w:szCs w:val="20"/>
                <w:highlight w:val="magenta"/>
                <w:lang w:val="en-GB" w:eastAsia="en-GB"/>
              </w:rPr>
              <w:t>O)</w:t>
            </w:r>
            <w:hyperlink r:id="rId13" w:anchor="tf0005" w:history="1">
              <w:r w:rsidRPr="002003C0">
                <w:rPr>
                  <w:rFonts w:eastAsia="Times New Roman" w:cstheme="minorHAnsi"/>
                  <w:bCs/>
                  <w:sz w:val="20"/>
                  <w:szCs w:val="20"/>
                  <w:highlight w:val="magenta"/>
                  <w:u w:val="single"/>
                  <w:vertAlign w:val="superscript"/>
                  <w:lang w:val="en-GB" w:eastAsia="en-GB"/>
                </w:rPr>
                <w:t>a</w:t>
              </w:r>
            </w:hyperlink>
          </w:p>
        </w:tc>
        <w:tc>
          <w:tcPr>
            <w:tcW w:w="0" w:type="auto"/>
            <w:tcBorders>
              <w:bottom w:val="single" w:sz="6" w:space="0" w:color="EBEBEB"/>
              <w:right w:val="nil"/>
            </w:tcBorders>
            <w:tcMar>
              <w:top w:w="75" w:type="dxa"/>
              <w:left w:w="75" w:type="dxa"/>
              <w:bottom w:w="75" w:type="dxa"/>
              <w:right w:w="75" w:type="dxa"/>
            </w:tcMar>
            <w:hideMark/>
          </w:tcPr>
          <w:p w14:paraId="2867980E" w14:textId="77777777" w:rsidR="001A4F05" w:rsidRPr="001A4F05" w:rsidRDefault="001A4F05" w:rsidP="001A4F05">
            <w:pPr>
              <w:spacing w:after="0" w:line="240" w:lineRule="auto"/>
              <w:rPr>
                <w:rFonts w:eastAsia="Times New Roman" w:cstheme="minorHAnsi"/>
                <w:bCs/>
                <w:sz w:val="20"/>
                <w:szCs w:val="20"/>
                <w:lang w:val="en-GB" w:eastAsia="en-GB"/>
              </w:rPr>
            </w:pPr>
            <w:r w:rsidRPr="001A4F05">
              <w:rPr>
                <w:rFonts w:eastAsia="Times New Roman" w:cstheme="minorHAnsi"/>
                <w:bCs/>
                <w:sz w:val="20"/>
                <w:szCs w:val="20"/>
                <w:lang w:val="en-GB" w:eastAsia="en-GB"/>
              </w:rPr>
              <w:t>m-Value</w:t>
            </w:r>
            <w:hyperlink r:id="rId14" w:anchor="tf0005" w:history="1">
              <w:r w:rsidRPr="002003C0">
                <w:rPr>
                  <w:rFonts w:eastAsia="Times New Roman" w:cstheme="minorHAnsi"/>
                  <w:bCs/>
                  <w:sz w:val="20"/>
                  <w:szCs w:val="20"/>
                  <w:u w:val="single"/>
                  <w:vertAlign w:val="superscript"/>
                  <w:lang w:val="en-GB" w:eastAsia="en-GB"/>
                </w:rPr>
                <w:t>a</w:t>
              </w:r>
            </w:hyperlink>
          </w:p>
        </w:tc>
        <w:tc>
          <w:tcPr>
            <w:tcW w:w="0" w:type="auto"/>
            <w:tcBorders>
              <w:bottom w:val="single" w:sz="6" w:space="0" w:color="EBEBEB"/>
              <w:right w:val="nil"/>
            </w:tcBorders>
            <w:tcMar>
              <w:top w:w="75" w:type="dxa"/>
              <w:left w:w="75" w:type="dxa"/>
              <w:bottom w:w="75" w:type="dxa"/>
              <w:right w:w="75" w:type="dxa"/>
            </w:tcMar>
            <w:hideMark/>
          </w:tcPr>
          <w:p w14:paraId="29411D4A" w14:textId="77777777" w:rsidR="001A4F05" w:rsidRPr="001A4F05" w:rsidRDefault="001A4F05" w:rsidP="001A4F05">
            <w:pPr>
              <w:spacing w:after="0" w:line="240" w:lineRule="auto"/>
              <w:rPr>
                <w:rFonts w:eastAsia="Times New Roman" w:cstheme="minorHAnsi"/>
                <w:bCs/>
                <w:sz w:val="20"/>
                <w:szCs w:val="20"/>
                <w:lang w:val="en-GB" w:eastAsia="en-GB"/>
              </w:rPr>
            </w:pPr>
            <w:r w:rsidRPr="001A4F05">
              <w:rPr>
                <w:rFonts w:eastAsia="Times New Roman" w:cstheme="minorHAnsi"/>
                <w:bCs/>
                <w:sz w:val="20"/>
                <w:szCs w:val="20"/>
                <w:lang w:val="en-GB" w:eastAsia="en-GB"/>
              </w:rPr>
              <w:t>[Urea]</w:t>
            </w:r>
            <w:r w:rsidRPr="001A4F05">
              <w:rPr>
                <w:rFonts w:eastAsia="Times New Roman" w:cstheme="minorHAnsi"/>
                <w:bCs/>
                <w:sz w:val="20"/>
                <w:szCs w:val="20"/>
                <w:vertAlign w:val="subscript"/>
                <w:lang w:val="en-GB" w:eastAsia="en-GB"/>
              </w:rPr>
              <w:t>50%</w:t>
            </w:r>
          </w:p>
        </w:tc>
        <w:tc>
          <w:tcPr>
            <w:tcW w:w="0" w:type="auto"/>
            <w:tcBorders>
              <w:bottom w:val="single" w:sz="6" w:space="0" w:color="EBEBEB"/>
              <w:right w:val="nil"/>
            </w:tcBorders>
            <w:tcMar>
              <w:top w:w="75" w:type="dxa"/>
              <w:left w:w="75" w:type="dxa"/>
              <w:bottom w:w="75" w:type="dxa"/>
              <w:right w:w="75" w:type="dxa"/>
            </w:tcMar>
            <w:hideMark/>
          </w:tcPr>
          <w:p w14:paraId="420D6F4F" w14:textId="77777777" w:rsidR="001A4F05" w:rsidRPr="001A4F05" w:rsidRDefault="001A4F05" w:rsidP="001A4F05">
            <w:pPr>
              <w:spacing w:after="0" w:line="240" w:lineRule="auto"/>
              <w:rPr>
                <w:rFonts w:eastAsia="Times New Roman" w:cstheme="minorHAnsi"/>
                <w:bCs/>
                <w:sz w:val="20"/>
                <w:szCs w:val="20"/>
                <w:highlight w:val="magenta"/>
                <w:lang w:val="en-GB" w:eastAsia="en-GB"/>
              </w:rPr>
            </w:pPr>
            <w:r w:rsidRPr="001A4F05">
              <w:rPr>
                <w:rFonts w:eastAsia="Times New Roman" w:cstheme="minorHAnsi"/>
                <w:bCs/>
                <w:sz w:val="20"/>
                <w:szCs w:val="20"/>
                <w:highlight w:val="magenta"/>
                <w:lang w:val="en-GB" w:eastAsia="en-GB"/>
              </w:rPr>
              <w:t>ΔG(H</w:t>
            </w:r>
            <w:r w:rsidRPr="001A4F05">
              <w:rPr>
                <w:rFonts w:eastAsia="Times New Roman" w:cstheme="minorHAnsi"/>
                <w:bCs/>
                <w:sz w:val="20"/>
                <w:szCs w:val="20"/>
                <w:highlight w:val="magenta"/>
                <w:vertAlign w:val="subscript"/>
                <w:lang w:val="en-GB" w:eastAsia="en-GB"/>
              </w:rPr>
              <w:t>2</w:t>
            </w:r>
            <w:r w:rsidRPr="001A4F05">
              <w:rPr>
                <w:rFonts w:eastAsia="Times New Roman" w:cstheme="minorHAnsi"/>
                <w:bCs/>
                <w:sz w:val="20"/>
                <w:szCs w:val="20"/>
                <w:highlight w:val="magenta"/>
                <w:lang w:val="en-GB" w:eastAsia="en-GB"/>
              </w:rPr>
              <w:t>O)</w:t>
            </w:r>
            <w:hyperlink r:id="rId15" w:anchor="tf0005" w:history="1">
              <w:r w:rsidRPr="002003C0">
                <w:rPr>
                  <w:rFonts w:eastAsia="Times New Roman" w:cstheme="minorHAnsi"/>
                  <w:bCs/>
                  <w:sz w:val="20"/>
                  <w:szCs w:val="20"/>
                  <w:highlight w:val="magenta"/>
                  <w:u w:val="single"/>
                  <w:vertAlign w:val="superscript"/>
                  <w:lang w:val="en-GB" w:eastAsia="en-GB"/>
                </w:rPr>
                <w:t>a</w:t>
              </w:r>
            </w:hyperlink>
          </w:p>
        </w:tc>
      </w:tr>
      <w:bookmarkEnd w:id="4"/>
      <w:tr w:rsidR="002003C0" w:rsidRPr="002003C0" w14:paraId="2D5395ED" w14:textId="77777777" w:rsidTr="001A4F05">
        <w:tc>
          <w:tcPr>
            <w:tcW w:w="0" w:type="auto"/>
            <w:tcBorders>
              <w:bottom w:val="nil"/>
              <w:right w:val="nil"/>
            </w:tcBorders>
            <w:tcMar>
              <w:top w:w="75" w:type="dxa"/>
              <w:left w:w="75" w:type="dxa"/>
              <w:bottom w:w="75" w:type="dxa"/>
              <w:right w:w="75" w:type="dxa"/>
            </w:tcMar>
            <w:hideMark/>
          </w:tcPr>
          <w:p w14:paraId="33123554" w14:textId="77777777" w:rsidR="001A4F05" w:rsidRPr="001A4F05" w:rsidRDefault="001A4F05" w:rsidP="001A4F05">
            <w:pPr>
              <w:spacing w:after="0" w:line="240" w:lineRule="auto"/>
              <w:rPr>
                <w:rFonts w:eastAsia="Times New Roman" w:cstheme="minorHAnsi"/>
                <w:bCs/>
                <w:sz w:val="20"/>
                <w:szCs w:val="20"/>
                <w:lang w:val="en-GB" w:eastAsia="en-GB"/>
              </w:rPr>
            </w:pPr>
            <w:r w:rsidRPr="001A4F05">
              <w:rPr>
                <w:rFonts w:eastAsia="Times New Roman" w:cstheme="minorHAnsi"/>
                <w:bCs/>
                <w:sz w:val="20"/>
                <w:szCs w:val="20"/>
                <w:lang w:val="en-GB" w:eastAsia="en-GB"/>
              </w:rPr>
              <w:t>WT</w:t>
            </w:r>
          </w:p>
        </w:tc>
        <w:tc>
          <w:tcPr>
            <w:tcW w:w="0" w:type="auto"/>
            <w:tcBorders>
              <w:bottom w:val="nil"/>
              <w:right w:val="nil"/>
            </w:tcBorders>
            <w:tcMar>
              <w:top w:w="75" w:type="dxa"/>
              <w:left w:w="75" w:type="dxa"/>
              <w:bottom w:w="75" w:type="dxa"/>
              <w:right w:w="75" w:type="dxa"/>
            </w:tcMar>
            <w:hideMark/>
          </w:tcPr>
          <w:p w14:paraId="5C949807"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4.14 ± 0.005</w:t>
            </w:r>
          </w:p>
        </w:tc>
        <w:tc>
          <w:tcPr>
            <w:tcW w:w="0" w:type="auto"/>
            <w:tcBorders>
              <w:bottom w:val="nil"/>
              <w:right w:val="nil"/>
            </w:tcBorders>
            <w:tcMar>
              <w:top w:w="75" w:type="dxa"/>
              <w:left w:w="75" w:type="dxa"/>
              <w:bottom w:w="75" w:type="dxa"/>
              <w:right w:w="75" w:type="dxa"/>
            </w:tcMar>
            <w:hideMark/>
          </w:tcPr>
          <w:p w14:paraId="4B992D71"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3.43 ± 0.004</w:t>
            </w:r>
          </w:p>
        </w:tc>
        <w:tc>
          <w:tcPr>
            <w:tcW w:w="0" w:type="auto"/>
            <w:tcBorders>
              <w:bottom w:val="nil"/>
              <w:right w:val="nil"/>
            </w:tcBorders>
            <w:tcMar>
              <w:top w:w="75" w:type="dxa"/>
              <w:left w:w="75" w:type="dxa"/>
              <w:bottom w:w="75" w:type="dxa"/>
              <w:right w:w="75" w:type="dxa"/>
            </w:tcMar>
            <w:hideMark/>
          </w:tcPr>
          <w:p w14:paraId="4E712D47" w14:textId="77777777" w:rsidR="001A4F05" w:rsidRPr="001A4F05" w:rsidRDefault="001A4F05" w:rsidP="001A4F05">
            <w:pPr>
              <w:spacing w:after="0" w:line="240" w:lineRule="auto"/>
              <w:rPr>
                <w:rFonts w:eastAsia="Times New Roman" w:cstheme="minorHAnsi"/>
                <w:sz w:val="20"/>
                <w:szCs w:val="20"/>
                <w:highlight w:val="magenta"/>
                <w:lang w:val="en-GB" w:eastAsia="en-GB"/>
              </w:rPr>
            </w:pPr>
            <w:r w:rsidRPr="001A4F05">
              <w:rPr>
                <w:rFonts w:eastAsia="Times New Roman" w:cstheme="minorHAnsi"/>
                <w:sz w:val="20"/>
                <w:szCs w:val="20"/>
                <w:highlight w:val="magenta"/>
                <w:lang w:val="en-GB" w:eastAsia="en-GB"/>
              </w:rPr>
              <w:t>14.20 ± 0.004</w:t>
            </w:r>
          </w:p>
        </w:tc>
        <w:tc>
          <w:tcPr>
            <w:tcW w:w="0" w:type="auto"/>
            <w:tcBorders>
              <w:bottom w:val="nil"/>
              <w:right w:val="nil"/>
            </w:tcBorders>
            <w:tcMar>
              <w:top w:w="75" w:type="dxa"/>
              <w:left w:w="75" w:type="dxa"/>
              <w:bottom w:w="75" w:type="dxa"/>
              <w:right w:w="75" w:type="dxa"/>
            </w:tcMar>
            <w:hideMark/>
          </w:tcPr>
          <w:p w14:paraId="66E2E5D7"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4.93 ± 0.003</w:t>
            </w:r>
          </w:p>
        </w:tc>
        <w:tc>
          <w:tcPr>
            <w:tcW w:w="0" w:type="auto"/>
            <w:tcBorders>
              <w:bottom w:val="nil"/>
              <w:right w:val="nil"/>
            </w:tcBorders>
            <w:tcMar>
              <w:top w:w="75" w:type="dxa"/>
              <w:left w:w="75" w:type="dxa"/>
              <w:bottom w:w="75" w:type="dxa"/>
              <w:right w:w="75" w:type="dxa"/>
            </w:tcMar>
            <w:hideMark/>
          </w:tcPr>
          <w:p w14:paraId="29985C46"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3.63 ± 0.002</w:t>
            </w:r>
          </w:p>
        </w:tc>
        <w:tc>
          <w:tcPr>
            <w:tcW w:w="0" w:type="auto"/>
            <w:tcBorders>
              <w:bottom w:val="nil"/>
              <w:right w:val="nil"/>
            </w:tcBorders>
            <w:tcMar>
              <w:top w:w="75" w:type="dxa"/>
              <w:left w:w="75" w:type="dxa"/>
              <w:bottom w:w="75" w:type="dxa"/>
              <w:right w:w="75" w:type="dxa"/>
            </w:tcMar>
            <w:hideMark/>
          </w:tcPr>
          <w:p w14:paraId="5518A3DF" w14:textId="77777777" w:rsidR="001A4F05" w:rsidRPr="001A4F05" w:rsidRDefault="001A4F05" w:rsidP="001A4F05">
            <w:pPr>
              <w:spacing w:after="0" w:line="240" w:lineRule="auto"/>
              <w:rPr>
                <w:rFonts w:eastAsia="Times New Roman" w:cstheme="minorHAnsi"/>
                <w:sz w:val="20"/>
                <w:szCs w:val="20"/>
                <w:highlight w:val="magenta"/>
                <w:lang w:val="en-GB" w:eastAsia="en-GB"/>
              </w:rPr>
            </w:pPr>
            <w:r w:rsidRPr="001A4F05">
              <w:rPr>
                <w:rFonts w:eastAsia="Times New Roman" w:cstheme="minorHAnsi"/>
                <w:sz w:val="20"/>
                <w:szCs w:val="20"/>
                <w:highlight w:val="magenta"/>
                <w:lang w:val="en-GB" w:eastAsia="en-GB"/>
              </w:rPr>
              <w:t>17.92 ± 0.003</w:t>
            </w:r>
          </w:p>
        </w:tc>
      </w:tr>
      <w:tr w:rsidR="002003C0" w:rsidRPr="002003C0" w14:paraId="3B843D14" w14:textId="77777777" w:rsidTr="001A4F05">
        <w:tc>
          <w:tcPr>
            <w:tcW w:w="0" w:type="auto"/>
            <w:tcBorders>
              <w:bottom w:val="nil"/>
              <w:right w:val="nil"/>
            </w:tcBorders>
            <w:tcMar>
              <w:top w:w="75" w:type="dxa"/>
              <w:left w:w="75" w:type="dxa"/>
              <w:bottom w:w="75" w:type="dxa"/>
              <w:right w:w="75" w:type="dxa"/>
            </w:tcMar>
            <w:hideMark/>
          </w:tcPr>
          <w:p w14:paraId="7AAB7EDC" w14:textId="77777777" w:rsidR="001A4F05" w:rsidRPr="001A4F05" w:rsidRDefault="001A4F05" w:rsidP="001A4F05">
            <w:pPr>
              <w:spacing w:after="0" w:line="240" w:lineRule="auto"/>
              <w:rPr>
                <w:rFonts w:eastAsia="Times New Roman" w:cstheme="minorHAnsi"/>
                <w:bCs/>
                <w:sz w:val="20"/>
                <w:szCs w:val="20"/>
                <w:highlight w:val="green"/>
                <w:lang w:val="en-GB" w:eastAsia="en-GB"/>
              </w:rPr>
            </w:pPr>
            <w:r w:rsidRPr="001A4F05">
              <w:rPr>
                <w:rFonts w:eastAsia="Times New Roman" w:cstheme="minorHAnsi"/>
                <w:bCs/>
                <w:sz w:val="20"/>
                <w:szCs w:val="20"/>
                <w:highlight w:val="green"/>
                <w:lang w:val="en-GB" w:eastAsia="en-GB"/>
              </w:rPr>
              <w:t>R39K</w:t>
            </w:r>
          </w:p>
        </w:tc>
        <w:tc>
          <w:tcPr>
            <w:tcW w:w="0" w:type="auto"/>
            <w:tcBorders>
              <w:bottom w:val="nil"/>
              <w:right w:val="nil"/>
            </w:tcBorders>
            <w:tcMar>
              <w:top w:w="75" w:type="dxa"/>
              <w:left w:w="75" w:type="dxa"/>
              <w:bottom w:w="75" w:type="dxa"/>
              <w:right w:w="75" w:type="dxa"/>
            </w:tcMar>
            <w:hideMark/>
          </w:tcPr>
          <w:p w14:paraId="202EAEFE"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4.19 ± 0.008</w:t>
            </w:r>
          </w:p>
        </w:tc>
        <w:tc>
          <w:tcPr>
            <w:tcW w:w="0" w:type="auto"/>
            <w:tcBorders>
              <w:bottom w:val="nil"/>
              <w:right w:val="nil"/>
            </w:tcBorders>
            <w:tcMar>
              <w:top w:w="75" w:type="dxa"/>
              <w:left w:w="75" w:type="dxa"/>
              <w:bottom w:w="75" w:type="dxa"/>
              <w:right w:w="75" w:type="dxa"/>
            </w:tcMar>
            <w:hideMark/>
          </w:tcPr>
          <w:p w14:paraId="39FBFD7F"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3.79 ± 0.007</w:t>
            </w:r>
          </w:p>
        </w:tc>
        <w:tc>
          <w:tcPr>
            <w:tcW w:w="0" w:type="auto"/>
            <w:tcBorders>
              <w:bottom w:val="nil"/>
              <w:right w:val="nil"/>
            </w:tcBorders>
            <w:tcMar>
              <w:top w:w="75" w:type="dxa"/>
              <w:left w:w="75" w:type="dxa"/>
              <w:bottom w:w="75" w:type="dxa"/>
              <w:right w:w="75" w:type="dxa"/>
            </w:tcMar>
            <w:hideMark/>
          </w:tcPr>
          <w:p w14:paraId="1338C5F5" w14:textId="77777777" w:rsidR="001A4F05" w:rsidRPr="001A4F05" w:rsidRDefault="001A4F05" w:rsidP="001A4F05">
            <w:pPr>
              <w:spacing w:after="0" w:line="240" w:lineRule="auto"/>
              <w:rPr>
                <w:rFonts w:eastAsia="Times New Roman" w:cstheme="minorHAnsi"/>
                <w:sz w:val="20"/>
                <w:szCs w:val="20"/>
                <w:highlight w:val="magenta"/>
                <w:lang w:val="en-GB" w:eastAsia="en-GB"/>
              </w:rPr>
            </w:pPr>
            <w:r w:rsidRPr="001A4F05">
              <w:rPr>
                <w:rFonts w:eastAsia="Times New Roman" w:cstheme="minorHAnsi"/>
                <w:sz w:val="20"/>
                <w:szCs w:val="20"/>
                <w:highlight w:val="magenta"/>
                <w:lang w:val="en-GB" w:eastAsia="en-GB"/>
              </w:rPr>
              <w:t>15.90 ± 0.006</w:t>
            </w:r>
          </w:p>
        </w:tc>
        <w:tc>
          <w:tcPr>
            <w:tcW w:w="0" w:type="auto"/>
            <w:tcBorders>
              <w:bottom w:val="nil"/>
              <w:right w:val="nil"/>
            </w:tcBorders>
            <w:tcMar>
              <w:top w:w="75" w:type="dxa"/>
              <w:left w:w="75" w:type="dxa"/>
              <w:bottom w:w="75" w:type="dxa"/>
              <w:right w:w="75" w:type="dxa"/>
            </w:tcMar>
            <w:hideMark/>
          </w:tcPr>
          <w:p w14:paraId="040F1329"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5.08 ± 0.005</w:t>
            </w:r>
          </w:p>
        </w:tc>
        <w:tc>
          <w:tcPr>
            <w:tcW w:w="0" w:type="auto"/>
            <w:tcBorders>
              <w:bottom w:val="nil"/>
              <w:right w:val="nil"/>
            </w:tcBorders>
            <w:tcMar>
              <w:top w:w="75" w:type="dxa"/>
              <w:left w:w="75" w:type="dxa"/>
              <w:bottom w:w="75" w:type="dxa"/>
              <w:right w:w="75" w:type="dxa"/>
            </w:tcMar>
            <w:hideMark/>
          </w:tcPr>
          <w:p w14:paraId="515EC67D"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3.87 ± 0.004</w:t>
            </w:r>
          </w:p>
        </w:tc>
        <w:tc>
          <w:tcPr>
            <w:tcW w:w="0" w:type="auto"/>
            <w:tcBorders>
              <w:bottom w:val="nil"/>
              <w:right w:val="nil"/>
            </w:tcBorders>
            <w:tcMar>
              <w:top w:w="75" w:type="dxa"/>
              <w:left w:w="75" w:type="dxa"/>
              <w:bottom w:w="75" w:type="dxa"/>
              <w:right w:w="75" w:type="dxa"/>
            </w:tcMar>
            <w:hideMark/>
          </w:tcPr>
          <w:p w14:paraId="3BF184E6" w14:textId="77777777" w:rsidR="001A4F05" w:rsidRPr="001A4F05" w:rsidRDefault="001A4F05" w:rsidP="001A4F05">
            <w:pPr>
              <w:spacing w:after="0" w:line="240" w:lineRule="auto"/>
              <w:rPr>
                <w:rFonts w:eastAsia="Times New Roman" w:cstheme="minorHAnsi"/>
                <w:sz w:val="20"/>
                <w:szCs w:val="20"/>
                <w:highlight w:val="magenta"/>
                <w:lang w:val="en-GB" w:eastAsia="en-GB"/>
              </w:rPr>
            </w:pPr>
            <w:r w:rsidRPr="001A4F05">
              <w:rPr>
                <w:rFonts w:eastAsia="Times New Roman" w:cstheme="minorHAnsi"/>
                <w:sz w:val="20"/>
                <w:szCs w:val="20"/>
                <w:highlight w:val="magenta"/>
                <w:lang w:val="en-GB" w:eastAsia="en-GB"/>
              </w:rPr>
              <w:t>19.65 ± 0.007</w:t>
            </w:r>
          </w:p>
        </w:tc>
      </w:tr>
      <w:tr w:rsidR="002003C0" w:rsidRPr="002003C0" w14:paraId="419CFD63" w14:textId="77777777" w:rsidTr="001A4F05">
        <w:tc>
          <w:tcPr>
            <w:tcW w:w="0" w:type="auto"/>
            <w:tcBorders>
              <w:bottom w:val="nil"/>
              <w:right w:val="nil"/>
            </w:tcBorders>
            <w:tcMar>
              <w:top w:w="75" w:type="dxa"/>
              <w:left w:w="75" w:type="dxa"/>
              <w:bottom w:w="75" w:type="dxa"/>
              <w:right w:w="75" w:type="dxa"/>
            </w:tcMar>
            <w:hideMark/>
          </w:tcPr>
          <w:p w14:paraId="5B27F3B8" w14:textId="77777777" w:rsidR="001A4F05" w:rsidRPr="001A4F05" w:rsidRDefault="001A4F05" w:rsidP="001A4F05">
            <w:pPr>
              <w:spacing w:after="0" w:line="240" w:lineRule="auto"/>
              <w:rPr>
                <w:rFonts w:eastAsia="Times New Roman" w:cstheme="minorHAnsi"/>
                <w:bCs/>
                <w:sz w:val="20"/>
                <w:szCs w:val="20"/>
                <w:highlight w:val="green"/>
                <w:lang w:val="en-GB" w:eastAsia="en-GB"/>
              </w:rPr>
            </w:pPr>
            <w:r w:rsidRPr="001A4F05">
              <w:rPr>
                <w:rFonts w:eastAsia="Times New Roman" w:cstheme="minorHAnsi"/>
                <w:bCs/>
                <w:sz w:val="20"/>
                <w:szCs w:val="20"/>
                <w:highlight w:val="green"/>
                <w:lang w:val="en-GB" w:eastAsia="en-GB"/>
              </w:rPr>
              <w:t>S128G</w:t>
            </w:r>
          </w:p>
        </w:tc>
        <w:tc>
          <w:tcPr>
            <w:tcW w:w="0" w:type="auto"/>
            <w:tcBorders>
              <w:bottom w:val="nil"/>
              <w:right w:val="nil"/>
            </w:tcBorders>
            <w:tcMar>
              <w:top w:w="75" w:type="dxa"/>
              <w:left w:w="75" w:type="dxa"/>
              <w:bottom w:w="75" w:type="dxa"/>
              <w:right w:w="75" w:type="dxa"/>
            </w:tcMar>
            <w:hideMark/>
          </w:tcPr>
          <w:p w14:paraId="26BDB050"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3.36 ± 0.003</w:t>
            </w:r>
          </w:p>
        </w:tc>
        <w:tc>
          <w:tcPr>
            <w:tcW w:w="0" w:type="auto"/>
            <w:tcBorders>
              <w:bottom w:val="nil"/>
              <w:right w:val="nil"/>
            </w:tcBorders>
            <w:tcMar>
              <w:top w:w="75" w:type="dxa"/>
              <w:left w:w="75" w:type="dxa"/>
              <w:bottom w:w="75" w:type="dxa"/>
              <w:right w:w="75" w:type="dxa"/>
            </w:tcMar>
            <w:hideMark/>
          </w:tcPr>
          <w:p w14:paraId="5621B811"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3.71 ± 0.003</w:t>
            </w:r>
          </w:p>
        </w:tc>
        <w:tc>
          <w:tcPr>
            <w:tcW w:w="0" w:type="auto"/>
            <w:tcBorders>
              <w:bottom w:val="nil"/>
              <w:right w:val="nil"/>
            </w:tcBorders>
            <w:tcMar>
              <w:top w:w="75" w:type="dxa"/>
              <w:left w:w="75" w:type="dxa"/>
              <w:bottom w:w="75" w:type="dxa"/>
              <w:right w:w="75" w:type="dxa"/>
            </w:tcMar>
            <w:hideMark/>
          </w:tcPr>
          <w:p w14:paraId="669F3732" w14:textId="77777777" w:rsidR="001A4F05" w:rsidRPr="001A4F05" w:rsidRDefault="001A4F05" w:rsidP="001A4F05">
            <w:pPr>
              <w:spacing w:after="0" w:line="240" w:lineRule="auto"/>
              <w:rPr>
                <w:rFonts w:eastAsia="Times New Roman" w:cstheme="minorHAnsi"/>
                <w:sz w:val="20"/>
                <w:szCs w:val="20"/>
                <w:highlight w:val="magenta"/>
                <w:lang w:val="en-GB" w:eastAsia="en-GB"/>
              </w:rPr>
            </w:pPr>
            <w:r w:rsidRPr="001A4F05">
              <w:rPr>
                <w:rFonts w:eastAsia="Times New Roman" w:cstheme="minorHAnsi"/>
                <w:sz w:val="20"/>
                <w:szCs w:val="20"/>
                <w:highlight w:val="magenta"/>
                <w:lang w:val="en-GB" w:eastAsia="en-GB"/>
              </w:rPr>
              <w:t>12.46 ± 0.004</w:t>
            </w:r>
          </w:p>
        </w:tc>
        <w:tc>
          <w:tcPr>
            <w:tcW w:w="0" w:type="auto"/>
            <w:tcBorders>
              <w:bottom w:val="nil"/>
              <w:right w:val="nil"/>
            </w:tcBorders>
            <w:tcMar>
              <w:top w:w="75" w:type="dxa"/>
              <w:left w:w="75" w:type="dxa"/>
              <w:bottom w:w="75" w:type="dxa"/>
              <w:right w:w="75" w:type="dxa"/>
            </w:tcMar>
            <w:hideMark/>
          </w:tcPr>
          <w:p w14:paraId="05155CE6"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4.70 ± 0.009</w:t>
            </w:r>
          </w:p>
        </w:tc>
        <w:tc>
          <w:tcPr>
            <w:tcW w:w="0" w:type="auto"/>
            <w:tcBorders>
              <w:bottom w:val="nil"/>
              <w:right w:val="nil"/>
            </w:tcBorders>
            <w:tcMar>
              <w:top w:w="75" w:type="dxa"/>
              <w:left w:w="75" w:type="dxa"/>
              <w:bottom w:w="75" w:type="dxa"/>
              <w:right w:w="75" w:type="dxa"/>
            </w:tcMar>
            <w:hideMark/>
          </w:tcPr>
          <w:p w14:paraId="1F998DF7"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3.48 ± 0.007</w:t>
            </w:r>
          </w:p>
        </w:tc>
        <w:tc>
          <w:tcPr>
            <w:tcW w:w="0" w:type="auto"/>
            <w:tcBorders>
              <w:bottom w:val="nil"/>
              <w:right w:val="nil"/>
            </w:tcBorders>
            <w:tcMar>
              <w:top w:w="75" w:type="dxa"/>
              <w:left w:w="75" w:type="dxa"/>
              <w:bottom w:w="75" w:type="dxa"/>
              <w:right w:w="75" w:type="dxa"/>
            </w:tcMar>
            <w:hideMark/>
          </w:tcPr>
          <w:p w14:paraId="60E80F3A" w14:textId="77777777" w:rsidR="001A4F05" w:rsidRPr="001A4F05" w:rsidRDefault="001A4F05" w:rsidP="001A4F05">
            <w:pPr>
              <w:spacing w:after="0" w:line="240" w:lineRule="auto"/>
              <w:rPr>
                <w:rFonts w:eastAsia="Times New Roman" w:cstheme="minorHAnsi"/>
                <w:sz w:val="20"/>
                <w:szCs w:val="20"/>
                <w:highlight w:val="magenta"/>
                <w:lang w:val="en-GB" w:eastAsia="en-GB"/>
              </w:rPr>
            </w:pPr>
            <w:r w:rsidRPr="001A4F05">
              <w:rPr>
                <w:rFonts w:eastAsia="Times New Roman" w:cstheme="minorHAnsi"/>
                <w:sz w:val="20"/>
                <w:szCs w:val="20"/>
                <w:highlight w:val="magenta"/>
                <w:lang w:val="en-GB" w:eastAsia="en-GB"/>
              </w:rPr>
              <w:t>16.34 ± 0.008</w:t>
            </w:r>
          </w:p>
        </w:tc>
      </w:tr>
      <w:tr w:rsidR="002003C0" w:rsidRPr="002003C0" w14:paraId="7A79C35F" w14:textId="77777777" w:rsidTr="001A4F05">
        <w:tc>
          <w:tcPr>
            <w:tcW w:w="0" w:type="auto"/>
            <w:tcBorders>
              <w:bottom w:val="nil"/>
              <w:right w:val="nil"/>
            </w:tcBorders>
            <w:tcMar>
              <w:top w:w="75" w:type="dxa"/>
              <w:left w:w="75" w:type="dxa"/>
              <w:bottom w:w="75" w:type="dxa"/>
              <w:right w:w="75" w:type="dxa"/>
            </w:tcMar>
            <w:hideMark/>
          </w:tcPr>
          <w:p w14:paraId="3EB18639" w14:textId="77777777" w:rsidR="001A4F05" w:rsidRPr="001A4F05" w:rsidRDefault="001A4F05" w:rsidP="001A4F05">
            <w:pPr>
              <w:spacing w:after="0" w:line="240" w:lineRule="auto"/>
              <w:rPr>
                <w:rFonts w:eastAsia="Times New Roman" w:cstheme="minorHAnsi"/>
                <w:bCs/>
                <w:sz w:val="20"/>
                <w:szCs w:val="20"/>
                <w:highlight w:val="green"/>
                <w:lang w:val="en-GB" w:eastAsia="en-GB"/>
              </w:rPr>
            </w:pPr>
            <w:r w:rsidRPr="001A4F05">
              <w:rPr>
                <w:rFonts w:eastAsia="Times New Roman" w:cstheme="minorHAnsi"/>
                <w:bCs/>
                <w:sz w:val="20"/>
                <w:szCs w:val="20"/>
                <w:highlight w:val="green"/>
                <w:lang w:val="en-GB" w:eastAsia="en-GB"/>
              </w:rPr>
              <w:t>V183T</w:t>
            </w:r>
          </w:p>
        </w:tc>
        <w:tc>
          <w:tcPr>
            <w:tcW w:w="0" w:type="auto"/>
            <w:tcBorders>
              <w:bottom w:val="nil"/>
              <w:right w:val="nil"/>
            </w:tcBorders>
            <w:tcMar>
              <w:top w:w="75" w:type="dxa"/>
              <w:left w:w="75" w:type="dxa"/>
              <w:bottom w:w="75" w:type="dxa"/>
              <w:right w:w="75" w:type="dxa"/>
            </w:tcMar>
            <w:hideMark/>
          </w:tcPr>
          <w:p w14:paraId="3B770895"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4.45 ± 0.003</w:t>
            </w:r>
          </w:p>
        </w:tc>
        <w:tc>
          <w:tcPr>
            <w:tcW w:w="0" w:type="auto"/>
            <w:tcBorders>
              <w:bottom w:val="nil"/>
              <w:right w:val="nil"/>
            </w:tcBorders>
            <w:tcMar>
              <w:top w:w="75" w:type="dxa"/>
              <w:left w:w="75" w:type="dxa"/>
              <w:bottom w:w="75" w:type="dxa"/>
              <w:right w:w="75" w:type="dxa"/>
            </w:tcMar>
            <w:hideMark/>
          </w:tcPr>
          <w:p w14:paraId="609107BB"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3.56 ± 0.002</w:t>
            </w:r>
          </w:p>
        </w:tc>
        <w:tc>
          <w:tcPr>
            <w:tcW w:w="0" w:type="auto"/>
            <w:tcBorders>
              <w:bottom w:val="nil"/>
              <w:right w:val="nil"/>
            </w:tcBorders>
            <w:tcMar>
              <w:top w:w="75" w:type="dxa"/>
              <w:left w:w="75" w:type="dxa"/>
              <w:bottom w:w="75" w:type="dxa"/>
              <w:right w:w="75" w:type="dxa"/>
            </w:tcMar>
            <w:hideMark/>
          </w:tcPr>
          <w:p w14:paraId="36E27557" w14:textId="77777777" w:rsidR="001A4F05" w:rsidRPr="001A4F05" w:rsidRDefault="001A4F05" w:rsidP="001A4F05">
            <w:pPr>
              <w:spacing w:after="0" w:line="240" w:lineRule="auto"/>
              <w:rPr>
                <w:rFonts w:eastAsia="Times New Roman" w:cstheme="minorHAnsi"/>
                <w:sz w:val="20"/>
                <w:szCs w:val="20"/>
                <w:highlight w:val="magenta"/>
                <w:lang w:val="en-GB" w:eastAsia="en-GB"/>
              </w:rPr>
            </w:pPr>
            <w:r w:rsidRPr="001A4F05">
              <w:rPr>
                <w:rFonts w:eastAsia="Times New Roman" w:cstheme="minorHAnsi"/>
                <w:sz w:val="20"/>
                <w:szCs w:val="20"/>
                <w:highlight w:val="magenta"/>
                <w:lang w:val="en-GB" w:eastAsia="en-GB"/>
              </w:rPr>
              <w:t>15.86 ± 0.004</w:t>
            </w:r>
          </w:p>
        </w:tc>
        <w:tc>
          <w:tcPr>
            <w:tcW w:w="0" w:type="auto"/>
            <w:tcBorders>
              <w:bottom w:val="nil"/>
              <w:right w:val="nil"/>
            </w:tcBorders>
            <w:tcMar>
              <w:top w:w="75" w:type="dxa"/>
              <w:left w:w="75" w:type="dxa"/>
              <w:bottom w:w="75" w:type="dxa"/>
              <w:right w:w="75" w:type="dxa"/>
            </w:tcMar>
            <w:hideMark/>
          </w:tcPr>
          <w:p w14:paraId="28BC4D5E"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5.11 ± 0.008</w:t>
            </w:r>
          </w:p>
        </w:tc>
        <w:tc>
          <w:tcPr>
            <w:tcW w:w="0" w:type="auto"/>
            <w:tcBorders>
              <w:bottom w:val="nil"/>
              <w:right w:val="nil"/>
            </w:tcBorders>
            <w:tcMar>
              <w:top w:w="75" w:type="dxa"/>
              <w:left w:w="75" w:type="dxa"/>
              <w:bottom w:w="75" w:type="dxa"/>
              <w:right w:w="75" w:type="dxa"/>
            </w:tcMar>
            <w:hideMark/>
          </w:tcPr>
          <w:p w14:paraId="5AF0E2EB" w14:textId="77777777" w:rsidR="001A4F05" w:rsidRPr="001A4F05" w:rsidRDefault="001A4F05" w:rsidP="001A4F05">
            <w:pPr>
              <w:spacing w:after="0" w:line="240" w:lineRule="auto"/>
              <w:rPr>
                <w:rFonts w:eastAsia="Times New Roman" w:cstheme="minorHAnsi"/>
                <w:sz w:val="20"/>
                <w:szCs w:val="20"/>
                <w:lang w:val="en-GB" w:eastAsia="en-GB"/>
              </w:rPr>
            </w:pPr>
            <w:r w:rsidRPr="001A4F05">
              <w:rPr>
                <w:rFonts w:eastAsia="Times New Roman" w:cstheme="minorHAnsi"/>
                <w:sz w:val="20"/>
                <w:szCs w:val="20"/>
                <w:lang w:val="en-GB" w:eastAsia="en-GB"/>
              </w:rPr>
              <w:t>3.80 ± 0.006</w:t>
            </w:r>
          </w:p>
        </w:tc>
        <w:tc>
          <w:tcPr>
            <w:tcW w:w="0" w:type="auto"/>
            <w:tcBorders>
              <w:bottom w:val="nil"/>
              <w:right w:val="nil"/>
            </w:tcBorders>
            <w:tcMar>
              <w:top w:w="75" w:type="dxa"/>
              <w:left w:w="75" w:type="dxa"/>
              <w:bottom w:w="75" w:type="dxa"/>
              <w:right w:w="75" w:type="dxa"/>
            </w:tcMar>
            <w:hideMark/>
          </w:tcPr>
          <w:p w14:paraId="663E2E0E" w14:textId="77777777" w:rsidR="001A4F05" w:rsidRPr="001A4F05" w:rsidRDefault="001A4F05" w:rsidP="001A4F05">
            <w:pPr>
              <w:spacing w:after="0" w:line="240" w:lineRule="auto"/>
              <w:rPr>
                <w:rFonts w:eastAsia="Times New Roman" w:cstheme="minorHAnsi"/>
                <w:sz w:val="20"/>
                <w:szCs w:val="20"/>
                <w:highlight w:val="magenta"/>
                <w:lang w:val="en-GB" w:eastAsia="en-GB"/>
              </w:rPr>
            </w:pPr>
            <w:r w:rsidRPr="001A4F05">
              <w:rPr>
                <w:rFonts w:eastAsia="Times New Roman" w:cstheme="minorHAnsi"/>
                <w:sz w:val="20"/>
                <w:szCs w:val="20"/>
                <w:highlight w:val="magenta"/>
                <w:lang w:val="en-GB" w:eastAsia="en-GB"/>
              </w:rPr>
              <w:t>19.40 ± 0.006</w:t>
            </w:r>
          </w:p>
        </w:tc>
      </w:tr>
    </w:tbl>
    <w:p w14:paraId="2C49101E" w14:textId="77777777" w:rsidR="001A4F05" w:rsidRPr="002003C0" w:rsidRDefault="001A4F05" w:rsidP="001A4F05">
      <w:pPr>
        <w:pBdr>
          <w:bottom w:val="single" w:sz="12" w:space="1" w:color="auto"/>
        </w:pBdr>
        <w:rPr>
          <w:rFonts w:cstheme="minorHAnsi"/>
          <w:sz w:val="20"/>
          <w:szCs w:val="20"/>
          <w:lang w:val="en-GB"/>
        </w:rPr>
      </w:pPr>
    </w:p>
    <w:p w14:paraId="0F7F1714" w14:textId="1180AB86" w:rsidR="003967FE" w:rsidRDefault="003967FE" w:rsidP="00CF3ACB">
      <w:pPr>
        <w:spacing w:line="330" w:lineRule="atLeast"/>
        <w:ind w:left="360" w:right="360"/>
        <w:rPr>
          <w:rFonts w:eastAsia="Times New Roman" w:cstheme="minorHAnsi"/>
          <w:b/>
          <w:bCs/>
          <w:sz w:val="20"/>
          <w:szCs w:val="20"/>
          <w:lang w:val="en-GB" w:eastAsia="en-GB"/>
        </w:rPr>
      </w:pPr>
      <w:r w:rsidRPr="005A7357">
        <w:rPr>
          <w:rFonts w:eastAsia="Times New Roman" w:cstheme="minorHAnsi"/>
          <w:b/>
          <w:bCs/>
          <w:sz w:val="20"/>
          <w:szCs w:val="20"/>
          <w:lang w:val="en-GB" w:eastAsia="en-GB"/>
        </w:rPr>
        <w:t>S</w:t>
      </w:r>
      <w:r w:rsidR="000143E9" w:rsidRPr="000143E9">
        <w:rPr>
          <w:rFonts w:eastAsia="Times New Roman" w:cstheme="minorHAnsi"/>
          <w:b/>
          <w:bCs/>
          <w:sz w:val="20"/>
          <w:szCs w:val="20"/>
          <w:lang w:val="en-GB" w:eastAsia="en-GB"/>
        </w:rPr>
        <w:t>tability 03 (PMID: 27616457)</w:t>
      </w:r>
    </w:p>
    <w:p w14:paraId="09FC2B70" w14:textId="13C1DE6F" w:rsidR="00CF3ACB" w:rsidRPr="00CF3ACB" w:rsidRDefault="00CF3ACB" w:rsidP="00CF3ACB">
      <w:pPr>
        <w:spacing w:line="330" w:lineRule="atLeast"/>
        <w:ind w:left="360" w:right="360"/>
        <w:rPr>
          <w:rFonts w:eastAsia="Times New Roman" w:cstheme="minorHAnsi"/>
          <w:sz w:val="20"/>
          <w:szCs w:val="20"/>
          <w:lang w:val="en-GB" w:eastAsia="en-GB"/>
        </w:rPr>
      </w:pPr>
      <w:r w:rsidRPr="002003C0">
        <w:rPr>
          <w:rFonts w:eastAsia="Times New Roman" w:cstheme="minorHAnsi"/>
          <w:sz w:val="20"/>
          <w:szCs w:val="20"/>
          <w:lang w:val="en-GB" w:eastAsia="en-GB"/>
        </w:rPr>
        <w:t>Table 3</w:t>
      </w:r>
      <w:r w:rsidRPr="00CF3ACB">
        <w:rPr>
          <w:rFonts w:eastAsia="Times New Roman" w:cstheme="minorHAnsi"/>
          <w:sz w:val="20"/>
          <w:szCs w:val="20"/>
          <w:lang w:val="en-GB" w:eastAsia="en-GB"/>
        </w:rPr>
        <w:t>. Thermodynamic parameters for WT </w:t>
      </w:r>
      <w:r w:rsidRPr="002003C0">
        <w:rPr>
          <w:rFonts w:eastAsia="Times New Roman" w:cstheme="minorHAnsi"/>
          <w:sz w:val="20"/>
          <w:szCs w:val="20"/>
          <w:highlight w:val="yellow"/>
          <w:u w:val="single"/>
          <w:lang w:val="en-GB" w:eastAsia="en-GB"/>
        </w:rPr>
        <w:t>brazzein</w:t>
      </w:r>
      <w:r w:rsidRPr="00CF3ACB">
        <w:rPr>
          <w:rFonts w:eastAsia="Times New Roman" w:cstheme="minorHAnsi"/>
          <w:sz w:val="20"/>
          <w:szCs w:val="20"/>
          <w:lang w:val="en-GB" w:eastAsia="en-GB"/>
        </w:rPr>
        <w:t> and mutants obtained by analysis of equilibrium </w:t>
      </w:r>
      <w:r w:rsidRPr="002003C0">
        <w:rPr>
          <w:rFonts w:eastAsia="Times New Roman" w:cstheme="minorHAnsi"/>
          <w:sz w:val="20"/>
          <w:szCs w:val="20"/>
          <w:u w:val="single"/>
          <w:lang w:val="en-GB" w:eastAsia="en-GB"/>
        </w:rPr>
        <w:t>denaturation</w:t>
      </w:r>
      <w:r w:rsidRPr="00CF3ACB">
        <w:rPr>
          <w:rFonts w:eastAsia="Times New Roman" w:cstheme="minorHAnsi"/>
          <w:sz w:val="20"/>
          <w:szCs w:val="20"/>
          <w:lang w:val="en-GB" w:eastAsia="en-GB"/>
        </w:rPr>
        <w:t> curves of </w:t>
      </w:r>
      <w:bookmarkStart w:id="5" w:name="bfig9"/>
      <w:r w:rsidRPr="002003C0">
        <w:rPr>
          <w:rFonts w:eastAsia="Times New Roman" w:cstheme="minorHAnsi"/>
          <w:sz w:val="20"/>
          <w:szCs w:val="20"/>
          <w:u w:val="single"/>
          <w:lang w:val="en-GB" w:eastAsia="en-GB"/>
        </w:rPr>
        <w:t>Fig. 9</w:t>
      </w:r>
      <w:bookmarkEnd w:id="5"/>
      <w:r w:rsidRPr="00CF3ACB">
        <w:rPr>
          <w:rFonts w:eastAsia="Times New Roman" w:cstheme="minorHAnsi"/>
          <w:sz w:val="20"/>
          <w:szCs w:val="20"/>
          <w:lang w:val="en-GB" w:eastAsia="en-GB"/>
        </w:rPr>
        <w:t> using equation </w:t>
      </w:r>
      <w:bookmarkStart w:id="6" w:name="bfd1"/>
      <w:r w:rsidRPr="002003C0">
        <w:rPr>
          <w:rFonts w:eastAsia="Times New Roman" w:cstheme="minorHAnsi"/>
          <w:sz w:val="20"/>
          <w:szCs w:val="20"/>
          <w:u w:val="single"/>
          <w:lang w:val="en-GB" w:eastAsia="en-GB"/>
        </w:rPr>
        <w:t>(3)</w:t>
      </w:r>
      <w:r w:rsidRPr="00CF3ACB">
        <w:rPr>
          <w:rFonts w:eastAsia="Times New Roman" w:cstheme="minorHAnsi"/>
          <w:sz w:val="20"/>
          <w:szCs w:val="20"/>
          <w:lang w:val="en-GB" w:eastAsia="en-GB"/>
        </w:rPr>
        <w:t>.</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141"/>
        <w:gridCol w:w="2233"/>
        <w:gridCol w:w="2233"/>
        <w:gridCol w:w="2233"/>
      </w:tblGrid>
      <w:tr w:rsidR="002003C0" w:rsidRPr="002003C0" w14:paraId="258FE0B0" w14:textId="77777777" w:rsidTr="00CF3ACB">
        <w:trPr>
          <w:tblHeader/>
        </w:trPr>
        <w:tc>
          <w:tcPr>
            <w:tcW w:w="0" w:type="auto"/>
            <w:tcBorders>
              <w:bottom w:val="single" w:sz="6" w:space="0" w:color="EBEBEB"/>
              <w:right w:val="nil"/>
            </w:tcBorders>
            <w:tcMar>
              <w:top w:w="75" w:type="dxa"/>
              <w:left w:w="75" w:type="dxa"/>
              <w:bottom w:w="75" w:type="dxa"/>
              <w:right w:w="75" w:type="dxa"/>
            </w:tcMar>
            <w:hideMark/>
          </w:tcPr>
          <w:p w14:paraId="2A1B27AE" w14:textId="77777777" w:rsidR="00CF3ACB" w:rsidRPr="00CF3ACB" w:rsidRDefault="00CF3ACB" w:rsidP="00CF3ACB">
            <w:pPr>
              <w:spacing w:after="0" w:line="240" w:lineRule="auto"/>
              <w:jc w:val="center"/>
              <w:rPr>
                <w:rFonts w:eastAsia="Times New Roman" w:cstheme="minorHAnsi"/>
                <w:b/>
                <w:bCs/>
                <w:sz w:val="20"/>
                <w:szCs w:val="20"/>
                <w:lang w:val="en-GB" w:eastAsia="en-GB"/>
              </w:rPr>
            </w:pPr>
            <w:bookmarkStart w:id="7" w:name="btbl3fnb" w:colFirst="1" w:colLast="3"/>
            <w:bookmarkStart w:id="8" w:name="btbl3fna" w:colFirst="1" w:colLast="2"/>
            <w:r w:rsidRPr="00CF3ACB">
              <w:rPr>
                <w:rFonts w:eastAsia="Times New Roman" w:cstheme="minorHAnsi"/>
                <w:b/>
                <w:bCs/>
                <w:sz w:val="20"/>
                <w:szCs w:val="20"/>
                <w:lang w:val="en-GB" w:eastAsia="en-GB"/>
              </w:rPr>
              <w:t>Protein variants</w:t>
            </w:r>
          </w:p>
        </w:tc>
        <w:tc>
          <w:tcPr>
            <w:tcW w:w="0" w:type="auto"/>
            <w:tcBorders>
              <w:bottom w:val="single" w:sz="6" w:space="0" w:color="EBEBEB"/>
              <w:right w:val="nil"/>
            </w:tcBorders>
            <w:tcMar>
              <w:top w:w="75" w:type="dxa"/>
              <w:left w:w="75" w:type="dxa"/>
              <w:bottom w:w="75" w:type="dxa"/>
              <w:right w:w="75" w:type="dxa"/>
            </w:tcMar>
            <w:hideMark/>
          </w:tcPr>
          <w:p w14:paraId="6ECDF654" w14:textId="77777777" w:rsidR="00CF3ACB" w:rsidRPr="00CF3ACB" w:rsidRDefault="00F6316E" w:rsidP="00CF3ACB">
            <w:pPr>
              <w:spacing w:after="0" w:line="240" w:lineRule="auto"/>
              <w:jc w:val="center"/>
              <w:rPr>
                <w:rFonts w:eastAsia="Times New Roman" w:cstheme="minorHAnsi"/>
                <w:b/>
                <w:bCs/>
                <w:sz w:val="20"/>
                <w:szCs w:val="20"/>
                <w:highlight w:val="magenta"/>
                <w:lang w:val="en-GB" w:eastAsia="en-GB"/>
              </w:rPr>
            </w:pPr>
            <w:hyperlink r:id="rId16" w:anchor="tbl3fna" w:history="1">
              <w:r w:rsidR="00CF3ACB" w:rsidRPr="002003C0">
                <w:rPr>
                  <w:rFonts w:eastAsia="Times New Roman" w:cstheme="minorHAnsi"/>
                  <w:b/>
                  <w:bCs/>
                  <w:sz w:val="20"/>
                  <w:szCs w:val="20"/>
                  <w:highlight w:val="magenta"/>
                  <w:u w:val="single"/>
                  <w:vertAlign w:val="superscript"/>
                  <w:lang w:val="en-GB" w:eastAsia="en-GB"/>
                </w:rPr>
                <w:t>a</w:t>
              </w:r>
            </w:hyperlink>
            <w:r w:rsidR="00CF3ACB" w:rsidRPr="00CF3ACB">
              <w:rPr>
                <w:rFonts w:eastAsia="Times New Roman" w:cstheme="minorHAnsi"/>
                <w:b/>
                <w:bCs/>
                <w:sz w:val="20"/>
                <w:szCs w:val="20"/>
                <w:highlight w:val="magenta"/>
                <w:lang w:val="en-GB" w:eastAsia="en-GB"/>
              </w:rPr>
              <w:t>ΔG</w:t>
            </w:r>
            <w:r w:rsidR="00CF3ACB" w:rsidRPr="00CF3ACB">
              <w:rPr>
                <w:rFonts w:eastAsia="Times New Roman" w:cstheme="minorHAnsi"/>
                <w:b/>
                <w:bCs/>
                <w:sz w:val="20"/>
                <w:szCs w:val="20"/>
                <w:highlight w:val="magenta"/>
                <w:vertAlign w:val="subscript"/>
                <w:lang w:val="en-GB" w:eastAsia="en-GB"/>
              </w:rPr>
              <w:t>(H2O)</w:t>
            </w:r>
            <w:hyperlink r:id="rId17" w:anchor="tbl3fnb" w:history="1">
              <w:r w:rsidR="00CF3ACB" w:rsidRPr="002003C0">
                <w:rPr>
                  <w:rFonts w:eastAsia="Times New Roman" w:cstheme="minorHAnsi"/>
                  <w:b/>
                  <w:bCs/>
                  <w:sz w:val="20"/>
                  <w:szCs w:val="20"/>
                  <w:highlight w:val="magenta"/>
                  <w:u w:val="single"/>
                  <w:vertAlign w:val="superscript"/>
                  <w:lang w:val="en-GB" w:eastAsia="en-GB"/>
                </w:rPr>
                <w:t>b</w:t>
              </w:r>
            </w:hyperlink>
          </w:p>
        </w:tc>
        <w:tc>
          <w:tcPr>
            <w:tcW w:w="0" w:type="auto"/>
            <w:tcBorders>
              <w:bottom w:val="single" w:sz="6" w:space="0" w:color="EBEBEB"/>
              <w:right w:val="nil"/>
            </w:tcBorders>
            <w:tcMar>
              <w:top w:w="75" w:type="dxa"/>
              <w:left w:w="75" w:type="dxa"/>
              <w:bottom w:w="75" w:type="dxa"/>
              <w:right w:w="75" w:type="dxa"/>
            </w:tcMar>
            <w:hideMark/>
          </w:tcPr>
          <w:p w14:paraId="6E6FF697" w14:textId="77777777" w:rsidR="00CF3ACB" w:rsidRPr="00CF3ACB" w:rsidRDefault="00F6316E" w:rsidP="00CF3ACB">
            <w:pPr>
              <w:spacing w:after="0" w:line="240" w:lineRule="auto"/>
              <w:jc w:val="center"/>
              <w:rPr>
                <w:rFonts w:eastAsia="Times New Roman" w:cstheme="minorHAnsi"/>
                <w:b/>
                <w:bCs/>
                <w:sz w:val="20"/>
                <w:szCs w:val="20"/>
                <w:lang w:val="en-GB" w:eastAsia="en-GB"/>
              </w:rPr>
            </w:pPr>
            <w:hyperlink r:id="rId18" w:anchor="tbl3fna" w:history="1">
              <w:r w:rsidR="00CF3ACB" w:rsidRPr="002003C0">
                <w:rPr>
                  <w:rFonts w:eastAsia="Times New Roman" w:cstheme="minorHAnsi"/>
                  <w:b/>
                  <w:bCs/>
                  <w:sz w:val="20"/>
                  <w:szCs w:val="20"/>
                  <w:u w:val="single"/>
                  <w:vertAlign w:val="superscript"/>
                  <w:lang w:val="en-GB" w:eastAsia="en-GB"/>
                </w:rPr>
                <w:t>a</w:t>
              </w:r>
            </w:hyperlink>
            <w:r w:rsidR="00CF3ACB" w:rsidRPr="00CF3ACB">
              <w:rPr>
                <w:rFonts w:eastAsia="Times New Roman" w:cstheme="minorHAnsi"/>
                <w:b/>
                <w:bCs/>
                <w:sz w:val="20"/>
                <w:szCs w:val="20"/>
                <w:lang w:val="en-GB" w:eastAsia="en-GB"/>
              </w:rPr>
              <w:t>m-value</w:t>
            </w:r>
            <w:hyperlink r:id="rId19" w:anchor="tbl3fnb" w:history="1">
              <w:r w:rsidR="00CF3ACB" w:rsidRPr="002003C0">
                <w:rPr>
                  <w:rFonts w:eastAsia="Times New Roman" w:cstheme="minorHAnsi"/>
                  <w:b/>
                  <w:bCs/>
                  <w:sz w:val="20"/>
                  <w:szCs w:val="20"/>
                  <w:u w:val="single"/>
                  <w:vertAlign w:val="superscript"/>
                  <w:lang w:val="en-GB" w:eastAsia="en-GB"/>
                </w:rPr>
                <w:t>b</w:t>
              </w:r>
            </w:hyperlink>
          </w:p>
        </w:tc>
        <w:tc>
          <w:tcPr>
            <w:tcW w:w="0" w:type="auto"/>
            <w:tcBorders>
              <w:bottom w:val="single" w:sz="6" w:space="0" w:color="EBEBEB"/>
              <w:right w:val="nil"/>
            </w:tcBorders>
            <w:tcMar>
              <w:top w:w="75" w:type="dxa"/>
              <w:left w:w="75" w:type="dxa"/>
              <w:bottom w:w="75" w:type="dxa"/>
              <w:right w:w="75" w:type="dxa"/>
            </w:tcMar>
            <w:hideMark/>
          </w:tcPr>
          <w:p w14:paraId="5853E548" w14:textId="77777777" w:rsidR="00CF3ACB" w:rsidRPr="00CF3ACB" w:rsidRDefault="00CF3ACB" w:rsidP="00CF3ACB">
            <w:pPr>
              <w:spacing w:after="0" w:line="240" w:lineRule="auto"/>
              <w:jc w:val="center"/>
              <w:rPr>
                <w:rFonts w:eastAsia="Times New Roman" w:cstheme="minorHAnsi"/>
                <w:b/>
                <w:bCs/>
                <w:sz w:val="20"/>
                <w:szCs w:val="20"/>
                <w:lang w:val="en-GB" w:eastAsia="en-GB"/>
              </w:rPr>
            </w:pPr>
            <w:r w:rsidRPr="00CF3ACB">
              <w:rPr>
                <w:rFonts w:eastAsia="Times New Roman" w:cstheme="minorHAnsi"/>
                <w:b/>
                <w:bCs/>
                <w:sz w:val="20"/>
                <w:szCs w:val="20"/>
                <w:lang w:val="en-GB" w:eastAsia="en-GB"/>
              </w:rPr>
              <w:t>[Urea]</w:t>
            </w:r>
            <w:r w:rsidRPr="00CF3ACB">
              <w:rPr>
                <w:rFonts w:eastAsia="Times New Roman" w:cstheme="minorHAnsi"/>
                <w:b/>
                <w:bCs/>
                <w:sz w:val="20"/>
                <w:szCs w:val="20"/>
                <w:vertAlign w:val="subscript"/>
                <w:lang w:val="en-GB" w:eastAsia="en-GB"/>
              </w:rPr>
              <w:t>50%</w:t>
            </w:r>
            <w:hyperlink r:id="rId20" w:anchor="tbl3fnb" w:history="1">
              <w:r w:rsidRPr="002003C0">
                <w:rPr>
                  <w:rFonts w:eastAsia="Times New Roman" w:cstheme="minorHAnsi"/>
                  <w:b/>
                  <w:bCs/>
                  <w:sz w:val="20"/>
                  <w:szCs w:val="20"/>
                  <w:u w:val="single"/>
                  <w:vertAlign w:val="superscript"/>
                  <w:lang w:val="en-GB" w:eastAsia="en-GB"/>
                </w:rPr>
                <w:t>b</w:t>
              </w:r>
            </w:hyperlink>
          </w:p>
        </w:tc>
      </w:tr>
      <w:bookmarkEnd w:id="7"/>
      <w:bookmarkEnd w:id="8"/>
      <w:tr w:rsidR="002003C0" w:rsidRPr="002003C0" w14:paraId="66922E8E" w14:textId="77777777" w:rsidTr="00CF3ACB">
        <w:tc>
          <w:tcPr>
            <w:tcW w:w="0" w:type="auto"/>
            <w:tcBorders>
              <w:bottom w:val="nil"/>
              <w:right w:val="nil"/>
            </w:tcBorders>
            <w:tcMar>
              <w:top w:w="75" w:type="dxa"/>
              <w:left w:w="75" w:type="dxa"/>
              <w:bottom w:w="75" w:type="dxa"/>
              <w:right w:w="75" w:type="dxa"/>
            </w:tcMar>
            <w:hideMark/>
          </w:tcPr>
          <w:p w14:paraId="1BAB7823" w14:textId="77777777" w:rsidR="00CF3ACB" w:rsidRPr="00CF3ACB" w:rsidRDefault="00CF3ACB" w:rsidP="00CF3ACB">
            <w:pPr>
              <w:spacing w:after="0" w:line="240" w:lineRule="auto"/>
              <w:rPr>
                <w:rFonts w:eastAsia="Times New Roman" w:cstheme="minorHAnsi"/>
                <w:sz w:val="20"/>
                <w:szCs w:val="20"/>
                <w:lang w:val="en-GB" w:eastAsia="en-GB"/>
              </w:rPr>
            </w:pPr>
            <w:r w:rsidRPr="00CF3ACB">
              <w:rPr>
                <w:rFonts w:eastAsia="Times New Roman" w:cstheme="minorHAnsi"/>
                <w:sz w:val="20"/>
                <w:szCs w:val="20"/>
                <w:lang w:val="en-GB" w:eastAsia="en-GB"/>
              </w:rPr>
              <w:t>WT</w:t>
            </w:r>
          </w:p>
        </w:tc>
        <w:tc>
          <w:tcPr>
            <w:tcW w:w="0" w:type="auto"/>
            <w:tcBorders>
              <w:bottom w:val="nil"/>
              <w:right w:val="nil"/>
            </w:tcBorders>
            <w:tcMar>
              <w:top w:w="75" w:type="dxa"/>
              <w:left w:w="75" w:type="dxa"/>
              <w:bottom w:w="75" w:type="dxa"/>
              <w:right w:w="75" w:type="dxa"/>
            </w:tcMar>
            <w:hideMark/>
          </w:tcPr>
          <w:p w14:paraId="1C2C9309" w14:textId="77777777" w:rsidR="00CF3ACB" w:rsidRPr="00CF3ACB" w:rsidRDefault="00CF3ACB" w:rsidP="00CF3ACB">
            <w:pPr>
              <w:spacing w:after="0" w:line="240" w:lineRule="auto"/>
              <w:rPr>
                <w:rFonts w:eastAsia="Times New Roman" w:cstheme="minorHAnsi"/>
                <w:sz w:val="20"/>
                <w:szCs w:val="20"/>
                <w:highlight w:val="magenta"/>
                <w:lang w:val="en-GB" w:eastAsia="en-GB"/>
              </w:rPr>
            </w:pPr>
            <w:r w:rsidRPr="00CF3ACB">
              <w:rPr>
                <w:rFonts w:eastAsia="Times New Roman" w:cstheme="minorHAnsi"/>
                <w:sz w:val="20"/>
                <w:szCs w:val="20"/>
                <w:highlight w:val="magenta"/>
                <w:lang w:val="en-GB" w:eastAsia="en-GB"/>
              </w:rPr>
              <w:t>1.97 ± 0.09</w:t>
            </w:r>
          </w:p>
        </w:tc>
        <w:tc>
          <w:tcPr>
            <w:tcW w:w="0" w:type="auto"/>
            <w:tcBorders>
              <w:bottom w:val="nil"/>
              <w:right w:val="nil"/>
            </w:tcBorders>
            <w:tcMar>
              <w:top w:w="75" w:type="dxa"/>
              <w:left w:w="75" w:type="dxa"/>
              <w:bottom w:w="75" w:type="dxa"/>
              <w:right w:w="75" w:type="dxa"/>
            </w:tcMar>
            <w:hideMark/>
          </w:tcPr>
          <w:p w14:paraId="75117C36" w14:textId="77777777" w:rsidR="00CF3ACB" w:rsidRPr="00CF3ACB" w:rsidRDefault="00CF3ACB" w:rsidP="00CF3ACB">
            <w:pPr>
              <w:spacing w:after="0" w:line="240" w:lineRule="auto"/>
              <w:rPr>
                <w:rFonts w:eastAsia="Times New Roman" w:cstheme="minorHAnsi"/>
                <w:sz w:val="20"/>
                <w:szCs w:val="20"/>
                <w:lang w:val="en-GB" w:eastAsia="en-GB"/>
              </w:rPr>
            </w:pPr>
            <w:r w:rsidRPr="00CF3ACB">
              <w:rPr>
                <w:rFonts w:eastAsia="Times New Roman" w:cstheme="minorHAnsi"/>
                <w:sz w:val="20"/>
                <w:szCs w:val="20"/>
                <w:lang w:val="en-GB" w:eastAsia="en-GB"/>
              </w:rPr>
              <w:t>0.52 ± 0.02</w:t>
            </w:r>
          </w:p>
        </w:tc>
        <w:tc>
          <w:tcPr>
            <w:tcW w:w="0" w:type="auto"/>
            <w:tcBorders>
              <w:bottom w:val="nil"/>
              <w:right w:val="nil"/>
            </w:tcBorders>
            <w:tcMar>
              <w:top w:w="75" w:type="dxa"/>
              <w:left w:w="75" w:type="dxa"/>
              <w:bottom w:w="75" w:type="dxa"/>
              <w:right w:w="75" w:type="dxa"/>
            </w:tcMar>
            <w:hideMark/>
          </w:tcPr>
          <w:p w14:paraId="3AD70972" w14:textId="77777777" w:rsidR="00CF3ACB" w:rsidRPr="00CF3ACB" w:rsidRDefault="00CF3ACB" w:rsidP="00CF3ACB">
            <w:pPr>
              <w:spacing w:after="0" w:line="240" w:lineRule="auto"/>
              <w:rPr>
                <w:rFonts w:eastAsia="Times New Roman" w:cstheme="minorHAnsi"/>
                <w:sz w:val="20"/>
                <w:szCs w:val="20"/>
                <w:lang w:val="en-GB" w:eastAsia="en-GB"/>
              </w:rPr>
            </w:pPr>
            <w:r w:rsidRPr="00CF3ACB">
              <w:rPr>
                <w:rFonts w:eastAsia="Times New Roman" w:cstheme="minorHAnsi"/>
                <w:sz w:val="20"/>
                <w:szCs w:val="20"/>
                <w:lang w:val="en-GB" w:eastAsia="en-GB"/>
              </w:rPr>
              <w:t>3.79 ± 0.22</w:t>
            </w:r>
          </w:p>
        </w:tc>
      </w:tr>
      <w:tr w:rsidR="002003C0" w:rsidRPr="002003C0" w14:paraId="37E8344B" w14:textId="77777777" w:rsidTr="00CF3ACB">
        <w:tc>
          <w:tcPr>
            <w:tcW w:w="0" w:type="auto"/>
            <w:tcBorders>
              <w:bottom w:val="nil"/>
              <w:right w:val="nil"/>
            </w:tcBorders>
            <w:tcMar>
              <w:top w:w="75" w:type="dxa"/>
              <w:left w:w="75" w:type="dxa"/>
              <w:bottom w:w="75" w:type="dxa"/>
              <w:right w:w="75" w:type="dxa"/>
            </w:tcMar>
            <w:hideMark/>
          </w:tcPr>
          <w:p w14:paraId="1110FD1E" w14:textId="77777777" w:rsidR="00CF3ACB" w:rsidRPr="00CF3ACB" w:rsidRDefault="00CF3ACB" w:rsidP="00CF3ACB">
            <w:pPr>
              <w:spacing w:after="0" w:line="240" w:lineRule="auto"/>
              <w:rPr>
                <w:rFonts w:eastAsia="Times New Roman" w:cstheme="minorHAnsi"/>
                <w:sz w:val="20"/>
                <w:szCs w:val="20"/>
                <w:highlight w:val="green"/>
                <w:lang w:val="en-GB" w:eastAsia="en-GB"/>
              </w:rPr>
            </w:pPr>
            <w:r w:rsidRPr="00CF3ACB">
              <w:rPr>
                <w:rFonts w:eastAsia="Times New Roman" w:cstheme="minorHAnsi"/>
                <w:sz w:val="20"/>
                <w:szCs w:val="20"/>
                <w:highlight w:val="green"/>
                <w:lang w:val="en-GB" w:eastAsia="en-GB"/>
              </w:rPr>
              <w:t>A19D</w:t>
            </w:r>
          </w:p>
        </w:tc>
        <w:tc>
          <w:tcPr>
            <w:tcW w:w="0" w:type="auto"/>
            <w:tcBorders>
              <w:bottom w:val="nil"/>
              <w:right w:val="nil"/>
            </w:tcBorders>
            <w:tcMar>
              <w:top w:w="75" w:type="dxa"/>
              <w:left w:w="75" w:type="dxa"/>
              <w:bottom w:w="75" w:type="dxa"/>
              <w:right w:w="75" w:type="dxa"/>
            </w:tcMar>
            <w:hideMark/>
          </w:tcPr>
          <w:p w14:paraId="53CB2138" w14:textId="77777777" w:rsidR="00CF3ACB" w:rsidRPr="00CF3ACB" w:rsidRDefault="00CF3ACB" w:rsidP="00CF3ACB">
            <w:pPr>
              <w:spacing w:after="0" w:line="240" w:lineRule="auto"/>
              <w:rPr>
                <w:rFonts w:eastAsia="Times New Roman" w:cstheme="minorHAnsi"/>
                <w:sz w:val="20"/>
                <w:szCs w:val="20"/>
                <w:highlight w:val="magenta"/>
                <w:lang w:val="en-GB" w:eastAsia="en-GB"/>
              </w:rPr>
            </w:pPr>
            <w:r w:rsidRPr="00CF3ACB">
              <w:rPr>
                <w:rFonts w:eastAsia="Times New Roman" w:cstheme="minorHAnsi"/>
                <w:sz w:val="20"/>
                <w:szCs w:val="20"/>
                <w:highlight w:val="magenta"/>
                <w:lang w:val="en-GB" w:eastAsia="en-GB"/>
              </w:rPr>
              <w:t>1.73 ± 0.07</w:t>
            </w:r>
          </w:p>
        </w:tc>
        <w:tc>
          <w:tcPr>
            <w:tcW w:w="0" w:type="auto"/>
            <w:tcBorders>
              <w:bottom w:val="nil"/>
              <w:right w:val="nil"/>
            </w:tcBorders>
            <w:tcMar>
              <w:top w:w="75" w:type="dxa"/>
              <w:left w:w="75" w:type="dxa"/>
              <w:bottom w:w="75" w:type="dxa"/>
              <w:right w:w="75" w:type="dxa"/>
            </w:tcMar>
            <w:hideMark/>
          </w:tcPr>
          <w:p w14:paraId="32C63976" w14:textId="77777777" w:rsidR="00CF3ACB" w:rsidRPr="00CF3ACB" w:rsidRDefault="00CF3ACB" w:rsidP="00CF3ACB">
            <w:pPr>
              <w:spacing w:after="0" w:line="240" w:lineRule="auto"/>
              <w:rPr>
                <w:rFonts w:eastAsia="Times New Roman" w:cstheme="minorHAnsi"/>
                <w:sz w:val="20"/>
                <w:szCs w:val="20"/>
                <w:lang w:val="en-GB" w:eastAsia="en-GB"/>
              </w:rPr>
            </w:pPr>
            <w:r w:rsidRPr="00CF3ACB">
              <w:rPr>
                <w:rFonts w:eastAsia="Times New Roman" w:cstheme="minorHAnsi"/>
                <w:sz w:val="20"/>
                <w:szCs w:val="20"/>
                <w:lang w:val="en-GB" w:eastAsia="en-GB"/>
              </w:rPr>
              <w:t>0.60 ± 0.03</w:t>
            </w:r>
          </w:p>
        </w:tc>
        <w:tc>
          <w:tcPr>
            <w:tcW w:w="0" w:type="auto"/>
            <w:tcBorders>
              <w:bottom w:val="nil"/>
              <w:right w:val="nil"/>
            </w:tcBorders>
            <w:tcMar>
              <w:top w:w="75" w:type="dxa"/>
              <w:left w:w="75" w:type="dxa"/>
              <w:bottom w:w="75" w:type="dxa"/>
              <w:right w:w="75" w:type="dxa"/>
            </w:tcMar>
            <w:hideMark/>
          </w:tcPr>
          <w:p w14:paraId="79972EB8" w14:textId="77777777" w:rsidR="00CF3ACB" w:rsidRPr="00CF3ACB" w:rsidRDefault="00CF3ACB" w:rsidP="00CF3ACB">
            <w:pPr>
              <w:spacing w:after="0" w:line="240" w:lineRule="auto"/>
              <w:rPr>
                <w:rFonts w:eastAsia="Times New Roman" w:cstheme="minorHAnsi"/>
                <w:sz w:val="20"/>
                <w:szCs w:val="20"/>
                <w:lang w:val="en-GB" w:eastAsia="en-GB"/>
              </w:rPr>
            </w:pPr>
            <w:r w:rsidRPr="00CF3ACB">
              <w:rPr>
                <w:rFonts w:eastAsia="Times New Roman" w:cstheme="minorHAnsi"/>
                <w:sz w:val="20"/>
                <w:szCs w:val="20"/>
                <w:lang w:val="en-GB" w:eastAsia="en-GB"/>
              </w:rPr>
              <w:t>2.88 ± 0.18</w:t>
            </w:r>
          </w:p>
        </w:tc>
      </w:tr>
      <w:tr w:rsidR="002003C0" w:rsidRPr="002003C0" w14:paraId="1DCFAEC5" w14:textId="77777777" w:rsidTr="00CF3ACB">
        <w:tc>
          <w:tcPr>
            <w:tcW w:w="0" w:type="auto"/>
            <w:tcBorders>
              <w:bottom w:val="nil"/>
              <w:right w:val="nil"/>
            </w:tcBorders>
            <w:tcMar>
              <w:top w:w="75" w:type="dxa"/>
              <w:left w:w="75" w:type="dxa"/>
              <w:bottom w:w="75" w:type="dxa"/>
              <w:right w:w="75" w:type="dxa"/>
            </w:tcMar>
            <w:hideMark/>
          </w:tcPr>
          <w:p w14:paraId="622AE701" w14:textId="77777777" w:rsidR="00CF3ACB" w:rsidRPr="00CF3ACB" w:rsidRDefault="00CF3ACB" w:rsidP="00CF3ACB">
            <w:pPr>
              <w:spacing w:after="0" w:line="240" w:lineRule="auto"/>
              <w:rPr>
                <w:rFonts w:eastAsia="Times New Roman" w:cstheme="minorHAnsi"/>
                <w:sz w:val="20"/>
                <w:szCs w:val="20"/>
                <w:highlight w:val="green"/>
                <w:lang w:val="en-GB" w:eastAsia="en-GB"/>
              </w:rPr>
            </w:pPr>
            <w:r w:rsidRPr="00CF3ACB">
              <w:rPr>
                <w:rFonts w:eastAsia="Times New Roman" w:cstheme="minorHAnsi"/>
                <w:sz w:val="20"/>
                <w:szCs w:val="20"/>
                <w:highlight w:val="green"/>
                <w:lang w:val="en-GB" w:eastAsia="en-GB"/>
              </w:rPr>
              <w:t>A19K</w:t>
            </w:r>
          </w:p>
        </w:tc>
        <w:tc>
          <w:tcPr>
            <w:tcW w:w="0" w:type="auto"/>
            <w:tcBorders>
              <w:bottom w:val="nil"/>
              <w:right w:val="nil"/>
            </w:tcBorders>
            <w:tcMar>
              <w:top w:w="75" w:type="dxa"/>
              <w:left w:w="75" w:type="dxa"/>
              <w:bottom w:w="75" w:type="dxa"/>
              <w:right w:w="75" w:type="dxa"/>
            </w:tcMar>
            <w:hideMark/>
          </w:tcPr>
          <w:p w14:paraId="22ECEF53" w14:textId="77777777" w:rsidR="00CF3ACB" w:rsidRPr="00CF3ACB" w:rsidRDefault="00CF3ACB" w:rsidP="00CF3ACB">
            <w:pPr>
              <w:spacing w:after="0" w:line="240" w:lineRule="auto"/>
              <w:rPr>
                <w:rFonts w:eastAsia="Times New Roman" w:cstheme="minorHAnsi"/>
                <w:sz w:val="20"/>
                <w:szCs w:val="20"/>
                <w:highlight w:val="magenta"/>
                <w:lang w:val="en-GB" w:eastAsia="en-GB"/>
              </w:rPr>
            </w:pPr>
            <w:r w:rsidRPr="00CF3ACB">
              <w:rPr>
                <w:rFonts w:eastAsia="Times New Roman" w:cstheme="minorHAnsi"/>
                <w:sz w:val="20"/>
                <w:szCs w:val="20"/>
                <w:highlight w:val="magenta"/>
                <w:lang w:val="en-GB" w:eastAsia="en-GB"/>
              </w:rPr>
              <w:t>1.51 ± 0.05</w:t>
            </w:r>
          </w:p>
        </w:tc>
        <w:tc>
          <w:tcPr>
            <w:tcW w:w="0" w:type="auto"/>
            <w:tcBorders>
              <w:bottom w:val="nil"/>
              <w:right w:val="nil"/>
            </w:tcBorders>
            <w:tcMar>
              <w:top w:w="75" w:type="dxa"/>
              <w:left w:w="75" w:type="dxa"/>
              <w:bottom w:w="75" w:type="dxa"/>
              <w:right w:w="75" w:type="dxa"/>
            </w:tcMar>
            <w:hideMark/>
          </w:tcPr>
          <w:p w14:paraId="76A61472" w14:textId="77777777" w:rsidR="00CF3ACB" w:rsidRPr="00CF3ACB" w:rsidRDefault="00CF3ACB" w:rsidP="00CF3ACB">
            <w:pPr>
              <w:spacing w:after="0" w:line="240" w:lineRule="auto"/>
              <w:rPr>
                <w:rFonts w:eastAsia="Times New Roman" w:cstheme="minorHAnsi"/>
                <w:sz w:val="20"/>
                <w:szCs w:val="20"/>
                <w:lang w:val="en-GB" w:eastAsia="en-GB"/>
              </w:rPr>
            </w:pPr>
            <w:r w:rsidRPr="00CF3ACB">
              <w:rPr>
                <w:rFonts w:eastAsia="Times New Roman" w:cstheme="minorHAnsi"/>
                <w:sz w:val="20"/>
                <w:szCs w:val="20"/>
                <w:lang w:val="en-GB" w:eastAsia="en-GB"/>
              </w:rPr>
              <w:t>0.52 ± 0.02</w:t>
            </w:r>
          </w:p>
        </w:tc>
        <w:tc>
          <w:tcPr>
            <w:tcW w:w="0" w:type="auto"/>
            <w:tcBorders>
              <w:bottom w:val="nil"/>
              <w:right w:val="nil"/>
            </w:tcBorders>
            <w:tcMar>
              <w:top w:w="75" w:type="dxa"/>
              <w:left w:w="75" w:type="dxa"/>
              <w:bottom w:w="75" w:type="dxa"/>
              <w:right w:w="75" w:type="dxa"/>
            </w:tcMar>
            <w:hideMark/>
          </w:tcPr>
          <w:p w14:paraId="5C6B5CB0" w14:textId="77777777" w:rsidR="00CF3ACB" w:rsidRPr="00CF3ACB" w:rsidRDefault="00CF3ACB" w:rsidP="00CF3ACB">
            <w:pPr>
              <w:spacing w:after="0" w:line="240" w:lineRule="auto"/>
              <w:rPr>
                <w:rFonts w:eastAsia="Times New Roman" w:cstheme="minorHAnsi"/>
                <w:sz w:val="20"/>
                <w:szCs w:val="20"/>
                <w:lang w:val="en-GB" w:eastAsia="en-GB"/>
              </w:rPr>
            </w:pPr>
            <w:r w:rsidRPr="00CF3ACB">
              <w:rPr>
                <w:rFonts w:eastAsia="Times New Roman" w:cstheme="minorHAnsi"/>
                <w:sz w:val="20"/>
                <w:szCs w:val="20"/>
                <w:lang w:val="en-GB" w:eastAsia="en-GB"/>
              </w:rPr>
              <w:t>2.90 ± 0.15</w:t>
            </w:r>
          </w:p>
        </w:tc>
      </w:tr>
      <w:tr w:rsidR="002003C0" w:rsidRPr="002003C0" w14:paraId="1887EF03" w14:textId="77777777" w:rsidTr="00CF3ACB">
        <w:tc>
          <w:tcPr>
            <w:tcW w:w="0" w:type="auto"/>
            <w:tcBorders>
              <w:bottom w:val="nil"/>
              <w:right w:val="nil"/>
            </w:tcBorders>
            <w:tcMar>
              <w:top w:w="75" w:type="dxa"/>
              <w:left w:w="75" w:type="dxa"/>
              <w:bottom w:w="75" w:type="dxa"/>
              <w:right w:w="75" w:type="dxa"/>
            </w:tcMar>
            <w:hideMark/>
          </w:tcPr>
          <w:p w14:paraId="43708572" w14:textId="77777777" w:rsidR="00CF3ACB" w:rsidRPr="00CF3ACB" w:rsidRDefault="00CF3ACB" w:rsidP="00CF3ACB">
            <w:pPr>
              <w:spacing w:after="0" w:line="240" w:lineRule="auto"/>
              <w:rPr>
                <w:rFonts w:eastAsia="Times New Roman" w:cstheme="minorHAnsi"/>
                <w:sz w:val="20"/>
                <w:szCs w:val="20"/>
                <w:highlight w:val="green"/>
                <w:lang w:val="en-GB" w:eastAsia="en-GB"/>
              </w:rPr>
            </w:pPr>
            <w:r w:rsidRPr="00CF3ACB">
              <w:rPr>
                <w:rFonts w:eastAsia="Times New Roman" w:cstheme="minorHAnsi"/>
                <w:sz w:val="20"/>
                <w:szCs w:val="20"/>
                <w:highlight w:val="green"/>
                <w:lang w:val="en-GB" w:eastAsia="en-GB"/>
              </w:rPr>
              <w:t>A19G</w:t>
            </w:r>
          </w:p>
        </w:tc>
        <w:tc>
          <w:tcPr>
            <w:tcW w:w="0" w:type="auto"/>
            <w:tcBorders>
              <w:bottom w:val="nil"/>
              <w:right w:val="nil"/>
            </w:tcBorders>
            <w:tcMar>
              <w:top w:w="75" w:type="dxa"/>
              <w:left w:w="75" w:type="dxa"/>
              <w:bottom w:w="75" w:type="dxa"/>
              <w:right w:w="75" w:type="dxa"/>
            </w:tcMar>
            <w:hideMark/>
          </w:tcPr>
          <w:p w14:paraId="4EBC4400" w14:textId="77777777" w:rsidR="00CF3ACB" w:rsidRPr="00CF3ACB" w:rsidRDefault="00CF3ACB" w:rsidP="00CF3ACB">
            <w:pPr>
              <w:spacing w:after="0" w:line="240" w:lineRule="auto"/>
              <w:rPr>
                <w:rFonts w:eastAsia="Times New Roman" w:cstheme="minorHAnsi"/>
                <w:sz w:val="20"/>
                <w:szCs w:val="20"/>
                <w:highlight w:val="magenta"/>
                <w:lang w:val="en-GB" w:eastAsia="en-GB"/>
              </w:rPr>
            </w:pPr>
            <w:r w:rsidRPr="00CF3ACB">
              <w:rPr>
                <w:rFonts w:eastAsia="Times New Roman" w:cstheme="minorHAnsi"/>
                <w:sz w:val="20"/>
                <w:szCs w:val="20"/>
                <w:highlight w:val="magenta"/>
                <w:lang w:val="en-GB" w:eastAsia="en-GB"/>
              </w:rPr>
              <w:t>2.03 ± 0.09</w:t>
            </w:r>
          </w:p>
        </w:tc>
        <w:tc>
          <w:tcPr>
            <w:tcW w:w="0" w:type="auto"/>
            <w:tcBorders>
              <w:bottom w:val="nil"/>
              <w:right w:val="nil"/>
            </w:tcBorders>
            <w:tcMar>
              <w:top w:w="75" w:type="dxa"/>
              <w:left w:w="75" w:type="dxa"/>
              <w:bottom w:w="75" w:type="dxa"/>
              <w:right w:w="75" w:type="dxa"/>
            </w:tcMar>
            <w:hideMark/>
          </w:tcPr>
          <w:p w14:paraId="278988D2" w14:textId="77777777" w:rsidR="00CF3ACB" w:rsidRPr="00CF3ACB" w:rsidRDefault="00CF3ACB" w:rsidP="00CF3ACB">
            <w:pPr>
              <w:spacing w:after="0" w:line="240" w:lineRule="auto"/>
              <w:rPr>
                <w:rFonts w:eastAsia="Times New Roman" w:cstheme="minorHAnsi"/>
                <w:sz w:val="20"/>
                <w:szCs w:val="20"/>
                <w:lang w:val="en-GB" w:eastAsia="en-GB"/>
              </w:rPr>
            </w:pPr>
            <w:r w:rsidRPr="00CF3ACB">
              <w:rPr>
                <w:rFonts w:eastAsia="Times New Roman" w:cstheme="minorHAnsi"/>
                <w:sz w:val="20"/>
                <w:szCs w:val="20"/>
                <w:lang w:val="en-GB" w:eastAsia="en-GB"/>
              </w:rPr>
              <w:t>0.44 ± 0.03</w:t>
            </w:r>
          </w:p>
        </w:tc>
        <w:tc>
          <w:tcPr>
            <w:tcW w:w="0" w:type="auto"/>
            <w:tcBorders>
              <w:bottom w:val="nil"/>
              <w:right w:val="nil"/>
            </w:tcBorders>
            <w:tcMar>
              <w:top w:w="75" w:type="dxa"/>
              <w:left w:w="75" w:type="dxa"/>
              <w:bottom w:w="75" w:type="dxa"/>
              <w:right w:w="75" w:type="dxa"/>
            </w:tcMar>
            <w:hideMark/>
          </w:tcPr>
          <w:p w14:paraId="6252AB71" w14:textId="77777777" w:rsidR="00CF3ACB" w:rsidRPr="00CF3ACB" w:rsidRDefault="00CF3ACB" w:rsidP="00CF3ACB">
            <w:pPr>
              <w:spacing w:after="0" w:line="240" w:lineRule="auto"/>
              <w:rPr>
                <w:rFonts w:eastAsia="Times New Roman" w:cstheme="minorHAnsi"/>
                <w:sz w:val="20"/>
                <w:szCs w:val="20"/>
                <w:lang w:val="en-GB" w:eastAsia="en-GB"/>
              </w:rPr>
            </w:pPr>
            <w:r w:rsidRPr="00CF3ACB">
              <w:rPr>
                <w:rFonts w:eastAsia="Times New Roman" w:cstheme="minorHAnsi"/>
                <w:sz w:val="20"/>
                <w:szCs w:val="20"/>
                <w:lang w:val="en-GB" w:eastAsia="en-GB"/>
              </w:rPr>
              <w:t>4.61 ± 0.37</w:t>
            </w:r>
          </w:p>
        </w:tc>
      </w:tr>
    </w:tbl>
    <w:p w14:paraId="31E8FB37" w14:textId="77777777" w:rsidR="00CF3ACB" w:rsidRPr="002003C0" w:rsidRDefault="00CF3ACB" w:rsidP="0061281B">
      <w:pPr>
        <w:spacing w:after="0" w:line="240" w:lineRule="auto"/>
        <w:rPr>
          <w:rFonts w:eastAsia="Times New Roman" w:cstheme="minorHAnsi"/>
          <w:sz w:val="20"/>
          <w:szCs w:val="20"/>
          <w:lang w:val="en-GB" w:eastAsia="en-GB"/>
        </w:rPr>
      </w:pPr>
      <w:r w:rsidRPr="00CF3ACB">
        <w:rPr>
          <w:rFonts w:eastAsia="Times New Roman" w:cstheme="minorHAnsi"/>
          <w:sz w:val="20"/>
          <w:szCs w:val="20"/>
          <w:lang w:val="en-GB" w:eastAsia="en-GB"/>
        </w:rPr>
        <w:t xml:space="preserve">In quantitative analysis of </w:t>
      </w:r>
      <w:r w:rsidRPr="00CF3ACB">
        <w:rPr>
          <w:rFonts w:eastAsia="Times New Roman" w:cstheme="minorHAnsi"/>
          <w:sz w:val="20"/>
          <w:szCs w:val="20"/>
          <w:highlight w:val="cyan"/>
          <w:lang w:val="en-GB" w:eastAsia="en-GB"/>
        </w:rPr>
        <w:t>urea denaturation</w:t>
      </w:r>
      <w:r w:rsidRPr="00CF3ACB">
        <w:rPr>
          <w:rFonts w:eastAsia="Times New Roman" w:cstheme="minorHAnsi"/>
          <w:sz w:val="20"/>
          <w:szCs w:val="20"/>
          <w:lang w:val="en-GB" w:eastAsia="en-GB"/>
        </w:rPr>
        <w:t xml:space="preserve"> curves by fitting of experimental data to equations </w:t>
      </w:r>
      <w:hyperlink r:id="rId21" w:anchor="fd1" w:history="1">
        <w:r w:rsidRPr="002003C0">
          <w:rPr>
            <w:rFonts w:eastAsia="Times New Roman" w:cstheme="minorHAnsi"/>
            <w:sz w:val="20"/>
            <w:szCs w:val="20"/>
            <w:u w:val="single"/>
            <w:lang w:val="en-GB" w:eastAsia="en-GB"/>
          </w:rPr>
          <w:t>(1)</w:t>
        </w:r>
      </w:hyperlink>
      <w:bookmarkEnd w:id="6"/>
      <w:r w:rsidRPr="00CF3ACB">
        <w:rPr>
          <w:rFonts w:eastAsia="Times New Roman" w:cstheme="minorHAnsi"/>
          <w:sz w:val="20"/>
          <w:szCs w:val="20"/>
          <w:lang w:val="en-GB" w:eastAsia="en-GB"/>
        </w:rPr>
        <w:t>, </w:t>
      </w:r>
      <w:bookmarkStart w:id="9" w:name="bfd2"/>
      <w:r w:rsidRPr="00CF3ACB">
        <w:rPr>
          <w:rFonts w:eastAsia="Times New Roman" w:cstheme="minorHAnsi"/>
          <w:sz w:val="20"/>
          <w:szCs w:val="20"/>
          <w:lang w:val="en-GB" w:eastAsia="en-GB"/>
        </w:rPr>
        <w:fldChar w:fldCharType="begin"/>
      </w:r>
      <w:r w:rsidRPr="00CF3ACB">
        <w:rPr>
          <w:rFonts w:eastAsia="Times New Roman" w:cstheme="minorHAnsi"/>
          <w:sz w:val="20"/>
          <w:szCs w:val="20"/>
          <w:lang w:val="en-GB" w:eastAsia="en-GB"/>
        </w:rPr>
        <w:instrText xml:space="preserve"> HYPERLINK "https://www.sciencedirect.com/science/article/pii/S0300908416301730?via%3Dihub" \l "fd2" </w:instrText>
      </w:r>
      <w:r w:rsidRPr="00CF3ACB">
        <w:rPr>
          <w:rFonts w:eastAsia="Times New Roman" w:cstheme="minorHAnsi"/>
          <w:sz w:val="20"/>
          <w:szCs w:val="20"/>
          <w:lang w:val="en-GB" w:eastAsia="en-GB"/>
        </w:rPr>
        <w:fldChar w:fldCharType="separate"/>
      </w:r>
      <w:r w:rsidRPr="002003C0">
        <w:rPr>
          <w:rFonts w:eastAsia="Times New Roman" w:cstheme="minorHAnsi"/>
          <w:sz w:val="20"/>
          <w:szCs w:val="20"/>
          <w:u w:val="single"/>
          <w:lang w:val="en-GB" w:eastAsia="en-GB"/>
        </w:rPr>
        <w:t>(2)</w:t>
      </w:r>
      <w:r w:rsidRPr="00CF3ACB">
        <w:rPr>
          <w:rFonts w:eastAsia="Times New Roman" w:cstheme="minorHAnsi"/>
          <w:sz w:val="20"/>
          <w:szCs w:val="20"/>
          <w:lang w:val="en-GB" w:eastAsia="en-GB"/>
        </w:rPr>
        <w:fldChar w:fldCharType="end"/>
      </w:r>
      <w:bookmarkEnd w:id="9"/>
      <w:r w:rsidRPr="00CF3ACB">
        <w:rPr>
          <w:rFonts w:eastAsia="Times New Roman" w:cstheme="minorHAnsi"/>
          <w:sz w:val="20"/>
          <w:szCs w:val="20"/>
          <w:lang w:val="en-GB" w:eastAsia="en-GB"/>
        </w:rPr>
        <w:t>, </w:t>
      </w:r>
      <w:bookmarkStart w:id="10" w:name="bfd3"/>
      <w:r w:rsidRPr="00CF3ACB">
        <w:rPr>
          <w:rFonts w:eastAsia="Times New Roman" w:cstheme="minorHAnsi"/>
          <w:sz w:val="20"/>
          <w:szCs w:val="20"/>
          <w:lang w:val="en-GB" w:eastAsia="en-GB"/>
        </w:rPr>
        <w:fldChar w:fldCharType="begin"/>
      </w:r>
      <w:r w:rsidRPr="00CF3ACB">
        <w:rPr>
          <w:rFonts w:eastAsia="Times New Roman" w:cstheme="minorHAnsi"/>
          <w:sz w:val="20"/>
          <w:szCs w:val="20"/>
          <w:lang w:val="en-GB" w:eastAsia="en-GB"/>
        </w:rPr>
        <w:instrText xml:space="preserve"> HYPERLINK "https://www.sciencedirect.com/science/article/pii/S0300908416301730?via%3Dihub" \l "fd3" </w:instrText>
      </w:r>
      <w:r w:rsidRPr="00CF3ACB">
        <w:rPr>
          <w:rFonts w:eastAsia="Times New Roman" w:cstheme="minorHAnsi"/>
          <w:sz w:val="20"/>
          <w:szCs w:val="20"/>
          <w:lang w:val="en-GB" w:eastAsia="en-GB"/>
        </w:rPr>
        <w:fldChar w:fldCharType="separate"/>
      </w:r>
      <w:r w:rsidRPr="002003C0">
        <w:rPr>
          <w:rFonts w:eastAsia="Times New Roman" w:cstheme="minorHAnsi"/>
          <w:sz w:val="20"/>
          <w:szCs w:val="20"/>
          <w:u w:val="single"/>
          <w:lang w:val="en-GB" w:eastAsia="en-GB"/>
        </w:rPr>
        <w:t>(3)</w:t>
      </w:r>
      <w:r w:rsidRPr="00CF3ACB">
        <w:rPr>
          <w:rFonts w:eastAsia="Times New Roman" w:cstheme="minorHAnsi"/>
          <w:sz w:val="20"/>
          <w:szCs w:val="20"/>
          <w:lang w:val="en-GB" w:eastAsia="en-GB"/>
        </w:rPr>
        <w:fldChar w:fldCharType="end"/>
      </w:r>
      <w:r w:rsidRPr="00CF3ACB">
        <w:rPr>
          <w:rFonts w:eastAsia="Times New Roman" w:cstheme="minorHAnsi"/>
          <w:sz w:val="20"/>
          <w:szCs w:val="20"/>
          <w:lang w:val="en-GB" w:eastAsia="en-GB"/>
        </w:rPr>
        <w:t>. The free energy change of protein in unfolding reaction at different concentration of urea is theoretically extrapolated to the zero concentration of urea by fitting experimental data to equation </w:t>
      </w:r>
      <w:hyperlink r:id="rId22" w:anchor="fd3" w:history="1">
        <w:r w:rsidRPr="002003C0">
          <w:rPr>
            <w:rFonts w:eastAsia="Times New Roman" w:cstheme="minorHAnsi"/>
            <w:sz w:val="20"/>
            <w:szCs w:val="20"/>
            <w:u w:val="single"/>
            <w:lang w:val="en-GB" w:eastAsia="en-GB"/>
          </w:rPr>
          <w:t>(3)</w:t>
        </w:r>
      </w:hyperlink>
      <w:bookmarkEnd w:id="10"/>
      <w:r w:rsidRPr="00CF3ACB">
        <w:rPr>
          <w:rFonts w:eastAsia="Times New Roman" w:cstheme="minorHAnsi"/>
          <w:sz w:val="20"/>
          <w:szCs w:val="20"/>
          <w:lang w:val="en-GB" w:eastAsia="en-GB"/>
        </w:rPr>
        <w:t> and reported as ΔG </w:t>
      </w:r>
      <w:r w:rsidRPr="00CF3ACB">
        <w:rPr>
          <w:rFonts w:eastAsia="Times New Roman" w:cstheme="minorHAnsi"/>
          <w:sz w:val="20"/>
          <w:szCs w:val="20"/>
          <w:vertAlign w:val="subscript"/>
          <w:lang w:val="en-GB" w:eastAsia="en-GB"/>
        </w:rPr>
        <w:t>(H2O)</w:t>
      </w:r>
      <w:r w:rsidRPr="00CF3ACB">
        <w:rPr>
          <w:rFonts w:eastAsia="Times New Roman" w:cstheme="minorHAnsi"/>
          <w:sz w:val="20"/>
          <w:szCs w:val="20"/>
          <w:lang w:val="en-GB" w:eastAsia="en-GB"/>
        </w:rPr>
        <w:t>.</w:t>
      </w:r>
    </w:p>
    <w:p w14:paraId="51FA3E80" w14:textId="77777777" w:rsidR="0061281B" w:rsidRPr="002003C0" w:rsidRDefault="0061281B" w:rsidP="0061281B">
      <w:pPr>
        <w:pBdr>
          <w:bottom w:val="single" w:sz="12" w:space="1" w:color="auto"/>
        </w:pBdr>
        <w:spacing w:after="0" w:line="240" w:lineRule="auto"/>
        <w:rPr>
          <w:rFonts w:eastAsia="Times New Roman" w:cstheme="minorHAnsi"/>
          <w:sz w:val="20"/>
          <w:szCs w:val="20"/>
          <w:lang w:val="en-GB" w:eastAsia="en-GB"/>
        </w:rPr>
      </w:pPr>
    </w:p>
    <w:p w14:paraId="083CA652" w14:textId="77777777" w:rsidR="0061281B" w:rsidRPr="002003C0" w:rsidRDefault="0061281B" w:rsidP="0061281B">
      <w:pPr>
        <w:spacing w:after="0" w:line="240" w:lineRule="auto"/>
        <w:rPr>
          <w:rFonts w:eastAsia="Times New Roman" w:cstheme="minorHAnsi"/>
          <w:sz w:val="20"/>
          <w:szCs w:val="20"/>
          <w:lang w:val="en-GB" w:eastAsia="en-GB"/>
        </w:rPr>
      </w:pPr>
    </w:p>
    <w:p w14:paraId="131301EF" w14:textId="37831176" w:rsidR="00C66280" w:rsidRPr="003967FE" w:rsidRDefault="00C66280" w:rsidP="00C66280">
      <w:pPr>
        <w:spacing w:line="330" w:lineRule="atLeast"/>
        <w:ind w:left="360" w:right="360"/>
        <w:rPr>
          <w:rFonts w:eastAsia="Times New Roman" w:cstheme="minorHAnsi"/>
          <w:b/>
          <w:bCs/>
          <w:sz w:val="20"/>
          <w:szCs w:val="20"/>
          <w:lang w:val="en-GB" w:eastAsia="en-GB"/>
        </w:rPr>
      </w:pPr>
      <w:r w:rsidRPr="005A7357">
        <w:rPr>
          <w:rFonts w:eastAsia="Times New Roman" w:cstheme="minorHAnsi"/>
          <w:b/>
          <w:bCs/>
          <w:sz w:val="20"/>
          <w:szCs w:val="20"/>
          <w:lang w:val="en-GB" w:eastAsia="en-GB"/>
        </w:rPr>
        <w:t>S</w:t>
      </w:r>
      <w:r w:rsidR="000143E9" w:rsidRPr="000143E9">
        <w:rPr>
          <w:rFonts w:eastAsia="Times New Roman" w:cstheme="minorHAnsi"/>
          <w:b/>
          <w:bCs/>
          <w:sz w:val="20"/>
          <w:szCs w:val="20"/>
          <w:lang w:val="en-GB" w:eastAsia="en-GB"/>
        </w:rPr>
        <w:t>tability 04 (PMID: 28250938)</w:t>
      </w:r>
    </w:p>
    <w:p w14:paraId="19C547E5" w14:textId="0AD2677E" w:rsidR="0061281B" w:rsidRPr="002003C0" w:rsidRDefault="0061281B" w:rsidP="0061281B">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 xml:space="preserve">Wild-type </w:t>
      </w:r>
      <w:r w:rsidRPr="002003C0">
        <w:rPr>
          <w:rFonts w:eastAsia="Times New Roman" w:cstheme="minorHAnsi"/>
          <w:sz w:val="20"/>
          <w:szCs w:val="20"/>
          <w:highlight w:val="yellow"/>
          <w:lang w:val="en-GB" w:eastAsia="en-GB"/>
        </w:rPr>
        <w:t>FimH</w:t>
      </w:r>
      <w:r w:rsidRPr="002003C0">
        <w:rPr>
          <w:rFonts w:eastAsia="Times New Roman" w:cstheme="minorHAnsi"/>
          <w:sz w:val="20"/>
          <w:szCs w:val="20"/>
          <w:lang w:val="en-GB" w:eastAsia="en-GB"/>
        </w:rPr>
        <w:t xml:space="preserve"> and the two mutants were expressed in the protease-deficient E. coli HM 125, extracted from the periplasm and purified to homogeneity (Fig. 1</w:t>
      </w:r>
      <w:r w:rsidRPr="002003C0">
        <w:rPr>
          <w:rFonts w:ascii="Cambria Math" w:eastAsia="Times New Roman" w:hAnsi="Cambria Math" w:cs="Cambria Math"/>
          <w:sz w:val="20"/>
          <w:szCs w:val="20"/>
          <w:lang w:val="en-GB" w:eastAsia="en-GB"/>
        </w:rPr>
        <w:t>▸</w:t>
      </w:r>
      <w:r w:rsidRPr="002003C0">
        <w:rPr>
          <w:rFonts w:eastAsia="Times New Roman" w:cstheme="minorHAnsi"/>
          <w:sz w:val="20"/>
          <w:szCs w:val="20"/>
          <w:lang w:val="en-GB" w:eastAsia="en-GB"/>
        </w:rPr>
        <w:t xml:space="preserve"> a). Their exact molecular weights were confirmed by ESI-MS (Supplementary Fig. S1). Identical CD spectrum profiles (Fig. 1</w:t>
      </w:r>
      <w:r w:rsidRPr="002003C0">
        <w:rPr>
          <w:rFonts w:ascii="Cambria Math" w:eastAsia="Times New Roman" w:hAnsi="Cambria Math" w:cs="Cambria Math"/>
          <w:sz w:val="20"/>
          <w:szCs w:val="20"/>
          <w:lang w:val="en-GB" w:eastAsia="en-GB"/>
        </w:rPr>
        <w:t>▸</w:t>
      </w:r>
      <w:r w:rsidRPr="002003C0">
        <w:rPr>
          <w:rFonts w:eastAsia="Times New Roman" w:cstheme="minorHAnsi"/>
          <w:sz w:val="20"/>
          <w:szCs w:val="20"/>
          <w:lang w:val="en-GB" w:eastAsia="en-GB"/>
        </w:rPr>
        <w:t xml:space="preserve"> b) indicate that the mutants in the native conformation retain a similar secondary structure to the wild type (WT). Furthermore, the stability of the mutants is preserved, as verified by </w:t>
      </w:r>
      <w:r w:rsidRPr="002003C0">
        <w:rPr>
          <w:rFonts w:eastAsia="Times New Roman" w:cstheme="minorHAnsi"/>
          <w:sz w:val="20"/>
          <w:szCs w:val="20"/>
          <w:highlight w:val="cyan"/>
          <w:lang w:val="en-GB" w:eastAsia="en-GB"/>
        </w:rPr>
        <w:t>GdmCl-unfolding experiments</w:t>
      </w:r>
      <w:r w:rsidRPr="002003C0">
        <w:rPr>
          <w:rFonts w:eastAsia="Times New Roman" w:cstheme="minorHAnsi"/>
          <w:sz w:val="20"/>
          <w:szCs w:val="20"/>
          <w:lang w:val="en-GB" w:eastAsia="en-GB"/>
        </w:rPr>
        <w:t>. The conformational transition curves of the WT and the mutants show superimposable profiles, with similar transition midpoint values (Fig. 1</w:t>
      </w:r>
      <w:r w:rsidRPr="002003C0">
        <w:rPr>
          <w:rFonts w:ascii="Cambria Math" w:eastAsia="Times New Roman" w:hAnsi="Cambria Math" w:cs="Cambria Math"/>
          <w:sz w:val="20"/>
          <w:szCs w:val="20"/>
          <w:lang w:val="en-GB" w:eastAsia="en-GB"/>
        </w:rPr>
        <w:t>▸</w:t>
      </w:r>
      <w:r w:rsidRPr="002003C0">
        <w:rPr>
          <w:rFonts w:eastAsia="Times New Roman" w:cstheme="minorHAnsi"/>
          <w:sz w:val="20"/>
          <w:szCs w:val="20"/>
          <w:lang w:val="en-GB" w:eastAsia="en-GB"/>
        </w:rPr>
        <w:t xml:space="preserve"> c). The free energy of folding and the folding cooperativity for the WT and the </w:t>
      </w:r>
      <w:r w:rsidRPr="002003C0">
        <w:rPr>
          <w:rFonts w:eastAsia="Times New Roman" w:cstheme="minorHAnsi"/>
          <w:sz w:val="20"/>
          <w:szCs w:val="20"/>
          <w:highlight w:val="green"/>
          <w:lang w:val="en-GB" w:eastAsia="en-GB"/>
        </w:rPr>
        <w:t>Y48A</w:t>
      </w:r>
      <w:r w:rsidRPr="002003C0">
        <w:rPr>
          <w:rFonts w:eastAsia="Times New Roman" w:cstheme="minorHAnsi"/>
          <w:sz w:val="20"/>
          <w:szCs w:val="20"/>
          <w:lang w:val="en-GB" w:eastAsia="en-GB"/>
        </w:rPr>
        <w:t xml:space="preserve"> and </w:t>
      </w:r>
      <w:r w:rsidRPr="002003C0">
        <w:rPr>
          <w:rFonts w:eastAsia="Times New Roman" w:cstheme="minorHAnsi"/>
          <w:sz w:val="20"/>
          <w:szCs w:val="20"/>
          <w:highlight w:val="green"/>
          <w:lang w:val="en-GB" w:eastAsia="en-GB"/>
        </w:rPr>
        <w:t>Y137A</w:t>
      </w:r>
      <w:r w:rsidRPr="002003C0">
        <w:rPr>
          <w:rFonts w:eastAsia="Times New Roman" w:cstheme="minorHAnsi"/>
          <w:sz w:val="20"/>
          <w:szCs w:val="20"/>
          <w:lang w:val="en-GB" w:eastAsia="en-GB"/>
        </w:rPr>
        <w:t xml:space="preserve"> mutants indicate that the </w:t>
      </w:r>
      <w:r w:rsidRPr="002003C0">
        <w:rPr>
          <w:rFonts w:eastAsia="Times New Roman" w:cstheme="minorHAnsi"/>
          <w:sz w:val="20"/>
          <w:szCs w:val="20"/>
          <w:highlight w:val="green"/>
          <w:lang w:val="en-GB" w:eastAsia="en-GB"/>
        </w:rPr>
        <w:t>Y48A</w:t>
      </w:r>
      <w:r w:rsidRPr="002003C0">
        <w:rPr>
          <w:rFonts w:eastAsia="Times New Roman" w:cstheme="minorHAnsi"/>
          <w:sz w:val="20"/>
          <w:szCs w:val="20"/>
          <w:lang w:val="en-GB" w:eastAsia="en-GB"/>
        </w:rPr>
        <w:t xml:space="preserve"> mutant is the </w:t>
      </w:r>
      <w:r w:rsidRPr="002003C0">
        <w:rPr>
          <w:rFonts w:eastAsia="Times New Roman" w:cstheme="minorHAnsi"/>
          <w:sz w:val="20"/>
          <w:szCs w:val="20"/>
          <w:highlight w:val="magenta"/>
          <w:lang w:val="en-GB" w:eastAsia="en-GB"/>
        </w:rPr>
        <w:t>least stable</w:t>
      </w:r>
      <w:r w:rsidRPr="002003C0">
        <w:rPr>
          <w:rFonts w:eastAsia="Times New Roman" w:cstheme="minorHAnsi"/>
          <w:sz w:val="20"/>
          <w:szCs w:val="20"/>
          <w:lang w:val="en-GB" w:eastAsia="en-GB"/>
        </w:rPr>
        <w:t xml:space="preserve"> protein, with the lowest folding cooperativity, whereas </w:t>
      </w:r>
      <w:r w:rsidRPr="002003C0">
        <w:rPr>
          <w:rFonts w:eastAsia="Times New Roman" w:cstheme="minorHAnsi"/>
          <w:sz w:val="20"/>
          <w:szCs w:val="20"/>
          <w:highlight w:val="yellow"/>
          <w:lang w:val="en-GB" w:eastAsia="en-GB"/>
        </w:rPr>
        <w:t>FimH</w:t>
      </w:r>
      <w:r w:rsidRPr="002003C0">
        <w:rPr>
          <w:rFonts w:eastAsia="Times New Roman" w:cstheme="minorHAnsi"/>
          <w:sz w:val="20"/>
          <w:szCs w:val="20"/>
          <w:lang w:val="en-GB" w:eastAsia="en-GB"/>
        </w:rPr>
        <w:t xml:space="preserve"> may even be </w:t>
      </w:r>
      <w:r w:rsidRPr="002003C0">
        <w:rPr>
          <w:rFonts w:eastAsia="Times New Roman" w:cstheme="minorHAnsi"/>
          <w:sz w:val="20"/>
          <w:szCs w:val="20"/>
          <w:highlight w:val="magenta"/>
          <w:lang w:val="en-GB" w:eastAsia="en-GB"/>
        </w:rPr>
        <w:t>stabilized</w:t>
      </w:r>
      <w:r w:rsidRPr="002003C0">
        <w:rPr>
          <w:rFonts w:eastAsia="Times New Roman" w:cstheme="minorHAnsi"/>
          <w:sz w:val="20"/>
          <w:szCs w:val="20"/>
          <w:lang w:val="en-GB" w:eastAsia="en-GB"/>
        </w:rPr>
        <w:t xml:space="preserve"> by the </w:t>
      </w:r>
      <w:r w:rsidRPr="002003C0">
        <w:rPr>
          <w:rFonts w:eastAsia="Times New Roman" w:cstheme="minorHAnsi"/>
          <w:sz w:val="20"/>
          <w:szCs w:val="20"/>
          <w:highlight w:val="green"/>
          <w:lang w:val="en-GB" w:eastAsia="en-GB"/>
        </w:rPr>
        <w:t>Y137A</w:t>
      </w:r>
      <w:r w:rsidRPr="002003C0">
        <w:rPr>
          <w:rFonts w:eastAsia="Times New Roman" w:cstheme="minorHAnsi"/>
          <w:sz w:val="20"/>
          <w:szCs w:val="20"/>
          <w:lang w:val="en-GB" w:eastAsia="en-GB"/>
        </w:rPr>
        <w:t xml:space="preserve"> mutation (Table 2</w:t>
      </w:r>
      <w:r w:rsidRPr="002003C0">
        <w:rPr>
          <w:rFonts w:ascii="Cambria Math" w:eastAsia="Times New Roman" w:hAnsi="Cambria Math" w:cs="Cambria Math"/>
          <w:sz w:val="20"/>
          <w:szCs w:val="20"/>
          <w:lang w:val="en-GB" w:eastAsia="en-GB"/>
        </w:rPr>
        <w:t>▸</w:t>
      </w:r>
      <w:r w:rsidRPr="002003C0">
        <w:rPr>
          <w:rFonts w:eastAsia="Times New Roman" w:cstheme="minorHAnsi"/>
          <w:sz w:val="20"/>
          <w:szCs w:val="20"/>
          <w:lang w:val="en-GB" w:eastAsia="en-GB"/>
        </w:rPr>
        <w:t>).</w:t>
      </w:r>
    </w:p>
    <w:p w14:paraId="4063E732" w14:textId="77777777" w:rsidR="0061281B" w:rsidRPr="002003C0" w:rsidRDefault="0061281B" w:rsidP="0061281B">
      <w:pPr>
        <w:spacing w:after="0" w:line="240" w:lineRule="auto"/>
        <w:rPr>
          <w:rFonts w:eastAsia="Times New Roman" w:cstheme="minorHAnsi"/>
          <w:sz w:val="20"/>
          <w:szCs w:val="20"/>
          <w:lang w:val="en-GB" w:eastAsia="en-GB"/>
        </w:rPr>
      </w:pPr>
    </w:p>
    <w:p w14:paraId="53A93C2F" w14:textId="77777777" w:rsidR="0061281B" w:rsidRPr="002003C0" w:rsidRDefault="0061281B" w:rsidP="0061281B">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 xml:space="preserve">Table 2. Stability and folding cooperativity of </w:t>
      </w:r>
      <w:r w:rsidRPr="002003C0">
        <w:rPr>
          <w:rFonts w:eastAsia="Times New Roman" w:cstheme="minorHAnsi"/>
          <w:sz w:val="20"/>
          <w:szCs w:val="20"/>
          <w:highlight w:val="yellow"/>
          <w:lang w:val="en-GB" w:eastAsia="en-GB"/>
        </w:rPr>
        <w:t>FimH</w:t>
      </w:r>
      <w:r w:rsidRPr="002003C0">
        <w:rPr>
          <w:rFonts w:eastAsia="Times New Roman" w:cstheme="minorHAnsi"/>
          <w:sz w:val="20"/>
          <w:szCs w:val="20"/>
          <w:lang w:val="en-GB" w:eastAsia="en-GB"/>
        </w:rPr>
        <w:t xml:space="preserve"> tyrosine-gate mutants as derived from </w:t>
      </w:r>
      <w:r w:rsidRPr="002003C0">
        <w:rPr>
          <w:rFonts w:eastAsia="Times New Roman" w:cstheme="minorHAnsi"/>
          <w:sz w:val="20"/>
          <w:szCs w:val="20"/>
          <w:highlight w:val="cyan"/>
          <w:lang w:val="en-GB" w:eastAsia="en-GB"/>
        </w:rPr>
        <w:t>GdmCl-induced unfolding</w:t>
      </w:r>
      <w:r w:rsidRPr="002003C0">
        <w:rPr>
          <w:rFonts w:eastAsia="Times New Roman" w:cstheme="minorHAnsi"/>
          <w:sz w:val="20"/>
          <w:szCs w:val="20"/>
          <w:lang w:val="en-GB" w:eastAsia="en-GB"/>
        </w:rPr>
        <w:t xml:space="preserve"> (Fig. 1</w:t>
      </w:r>
      <w:r w:rsidRPr="002003C0">
        <w:rPr>
          <w:rFonts w:ascii="Cambria Math" w:eastAsia="Times New Roman" w:hAnsi="Cambria Math" w:cs="Cambria Math"/>
          <w:sz w:val="20"/>
          <w:szCs w:val="20"/>
          <w:lang w:val="en-GB" w:eastAsia="en-GB"/>
        </w:rPr>
        <w:t>▸</w:t>
      </w:r>
      <w:r w:rsidRPr="002003C0">
        <w:rPr>
          <w:rFonts w:eastAsia="Times New Roman" w:cstheme="minorHAnsi"/>
          <w:sz w:val="20"/>
          <w:szCs w:val="20"/>
          <w:lang w:val="en-GB" w:eastAsia="en-GB"/>
        </w:rPr>
        <w:t xml:space="preserve"> c)</w:t>
      </w:r>
    </w:p>
    <w:p w14:paraId="1E76BACE" w14:textId="77777777" w:rsidR="0061281B" w:rsidRPr="002003C0" w:rsidRDefault="0061281B" w:rsidP="0061281B">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All energies are given in kJ mol−1.</w:t>
      </w:r>
    </w:p>
    <w:p w14:paraId="4BE9419C" w14:textId="77777777" w:rsidR="0061281B" w:rsidRPr="002003C0" w:rsidRDefault="0061281B" w:rsidP="0061281B">
      <w:pPr>
        <w:spacing w:after="0" w:line="240" w:lineRule="auto"/>
        <w:rPr>
          <w:rFonts w:eastAsia="Times New Roman" w:cstheme="minorHAnsi"/>
          <w:sz w:val="20"/>
          <w:szCs w:val="20"/>
          <w:lang w:val="en-GB" w:eastAsia="en-GB"/>
        </w:rPr>
      </w:pPr>
    </w:p>
    <w:p w14:paraId="4E86D02B" w14:textId="77777777" w:rsidR="0061281B" w:rsidRPr="002003C0" w:rsidRDefault="0061281B" w:rsidP="0061281B">
      <w:pPr>
        <w:spacing w:after="0" w:line="240" w:lineRule="auto"/>
        <w:rPr>
          <w:rFonts w:eastAsia="Times New Roman" w:cstheme="minorHAnsi"/>
          <w:sz w:val="20"/>
          <w:szCs w:val="20"/>
          <w:lang w:val="es-US" w:eastAsia="en-GB"/>
        </w:rPr>
      </w:pPr>
      <w:r w:rsidRPr="002003C0">
        <w:rPr>
          <w:rFonts w:eastAsia="Times New Roman" w:cstheme="minorHAnsi"/>
          <w:sz w:val="20"/>
          <w:szCs w:val="20"/>
          <w:lang w:val="en-GB" w:eastAsia="en-GB"/>
        </w:rPr>
        <w:t xml:space="preserve"> </w:t>
      </w:r>
      <w:r w:rsidRPr="002003C0">
        <w:rPr>
          <w:rFonts w:eastAsia="Times New Roman" w:cstheme="minorHAnsi"/>
          <w:sz w:val="20"/>
          <w:szCs w:val="20"/>
          <w:lang w:val="en-GB" w:eastAsia="en-GB"/>
        </w:rPr>
        <w:tab/>
      </w:r>
      <w:r w:rsidRPr="002003C0">
        <w:rPr>
          <w:rFonts w:eastAsia="Times New Roman" w:cstheme="minorHAnsi"/>
          <w:sz w:val="20"/>
          <w:szCs w:val="20"/>
          <w:lang w:val="es-US" w:eastAsia="en-GB"/>
        </w:rPr>
        <w:t xml:space="preserve">WT </w:t>
      </w:r>
      <w:r w:rsidRPr="002003C0">
        <w:rPr>
          <w:rFonts w:eastAsia="Times New Roman" w:cstheme="minorHAnsi"/>
          <w:sz w:val="20"/>
          <w:szCs w:val="20"/>
          <w:highlight w:val="yellow"/>
          <w:lang w:val="es-US" w:eastAsia="en-GB"/>
        </w:rPr>
        <w:t>FimH</w:t>
      </w:r>
      <w:r w:rsidRPr="002003C0">
        <w:rPr>
          <w:rFonts w:eastAsia="Times New Roman" w:cstheme="minorHAnsi"/>
          <w:sz w:val="20"/>
          <w:szCs w:val="20"/>
          <w:lang w:val="es-US" w:eastAsia="en-GB"/>
        </w:rPr>
        <w:tab/>
      </w:r>
      <w:r w:rsidRPr="002003C0">
        <w:rPr>
          <w:rFonts w:eastAsia="Times New Roman" w:cstheme="minorHAnsi"/>
          <w:sz w:val="20"/>
          <w:szCs w:val="20"/>
          <w:highlight w:val="green"/>
          <w:lang w:val="es-US" w:eastAsia="en-GB"/>
        </w:rPr>
        <w:t xml:space="preserve">Y48A </w:t>
      </w:r>
      <w:r w:rsidRPr="002003C0">
        <w:rPr>
          <w:rFonts w:eastAsia="Times New Roman" w:cstheme="minorHAnsi"/>
          <w:sz w:val="20"/>
          <w:szCs w:val="20"/>
          <w:highlight w:val="yellow"/>
          <w:lang w:val="es-US" w:eastAsia="en-GB"/>
        </w:rPr>
        <w:t>FimH</w:t>
      </w:r>
      <w:r w:rsidRPr="002003C0">
        <w:rPr>
          <w:rFonts w:eastAsia="Times New Roman" w:cstheme="minorHAnsi"/>
          <w:sz w:val="20"/>
          <w:szCs w:val="20"/>
          <w:lang w:val="es-US" w:eastAsia="en-GB"/>
        </w:rPr>
        <w:tab/>
      </w:r>
      <w:r w:rsidRPr="002003C0">
        <w:rPr>
          <w:rFonts w:eastAsia="Times New Roman" w:cstheme="minorHAnsi"/>
          <w:sz w:val="20"/>
          <w:szCs w:val="20"/>
          <w:highlight w:val="green"/>
          <w:lang w:val="es-US" w:eastAsia="en-GB"/>
        </w:rPr>
        <w:t xml:space="preserve">Y137A </w:t>
      </w:r>
      <w:r w:rsidRPr="002003C0">
        <w:rPr>
          <w:rFonts w:eastAsia="Times New Roman" w:cstheme="minorHAnsi"/>
          <w:sz w:val="20"/>
          <w:szCs w:val="20"/>
          <w:highlight w:val="yellow"/>
          <w:lang w:val="es-US" w:eastAsia="en-GB"/>
        </w:rPr>
        <w:t>FimH</w:t>
      </w:r>
    </w:p>
    <w:p w14:paraId="24ECDAF0" w14:textId="77777777" w:rsidR="0061281B" w:rsidRPr="002003C0" w:rsidRDefault="0061281B" w:rsidP="0061281B">
      <w:pPr>
        <w:spacing w:after="0" w:line="240" w:lineRule="auto"/>
        <w:rPr>
          <w:rFonts w:eastAsia="Times New Roman" w:cstheme="minorHAnsi"/>
          <w:sz w:val="20"/>
          <w:szCs w:val="20"/>
          <w:lang w:val="en-GB" w:eastAsia="en-GB"/>
        </w:rPr>
      </w:pPr>
      <w:r w:rsidRPr="002003C0">
        <w:rPr>
          <w:rFonts w:eastAsia="Times New Roman" w:cstheme="minorHAnsi"/>
          <w:sz w:val="20"/>
          <w:szCs w:val="20"/>
          <w:highlight w:val="magenta"/>
          <w:lang w:val="en-GB" w:eastAsia="en-GB"/>
        </w:rPr>
        <w:t>Free energy of folding</w:t>
      </w:r>
      <w:r w:rsidRPr="002003C0">
        <w:rPr>
          <w:rFonts w:eastAsia="Times New Roman" w:cstheme="minorHAnsi"/>
          <w:sz w:val="20"/>
          <w:szCs w:val="20"/>
          <w:highlight w:val="magenta"/>
          <w:lang w:val="en-GB" w:eastAsia="en-GB"/>
        </w:rPr>
        <w:tab/>
        <w:t>−50.00 ± 3.07</w:t>
      </w:r>
      <w:r w:rsidRPr="002003C0">
        <w:rPr>
          <w:rFonts w:eastAsia="Times New Roman" w:cstheme="minorHAnsi"/>
          <w:sz w:val="20"/>
          <w:szCs w:val="20"/>
          <w:highlight w:val="magenta"/>
          <w:lang w:val="en-GB" w:eastAsia="en-GB"/>
        </w:rPr>
        <w:tab/>
        <w:t>−44.05 ± 2.37</w:t>
      </w:r>
      <w:r w:rsidRPr="002003C0">
        <w:rPr>
          <w:rFonts w:eastAsia="Times New Roman" w:cstheme="minorHAnsi"/>
          <w:sz w:val="20"/>
          <w:szCs w:val="20"/>
          <w:highlight w:val="magenta"/>
          <w:lang w:val="en-GB" w:eastAsia="en-GB"/>
        </w:rPr>
        <w:tab/>
        <w:t>−53.71 ± 4.53</w:t>
      </w:r>
    </w:p>
    <w:p w14:paraId="2D97F072" w14:textId="77777777" w:rsidR="0061281B" w:rsidRPr="002003C0" w:rsidRDefault="0061281B" w:rsidP="0061281B">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Folding cooperativity</w:t>
      </w:r>
      <w:r w:rsidRPr="002003C0">
        <w:rPr>
          <w:rFonts w:eastAsia="Times New Roman" w:cstheme="minorHAnsi"/>
          <w:sz w:val="20"/>
          <w:szCs w:val="20"/>
          <w:lang w:val="en-GB" w:eastAsia="en-GB"/>
        </w:rPr>
        <w:tab/>
        <w:t>18.17 ± 1.11</w:t>
      </w:r>
      <w:r w:rsidRPr="002003C0">
        <w:rPr>
          <w:rFonts w:eastAsia="Times New Roman" w:cstheme="minorHAnsi"/>
          <w:sz w:val="20"/>
          <w:szCs w:val="20"/>
          <w:lang w:val="en-GB" w:eastAsia="en-GB"/>
        </w:rPr>
        <w:tab/>
        <w:t>15.95 ± 0.85</w:t>
      </w:r>
      <w:r w:rsidRPr="002003C0">
        <w:rPr>
          <w:rFonts w:eastAsia="Times New Roman" w:cstheme="minorHAnsi"/>
          <w:sz w:val="20"/>
          <w:szCs w:val="20"/>
          <w:lang w:val="en-GB" w:eastAsia="en-GB"/>
        </w:rPr>
        <w:tab/>
        <w:t>19.63 ± 1.64</w:t>
      </w:r>
    </w:p>
    <w:p w14:paraId="38F0154A" w14:textId="77777777" w:rsidR="0061281B" w:rsidRPr="002003C0" w:rsidRDefault="0061281B" w:rsidP="0061281B">
      <w:pPr>
        <w:pBdr>
          <w:bottom w:val="single" w:sz="12" w:space="1" w:color="auto"/>
        </w:pBdr>
        <w:spacing w:after="0" w:line="240" w:lineRule="auto"/>
        <w:rPr>
          <w:rFonts w:eastAsia="Times New Roman" w:cstheme="minorHAnsi"/>
          <w:sz w:val="20"/>
          <w:szCs w:val="20"/>
          <w:lang w:val="en-GB" w:eastAsia="en-GB"/>
        </w:rPr>
      </w:pPr>
    </w:p>
    <w:p w14:paraId="6D6D837C" w14:textId="77777777" w:rsidR="0061281B" w:rsidRPr="002003C0" w:rsidRDefault="0061281B" w:rsidP="0061281B">
      <w:pPr>
        <w:spacing w:after="0" w:line="240" w:lineRule="auto"/>
        <w:rPr>
          <w:rFonts w:eastAsia="Times New Roman" w:cstheme="minorHAnsi"/>
          <w:sz w:val="20"/>
          <w:szCs w:val="20"/>
          <w:lang w:val="en-GB" w:eastAsia="en-GB"/>
        </w:rPr>
      </w:pPr>
    </w:p>
    <w:p w14:paraId="185B845A" w14:textId="07B93FDF" w:rsidR="00C66280" w:rsidRPr="003967FE" w:rsidRDefault="00D56783" w:rsidP="00C66280">
      <w:pPr>
        <w:spacing w:line="330" w:lineRule="atLeast"/>
        <w:ind w:left="360" w:right="360"/>
        <w:rPr>
          <w:rFonts w:eastAsia="Times New Roman" w:cstheme="minorHAnsi"/>
          <w:b/>
          <w:bCs/>
          <w:sz w:val="20"/>
          <w:szCs w:val="20"/>
          <w:lang w:val="en-GB" w:eastAsia="en-GB"/>
        </w:rPr>
      </w:pPr>
      <w:r w:rsidRPr="00D56783">
        <w:rPr>
          <w:rFonts w:eastAsia="Times New Roman" w:cstheme="minorHAnsi"/>
          <w:b/>
          <w:bCs/>
          <w:sz w:val="20"/>
          <w:szCs w:val="20"/>
          <w:lang w:val="en-GB" w:eastAsia="en-GB"/>
        </w:rPr>
        <w:t>Stability 05 (PMID: 29637772)</w:t>
      </w:r>
    </w:p>
    <w:p w14:paraId="1D5A1074" w14:textId="77777777" w:rsidR="0061281B" w:rsidRPr="002003C0" w:rsidRDefault="00B43AE2" w:rsidP="0061281B">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 xml:space="preserve">Here, we show that the </w:t>
      </w:r>
      <w:r w:rsidRPr="002003C0">
        <w:rPr>
          <w:rFonts w:eastAsia="Times New Roman" w:cstheme="minorHAnsi"/>
          <w:sz w:val="20"/>
          <w:szCs w:val="20"/>
          <w:highlight w:val="green"/>
          <w:lang w:val="en-GB" w:eastAsia="en-GB"/>
        </w:rPr>
        <w:t>D187N</w:t>
      </w:r>
      <w:r w:rsidRPr="002003C0">
        <w:rPr>
          <w:rFonts w:eastAsia="Times New Roman" w:cstheme="minorHAnsi"/>
          <w:sz w:val="20"/>
          <w:szCs w:val="20"/>
          <w:lang w:val="en-GB" w:eastAsia="en-GB"/>
        </w:rPr>
        <w:t xml:space="preserve"> mutant </w:t>
      </w:r>
      <w:r w:rsidRPr="002003C0">
        <w:rPr>
          <w:rFonts w:eastAsia="Times New Roman" w:cstheme="minorHAnsi"/>
          <w:sz w:val="20"/>
          <w:szCs w:val="20"/>
          <w:highlight w:val="yellow"/>
          <w:lang w:val="en-GB" w:eastAsia="en-GB"/>
        </w:rPr>
        <w:t>gelsolin</w:t>
      </w:r>
      <w:r w:rsidRPr="002003C0">
        <w:rPr>
          <w:rFonts w:eastAsia="Times New Roman" w:cstheme="minorHAnsi"/>
          <w:sz w:val="20"/>
          <w:szCs w:val="20"/>
          <w:lang w:val="en-GB" w:eastAsia="en-GB"/>
        </w:rPr>
        <w:t xml:space="preserve"> in a Ca2+ depleted, low pH-activated, open conformation could assemble into amyloidogenic oligomers without necessarily undergoing the specific proteolytic step. Although both wild-type (WT) and mutant proteins exhibit closely overlapping globular shapes at physiological conditions, the latter exhibits subjugated actin depolymerization, </w:t>
      </w:r>
      <w:r w:rsidRPr="002003C0">
        <w:rPr>
          <w:rFonts w:eastAsia="Times New Roman" w:cstheme="minorHAnsi"/>
          <w:sz w:val="20"/>
          <w:szCs w:val="20"/>
          <w:highlight w:val="magenta"/>
          <w:lang w:val="en-GB" w:eastAsia="en-GB"/>
        </w:rPr>
        <w:t>loss of thermodynamic stability</w:t>
      </w:r>
      <w:r w:rsidRPr="002003C0">
        <w:rPr>
          <w:rFonts w:eastAsia="Times New Roman" w:cstheme="minorHAnsi"/>
          <w:sz w:val="20"/>
          <w:szCs w:val="20"/>
          <w:lang w:val="en-GB" w:eastAsia="en-GB"/>
        </w:rPr>
        <w:t>, and folding cooperativity.</w:t>
      </w:r>
    </w:p>
    <w:p w14:paraId="2335F4E7" w14:textId="77777777" w:rsidR="00B43AE2" w:rsidRPr="002003C0" w:rsidRDefault="00B43AE2" w:rsidP="0061281B">
      <w:pPr>
        <w:spacing w:after="0" w:line="240" w:lineRule="auto"/>
        <w:rPr>
          <w:rFonts w:eastAsia="Times New Roman" w:cstheme="minorHAnsi"/>
          <w:sz w:val="20"/>
          <w:szCs w:val="20"/>
          <w:lang w:val="en-GB" w:eastAsia="en-GB"/>
        </w:rPr>
      </w:pPr>
    </w:p>
    <w:p w14:paraId="680115B0" w14:textId="77777777" w:rsidR="00B43AE2" w:rsidRPr="002003C0" w:rsidRDefault="00B43AE2" w:rsidP="0061281B">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 xml:space="preserve">The relative structural stabilities of the two proteins were studied by </w:t>
      </w:r>
      <w:r w:rsidRPr="002003C0">
        <w:rPr>
          <w:rFonts w:eastAsia="Times New Roman" w:cstheme="minorHAnsi"/>
          <w:sz w:val="20"/>
          <w:szCs w:val="20"/>
          <w:highlight w:val="cyan"/>
          <w:lang w:val="en-GB" w:eastAsia="en-GB"/>
        </w:rPr>
        <w:t>thermal unfolding at pH 7</w:t>
      </w:r>
      <w:r w:rsidRPr="002003C0">
        <w:rPr>
          <w:rFonts w:eastAsia="Times New Roman" w:cstheme="minorHAnsi"/>
          <w:sz w:val="20"/>
          <w:szCs w:val="20"/>
          <w:lang w:val="en-GB" w:eastAsia="en-GB"/>
        </w:rPr>
        <w:t>. Far-</w:t>
      </w:r>
      <w:r w:rsidRPr="002003C0">
        <w:rPr>
          <w:rFonts w:eastAsia="Times New Roman" w:cstheme="minorHAnsi"/>
          <w:sz w:val="20"/>
          <w:szCs w:val="20"/>
          <w:highlight w:val="cyan"/>
          <w:lang w:val="en-GB" w:eastAsia="en-GB"/>
        </w:rPr>
        <w:t>UV CD spectra</w:t>
      </w:r>
      <w:r w:rsidRPr="002003C0">
        <w:rPr>
          <w:rFonts w:eastAsia="Times New Roman" w:cstheme="minorHAnsi"/>
          <w:sz w:val="20"/>
          <w:szCs w:val="20"/>
          <w:lang w:val="en-GB" w:eastAsia="en-GB"/>
        </w:rPr>
        <w:t xml:space="preserve"> (210 nm) were monitored as a function of increasing temperature. Both WT and mutant </w:t>
      </w:r>
      <w:r w:rsidRPr="002003C0">
        <w:rPr>
          <w:rFonts w:eastAsia="Times New Roman" w:cstheme="minorHAnsi"/>
          <w:sz w:val="20"/>
          <w:szCs w:val="20"/>
          <w:highlight w:val="yellow"/>
          <w:lang w:val="en-GB" w:eastAsia="en-GB"/>
        </w:rPr>
        <w:t>gelsolin</w:t>
      </w:r>
      <w:r w:rsidRPr="002003C0">
        <w:rPr>
          <w:rFonts w:eastAsia="Times New Roman" w:cstheme="minorHAnsi"/>
          <w:sz w:val="20"/>
          <w:szCs w:val="20"/>
          <w:lang w:val="en-GB" w:eastAsia="en-GB"/>
        </w:rPr>
        <w:t xml:space="preserve"> unfolded with a single transition over the temperature range of 20–90 °C (Figure 4A). Both of the proteins started to lose native secondary structure (change in 210 nm band) above 45 °C and precipitated into large visible aggregates beyond 60 °C with an apparent loss of CD signal. Since the thermal refolding curves were irreversible, a reliable estimate of free energy (ΔG) could not be determined. The resulting curves were analyzed, and Tm (melting temperature) was calculated. Tm is the temperature where half of any protein population is denatured and thus can be used for a comparative estimate of stability between two proteins. The </w:t>
      </w:r>
      <w:r w:rsidRPr="002003C0">
        <w:rPr>
          <w:rFonts w:eastAsia="Times New Roman" w:cstheme="minorHAnsi"/>
          <w:sz w:val="20"/>
          <w:szCs w:val="20"/>
          <w:highlight w:val="magenta"/>
          <w:lang w:val="en-GB" w:eastAsia="en-GB"/>
        </w:rPr>
        <w:t>Tm values</w:t>
      </w:r>
      <w:r w:rsidRPr="002003C0">
        <w:rPr>
          <w:rFonts w:eastAsia="Times New Roman" w:cstheme="minorHAnsi"/>
          <w:sz w:val="20"/>
          <w:szCs w:val="20"/>
          <w:lang w:val="en-GB" w:eastAsia="en-GB"/>
        </w:rPr>
        <w:t xml:space="preserve"> of WT and mutant </w:t>
      </w:r>
      <w:r w:rsidRPr="002003C0">
        <w:rPr>
          <w:rFonts w:eastAsia="Times New Roman" w:cstheme="minorHAnsi"/>
          <w:sz w:val="20"/>
          <w:szCs w:val="20"/>
          <w:highlight w:val="yellow"/>
          <w:lang w:val="en-GB" w:eastAsia="en-GB"/>
        </w:rPr>
        <w:t>gelsolin</w:t>
      </w:r>
      <w:r w:rsidRPr="002003C0">
        <w:rPr>
          <w:rFonts w:eastAsia="Times New Roman" w:cstheme="minorHAnsi"/>
          <w:sz w:val="20"/>
          <w:szCs w:val="20"/>
          <w:lang w:val="en-GB" w:eastAsia="en-GB"/>
        </w:rPr>
        <w:t xml:space="preserve"> were found to be </w:t>
      </w:r>
      <w:r w:rsidRPr="002003C0">
        <w:rPr>
          <w:rFonts w:ascii="Cambria Math" w:eastAsia="Times New Roman" w:hAnsi="Cambria Math" w:cs="Cambria Math"/>
          <w:sz w:val="20"/>
          <w:szCs w:val="20"/>
          <w:highlight w:val="magenta"/>
          <w:lang w:val="en-GB" w:eastAsia="en-GB"/>
        </w:rPr>
        <w:t>∼</w:t>
      </w:r>
      <w:r w:rsidRPr="002003C0">
        <w:rPr>
          <w:rFonts w:eastAsia="Times New Roman" w:cstheme="minorHAnsi"/>
          <w:sz w:val="20"/>
          <w:szCs w:val="20"/>
          <w:highlight w:val="magenta"/>
          <w:lang w:val="en-GB" w:eastAsia="en-GB"/>
        </w:rPr>
        <w:t xml:space="preserve">54 and 51 </w:t>
      </w:r>
      <w:r w:rsidRPr="002003C0">
        <w:rPr>
          <w:rFonts w:ascii="Calibri" w:eastAsia="Times New Roman" w:hAnsi="Calibri" w:cs="Calibri"/>
          <w:sz w:val="20"/>
          <w:szCs w:val="20"/>
          <w:highlight w:val="magenta"/>
          <w:lang w:val="en-GB" w:eastAsia="en-GB"/>
        </w:rPr>
        <w:t>°</w:t>
      </w:r>
      <w:r w:rsidRPr="002003C0">
        <w:rPr>
          <w:rFonts w:eastAsia="Times New Roman" w:cstheme="minorHAnsi"/>
          <w:sz w:val="20"/>
          <w:szCs w:val="20"/>
          <w:highlight w:val="magenta"/>
          <w:lang w:val="en-GB" w:eastAsia="en-GB"/>
        </w:rPr>
        <w:t>C</w:t>
      </w:r>
      <w:r w:rsidRPr="002003C0">
        <w:rPr>
          <w:rFonts w:eastAsia="Times New Roman" w:cstheme="minorHAnsi"/>
          <w:sz w:val="20"/>
          <w:szCs w:val="20"/>
          <w:lang w:val="en-GB" w:eastAsia="en-GB"/>
        </w:rPr>
        <w:t xml:space="preserve">, respectively, indicating a </w:t>
      </w:r>
      <w:r w:rsidRPr="002003C0">
        <w:rPr>
          <w:rFonts w:eastAsia="Times New Roman" w:cstheme="minorHAnsi"/>
          <w:sz w:val="20"/>
          <w:szCs w:val="20"/>
          <w:highlight w:val="magenta"/>
          <w:lang w:val="en-GB" w:eastAsia="en-GB"/>
        </w:rPr>
        <w:t>destabilizing</w:t>
      </w:r>
      <w:r w:rsidRPr="002003C0">
        <w:rPr>
          <w:rFonts w:eastAsia="Times New Roman" w:cstheme="minorHAnsi"/>
          <w:sz w:val="20"/>
          <w:szCs w:val="20"/>
          <w:lang w:val="en-GB" w:eastAsia="en-GB"/>
        </w:rPr>
        <w:t xml:space="preserve"> effect of the </w:t>
      </w:r>
      <w:r w:rsidRPr="002003C0">
        <w:rPr>
          <w:rFonts w:eastAsia="Times New Roman" w:cstheme="minorHAnsi"/>
          <w:sz w:val="20"/>
          <w:szCs w:val="20"/>
          <w:highlight w:val="green"/>
          <w:lang w:val="en-GB" w:eastAsia="en-GB"/>
        </w:rPr>
        <w:t>D187N</w:t>
      </w:r>
      <w:r w:rsidRPr="002003C0">
        <w:rPr>
          <w:rFonts w:eastAsia="Times New Roman" w:cstheme="minorHAnsi"/>
          <w:sz w:val="20"/>
          <w:szCs w:val="20"/>
          <w:lang w:val="en-GB" w:eastAsia="en-GB"/>
        </w:rPr>
        <w:t xml:space="preserve"> point mutation (Table 2).</w:t>
      </w:r>
    </w:p>
    <w:p w14:paraId="0CA9DDA1" w14:textId="77777777" w:rsidR="00B43AE2" w:rsidRPr="002003C0" w:rsidRDefault="00B43AE2" w:rsidP="0061281B">
      <w:pPr>
        <w:pBdr>
          <w:bottom w:val="single" w:sz="12" w:space="1" w:color="auto"/>
        </w:pBdr>
        <w:spacing w:after="0" w:line="240" w:lineRule="auto"/>
        <w:rPr>
          <w:rFonts w:eastAsia="Times New Roman" w:cstheme="minorHAnsi"/>
          <w:sz w:val="20"/>
          <w:szCs w:val="20"/>
          <w:lang w:val="en-GB" w:eastAsia="en-GB"/>
        </w:rPr>
      </w:pPr>
    </w:p>
    <w:p w14:paraId="6BA8110C" w14:textId="77777777" w:rsidR="00B43AE2" w:rsidRPr="002003C0" w:rsidRDefault="00B43AE2" w:rsidP="0061281B">
      <w:pPr>
        <w:spacing w:after="0" w:line="240" w:lineRule="auto"/>
        <w:rPr>
          <w:rFonts w:eastAsia="Times New Roman" w:cstheme="minorHAnsi"/>
          <w:sz w:val="20"/>
          <w:szCs w:val="20"/>
          <w:lang w:val="en-GB" w:eastAsia="en-GB"/>
        </w:rPr>
      </w:pPr>
    </w:p>
    <w:p w14:paraId="09F12B38" w14:textId="162DF5FF" w:rsidR="00C66280" w:rsidRPr="003967FE" w:rsidRDefault="000143E9" w:rsidP="00C66280">
      <w:pPr>
        <w:spacing w:line="330" w:lineRule="atLeast"/>
        <w:ind w:left="360" w:right="360"/>
        <w:rPr>
          <w:rFonts w:eastAsia="Times New Roman" w:cstheme="minorHAnsi"/>
          <w:b/>
          <w:bCs/>
          <w:sz w:val="20"/>
          <w:szCs w:val="20"/>
          <w:lang w:val="en-GB" w:eastAsia="en-GB"/>
        </w:rPr>
      </w:pPr>
      <w:r>
        <w:rPr>
          <w:rFonts w:eastAsia="Times New Roman" w:cstheme="minorHAnsi"/>
          <w:b/>
          <w:bCs/>
          <w:sz w:val="20"/>
          <w:szCs w:val="20"/>
          <w:lang w:val="en-GB" w:eastAsia="en-GB"/>
        </w:rPr>
        <w:t>S</w:t>
      </w:r>
      <w:r w:rsidRPr="000143E9">
        <w:rPr>
          <w:rFonts w:eastAsia="Times New Roman" w:cstheme="minorHAnsi"/>
          <w:b/>
          <w:bCs/>
          <w:sz w:val="20"/>
          <w:szCs w:val="20"/>
          <w:lang w:val="en-GB" w:eastAsia="en-GB"/>
        </w:rPr>
        <w:t>tability 06 (PMID: 23861663)</w:t>
      </w:r>
    </w:p>
    <w:p w14:paraId="29A2F5F8" w14:textId="77777777" w:rsidR="00B43AE2" w:rsidRPr="002003C0" w:rsidRDefault="00D914A9" w:rsidP="00D914A9">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 xml:space="preserve">Thirteen mutants that have relatively more </w:t>
      </w:r>
      <w:r w:rsidRPr="002003C0">
        <w:rPr>
          <w:rFonts w:eastAsia="Times New Roman" w:cstheme="minorHAnsi"/>
          <w:sz w:val="20"/>
          <w:szCs w:val="20"/>
          <w:highlight w:val="magenta"/>
          <w:lang w:val="en-GB" w:eastAsia="en-GB"/>
        </w:rPr>
        <w:t>negative ΔΔG</w:t>
      </w:r>
      <w:r w:rsidRPr="002003C0">
        <w:rPr>
          <w:rFonts w:eastAsia="Times New Roman" w:cstheme="minorHAnsi"/>
          <w:sz w:val="20"/>
          <w:szCs w:val="20"/>
          <w:lang w:val="en-GB" w:eastAsia="en-GB"/>
        </w:rPr>
        <w:t xml:space="preserve"> were tested experimentally, including </w:t>
      </w:r>
      <w:r w:rsidRPr="002003C0">
        <w:rPr>
          <w:rFonts w:eastAsia="Times New Roman" w:cstheme="minorHAnsi"/>
          <w:sz w:val="20"/>
          <w:szCs w:val="20"/>
          <w:highlight w:val="green"/>
          <w:lang w:val="en-GB" w:eastAsia="en-GB"/>
        </w:rPr>
        <w:t>V25I, T30M, A33Y, T50M, T54Y, A81M, V88L, V90I, L106M, N107F, D109E, V120I, and N124F</w:t>
      </w:r>
      <w:r w:rsidRPr="002003C0">
        <w:rPr>
          <w:rFonts w:eastAsia="Times New Roman" w:cstheme="minorHAnsi"/>
          <w:sz w:val="20"/>
          <w:szCs w:val="20"/>
          <w:lang w:val="en-GB" w:eastAsia="en-GB"/>
        </w:rPr>
        <w:t xml:space="preserve">. Melting temperatures of the wild-type (WT) and mutants were determined (see Materials and Methods) and are listed in Table 2. The WT </w:t>
      </w:r>
      <w:r w:rsidRPr="002003C0">
        <w:rPr>
          <w:rFonts w:eastAsia="Times New Roman" w:cstheme="minorHAnsi"/>
          <w:sz w:val="20"/>
          <w:szCs w:val="20"/>
          <w:highlight w:val="yellow"/>
          <w:lang w:val="en-GB" w:eastAsia="en-GB"/>
        </w:rPr>
        <w:t>FbFP</w:t>
      </w:r>
      <w:r w:rsidRPr="002003C0">
        <w:rPr>
          <w:rFonts w:eastAsia="Times New Roman" w:cstheme="minorHAnsi"/>
          <w:sz w:val="20"/>
          <w:szCs w:val="20"/>
          <w:lang w:val="en-GB" w:eastAsia="en-GB"/>
        </w:rPr>
        <w:t xml:space="preserve"> has a </w:t>
      </w:r>
      <w:r w:rsidRPr="002003C0">
        <w:rPr>
          <w:rFonts w:eastAsia="Times New Roman" w:cstheme="minorHAnsi"/>
          <w:sz w:val="20"/>
          <w:szCs w:val="20"/>
          <w:highlight w:val="magenta"/>
          <w:lang w:val="en-GB" w:eastAsia="en-GB"/>
        </w:rPr>
        <w:t>Tm</w:t>
      </w:r>
      <w:r w:rsidRPr="002003C0">
        <w:rPr>
          <w:rFonts w:eastAsia="Times New Roman" w:cstheme="minorHAnsi"/>
          <w:sz w:val="20"/>
          <w:szCs w:val="20"/>
          <w:lang w:val="en-GB" w:eastAsia="en-GB"/>
        </w:rPr>
        <w:t xml:space="preserve"> of </w:t>
      </w:r>
      <w:r w:rsidRPr="002003C0">
        <w:rPr>
          <w:rFonts w:eastAsia="Times New Roman" w:cstheme="minorHAnsi"/>
          <w:sz w:val="20"/>
          <w:szCs w:val="20"/>
          <w:highlight w:val="magenta"/>
          <w:lang w:val="en-GB" w:eastAsia="en-GB"/>
        </w:rPr>
        <w:t>42.8°C</w:t>
      </w:r>
      <w:r w:rsidRPr="002003C0">
        <w:rPr>
          <w:rFonts w:eastAsia="Times New Roman" w:cstheme="minorHAnsi"/>
          <w:sz w:val="20"/>
          <w:szCs w:val="20"/>
          <w:lang w:val="en-GB" w:eastAsia="en-GB"/>
        </w:rPr>
        <w:t xml:space="preserve">, indicating a </w:t>
      </w:r>
      <w:r w:rsidRPr="002003C0">
        <w:rPr>
          <w:rFonts w:eastAsia="Times New Roman" w:cstheme="minorHAnsi"/>
          <w:sz w:val="20"/>
          <w:szCs w:val="20"/>
          <w:highlight w:val="magenta"/>
          <w:lang w:val="en-GB" w:eastAsia="en-GB"/>
        </w:rPr>
        <w:t>moderate thermostability</w:t>
      </w:r>
      <w:r w:rsidRPr="002003C0">
        <w:rPr>
          <w:rFonts w:eastAsia="Times New Roman" w:cstheme="minorHAnsi"/>
          <w:sz w:val="20"/>
          <w:szCs w:val="20"/>
          <w:lang w:val="en-GB" w:eastAsia="en-GB"/>
        </w:rPr>
        <w:t xml:space="preserve">. The temperature fluorescence plot suggests at 37°C, 25% of fluorescence is already lost compared to that of 14°C which is the starting temperature of measurements (Figure 1). Eight of the tested mutants displayed </w:t>
      </w:r>
      <w:r w:rsidRPr="002003C0">
        <w:rPr>
          <w:rFonts w:eastAsia="Times New Roman" w:cstheme="minorHAnsi"/>
          <w:sz w:val="20"/>
          <w:szCs w:val="20"/>
          <w:highlight w:val="magenta"/>
          <w:lang w:val="en-GB" w:eastAsia="en-GB"/>
        </w:rPr>
        <w:t>improved stability</w:t>
      </w:r>
      <w:r w:rsidRPr="002003C0">
        <w:rPr>
          <w:rFonts w:eastAsia="Times New Roman" w:cstheme="minorHAnsi"/>
          <w:sz w:val="20"/>
          <w:szCs w:val="20"/>
          <w:lang w:val="en-GB" w:eastAsia="en-GB"/>
        </w:rPr>
        <w:t xml:space="preserve"> (Table 2), whereas four mutants are </w:t>
      </w:r>
      <w:r w:rsidRPr="002003C0">
        <w:rPr>
          <w:rFonts w:eastAsia="Times New Roman" w:cstheme="minorHAnsi"/>
          <w:sz w:val="20"/>
          <w:szCs w:val="20"/>
          <w:highlight w:val="magenta"/>
          <w:lang w:val="en-GB" w:eastAsia="en-GB"/>
        </w:rPr>
        <w:t>less stable</w:t>
      </w:r>
      <w:r w:rsidRPr="002003C0">
        <w:rPr>
          <w:rFonts w:eastAsia="Times New Roman" w:cstheme="minorHAnsi"/>
          <w:sz w:val="20"/>
          <w:szCs w:val="20"/>
          <w:lang w:val="en-GB" w:eastAsia="en-GB"/>
        </w:rPr>
        <w:t xml:space="preserve"> and one mutant </w:t>
      </w:r>
      <w:r w:rsidRPr="002003C0">
        <w:rPr>
          <w:rFonts w:eastAsia="Times New Roman" w:cstheme="minorHAnsi"/>
          <w:sz w:val="20"/>
          <w:szCs w:val="20"/>
          <w:highlight w:val="green"/>
          <w:lang w:val="en-GB" w:eastAsia="en-GB"/>
        </w:rPr>
        <w:t>L106M</w:t>
      </w:r>
      <w:r w:rsidRPr="002003C0">
        <w:rPr>
          <w:rFonts w:eastAsia="Times New Roman" w:cstheme="minorHAnsi"/>
          <w:sz w:val="20"/>
          <w:szCs w:val="20"/>
          <w:lang w:val="en-GB" w:eastAsia="en-GB"/>
        </w:rPr>
        <w:t xml:space="preserve"> loses fluorescence at room temperature, presumably because L106 points to the active site and the mutant might perturb the FMN binding pocket.</w:t>
      </w:r>
    </w:p>
    <w:p w14:paraId="6BC2E144" w14:textId="77777777" w:rsidR="00D914A9" w:rsidRPr="002003C0" w:rsidRDefault="00D914A9" w:rsidP="00D914A9">
      <w:pPr>
        <w:pBdr>
          <w:bottom w:val="single" w:sz="12" w:space="1" w:color="auto"/>
        </w:pBdr>
        <w:spacing w:after="0" w:line="240" w:lineRule="auto"/>
        <w:rPr>
          <w:rFonts w:eastAsia="Times New Roman" w:cstheme="minorHAnsi"/>
          <w:sz w:val="20"/>
          <w:szCs w:val="20"/>
          <w:lang w:val="en-GB" w:eastAsia="en-GB"/>
        </w:rPr>
      </w:pPr>
    </w:p>
    <w:p w14:paraId="6E4F9F4E" w14:textId="77777777" w:rsidR="00C66280" w:rsidRDefault="00C66280" w:rsidP="00D914A9">
      <w:pPr>
        <w:spacing w:after="0" w:line="240" w:lineRule="auto"/>
        <w:rPr>
          <w:rFonts w:eastAsia="Times New Roman" w:cstheme="minorHAnsi"/>
          <w:sz w:val="20"/>
          <w:szCs w:val="20"/>
          <w:lang w:val="en-GB" w:eastAsia="en-GB"/>
        </w:rPr>
      </w:pPr>
    </w:p>
    <w:p w14:paraId="7E322392" w14:textId="39C840E1" w:rsidR="00C66280" w:rsidRPr="003967FE" w:rsidRDefault="000143E9" w:rsidP="00C66280">
      <w:pPr>
        <w:spacing w:line="330" w:lineRule="atLeast"/>
        <w:ind w:left="360" w:right="360"/>
        <w:rPr>
          <w:rFonts w:eastAsia="Times New Roman" w:cstheme="minorHAnsi"/>
          <w:b/>
          <w:bCs/>
          <w:sz w:val="20"/>
          <w:szCs w:val="20"/>
          <w:lang w:val="en-GB" w:eastAsia="en-GB"/>
        </w:rPr>
      </w:pPr>
      <w:r>
        <w:rPr>
          <w:rFonts w:eastAsia="Times New Roman" w:cstheme="minorHAnsi"/>
          <w:b/>
          <w:bCs/>
          <w:sz w:val="20"/>
          <w:szCs w:val="20"/>
          <w:lang w:val="en-GB" w:eastAsia="en-GB"/>
        </w:rPr>
        <w:t>S</w:t>
      </w:r>
      <w:r w:rsidRPr="000143E9">
        <w:rPr>
          <w:rFonts w:eastAsia="Times New Roman" w:cstheme="minorHAnsi"/>
          <w:b/>
          <w:bCs/>
          <w:sz w:val="20"/>
          <w:szCs w:val="20"/>
          <w:lang w:val="en-GB" w:eastAsia="en-GB"/>
        </w:rPr>
        <w:t>tability 07 (PMID: 26307947)</w:t>
      </w:r>
    </w:p>
    <w:p w14:paraId="2E48D40E" w14:textId="7F9F69F0" w:rsidR="00D914A9" w:rsidRPr="002003C0" w:rsidRDefault="00D914A9" w:rsidP="00D914A9">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To evaluate unfolding phenomenon and thermodynamic stability, thermal denaturation studies of</w:t>
      </w:r>
    </w:p>
    <w:p w14:paraId="3AFBFBB9" w14:textId="77777777" w:rsidR="00D914A9" w:rsidRPr="002003C0" w:rsidRDefault="00D914A9" w:rsidP="00D914A9">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 xml:space="preserve">proteins were performed using </w:t>
      </w:r>
      <w:r w:rsidRPr="002003C0">
        <w:rPr>
          <w:rFonts w:eastAsia="Times New Roman" w:cstheme="minorHAnsi"/>
          <w:sz w:val="20"/>
          <w:szCs w:val="20"/>
          <w:highlight w:val="cyan"/>
          <w:lang w:val="en-GB" w:eastAsia="en-GB"/>
        </w:rPr>
        <w:t>CD spectroscopy</w:t>
      </w:r>
      <w:r w:rsidRPr="002003C0">
        <w:rPr>
          <w:rFonts w:eastAsia="Times New Roman" w:cstheme="minorHAnsi"/>
          <w:sz w:val="20"/>
          <w:szCs w:val="20"/>
          <w:lang w:val="en-GB" w:eastAsia="en-GB"/>
        </w:rPr>
        <w:t xml:space="preserve">. </w:t>
      </w:r>
      <w:r w:rsidRPr="002003C0">
        <w:rPr>
          <w:rFonts w:eastAsia="Times New Roman" w:cstheme="minorHAnsi"/>
          <w:sz w:val="20"/>
          <w:szCs w:val="20"/>
          <w:highlight w:val="cyan"/>
          <w:lang w:val="en-GB" w:eastAsia="en-GB"/>
        </w:rPr>
        <w:t>Thermal and chemical denaturation</w:t>
      </w:r>
      <w:r w:rsidRPr="002003C0">
        <w:rPr>
          <w:rFonts w:eastAsia="Times New Roman" w:cstheme="minorHAnsi"/>
          <w:sz w:val="20"/>
          <w:szCs w:val="20"/>
          <w:lang w:val="en-GB" w:eastAsia="en-GB"/>
        </w:rPr>
        <w:t xml:space="preserve"> studies revealed that mutants </w:t>
      </w:r>
      <w:r w:rsidRPr="002003C0">
        <w:rPr>
          <w:rFonts w:eastAsia="Times New Roman" w:cstheme="minorHAnsi"/>
          <w:sz w:val="20"/>
          <w:szCs w:val="20"/>
          <w:highlight w:val="green"/>
          <w:lang w:val="en-GB" w:eastAsia="en-GB"/>
        </w:rPr>
        <w:t>Arg658Cys</w:t>
      </w:r>
      <w:r w:rsidRPr="002003C0">
        <w:rPr>
          <w:rFonts w:eastAsia="Times New Roman" w:cstheme="minorHAnsi"/>
          <w:sz w:val="20"/>
          <w:szCs w:val="20"/>
          <w:lang w:val="en-GB" w:eastAsia="en-GB"/>
        </w:rPr>
        <w:t xml:space="preserve"> and </w:t>
      </w:r>
      <w:r w:rsidRPr="002003C0">
        <w:rPr>
          <w:rFonts w:eastAsia="Times New Roman" w:cstheme="minorHAnsi"/>
          <w:sz w:val="20"/>
          <w:szCs w:val="20"/>
          <w:highlight w:val="green"/>
          <w:lang w:val="en-GB" w:eastAsia="en-GB"/>
        </w:rPr>
        <w:t>Ile738Val</w:t>
      </w:r>
      <w:r w:rsidRPr="002003C0">
        <w:rPr>
          <w:rFonts w:eastAsia="Times New Roman" w:cstheme="minorHAnsi"/>
          <w:sz w:val="20"/>
          <w:szCs w:val="20"/>
          <w:lang w:val="en-GB" w:eastAsia="en-GB"/>
        </w:rPr>
        <w:t xml:space="preserve"> have a </w:t>
      </w:r>
      <w:r w:rsidRPr="002003C0">
        <w:rPr>
          <w:rFonts w:eastAsia="Times New Roman" w:cstheme="minorHAnsi"/>
          <w:sz w:val="20"/>
          <w:szCs w:val="20"/>
          <w:highlight w:val="magenta"/>
          <w:lang w:val="en-GB" w:eastAsia="en-GB"/>
        </w:rPr>
        <w:t>decrease in Tm and ∆G</w:t>
      </w:r>
      <w:r w:rsidRPr="002003C0">
        <w:rPr>
          <w:rFonts w:eastAsia="Times New Roman" w:cstheme="minorHAnsi"/>
          <w:sz w:val="20"/>
          <w:szCs w:val="20"/>
          <w:lang w:val="en-GB" w:eastAsia="en-GB"/>
        </w:rPr>
        <w:t xml:space="preserve"> than the wild type. In silico studies of </w:t>
      </w:r>
      <w:r w:rsidRPr="002003C0">
        <w:rPr>
          <w:rFonts w:eastAsia="Times New Roman" w:cstheme="minorHAnsi"/>
          <w:sz w:val="20"/>
          <w:szCs w:val="20"/>
          <w:highlight w:val="yellow"/>
          <w:lang w:val="en-GB" w:eastAsia="en-GB"/>
        </w:rPr>
        <w:t>BARD1 BRCT</w:t>
      </w:r>
      <w:r w:rsidRPr="002003C0">
        <w:rPr>
          <w:rFonts w:eastAsia="Times New Roman" w:cstheme="minorHAnsi"/>
          <w:sz w:val="20"/>
          <w:szCs w:val="20"/>
          <w:lang w:val="en-GB" w:eastAsia="en-GB"/>
        </w:rPr>
        <w:t xml:space="preserve"> (568-777) and mutant protein indicate loss in structural compactness on the </w:t>
      </w:r>
      <w:r w:rsidRPr="002003C0">
        <w:rPr>
          <w:rFonts w:eastAsia="Times New Roman" w:cstheme="minorHAnsi"/>
          <w:sz w:val="20"/>
          <w:szCs w:val="20"/>
          <w:highlight w:val="green"/>
          <w:lang w:val="en-GB" w:eastAsia="en-GB"/>
        </w:rPr>
        <w:t>Ile738Val</w:t>
      </w:r>
      <w:r w:rsidRPr="002003C0">
        <w:rPr>
          <w:rFonts w:eastAsia="Times New Roman" w:cstheme="minorHAnsi"/>
          <w:sz w:val="20"/>
          <w:szCs w:val="20"/>
          <w:lang w:val="en-GB" w:eastAsia="en-GB"/>
        </w:rPr>
        <w:t xml:space="preserve"> mutant. The transition mid-point( </w:t>
      </w:r>
      <w:r w:rsidRPr="002003C0">
        <w:rPr>
          <w:rFonts w:eastAsia="Times New Roman" w:cstheme="minorHAnsi"/>
          <w:sz w:val="20"/>
          <w:szCs w:val="20"/>
          <w:highlight w:val="magenta"/>
          <w:lang w:val="en-GB" w:eastAsia="en-GB"/>
        </w:rPr>
        <w:t>Tm</w:t>
      </w:r>
      <w:r w:rsidRPr="002003C0">
        <w:rPr>
          <w:rFonts w:eastAsia="Times New Roman" w:cstheme="minorHAnsi"/>
          <w:sz w:val="20"/>
          <w:szCs w:val="20"/>
          <w:lang w:val="en-GB" w:eastAsia="en-GB"/>
        </w:rPr>
        <w:t xml:space="preserve">) calculated for </w:t>
      </w:r>
      <w:r w:rsidRPr="002003C0">
        <w:rPr>
          <w:rFonts w:eastAsia="Times New Roman" w:cstheme="minorHAnsi"/>
          <w:sz w:val="20"/>
          <w:szCs w:val="20"/>
          <w:highlight w:val="yellow"/>
          <w:lang w:val="en-GB" w:eastAsia="en-GB"/>
        </w:rPr>
        <w:t>BARD1 BRCT</w:t>
      </w:r>
      <w:r w:rsidRPr="002003C0">
        <w:rPr>
          <w:rFonts w:eastAsia="Times New Roman" w:cstheme="minorHAnsi"/>
          <w:sz w:val="20"/>
          <w:szCs w:val="20"/>
          <w:lang w:val="en-GB" w:eastAsia="en-GB"/>
        </w:rPr>
        <w:t xml:space="preserve"> (568-777) wild- type, </w:t>
      </w:r>
      <w:r w:rsidRPr="002003C0">
        <w:rPr>
          <w:rFonts w:eastAsia="Times New Roman" w:cstheme="minorHAnsi"/>
          <w:sz w:val="20"/>
          <w:szCs w:val="20"/>
          <w:highlight w:val="green"/>
          <w:lang w:val="en-GB" w:eastAsia="en-GB"/>
        </w:rPr>
        <w:t xml:space="preserve">Arg658Cys </w:t>
      </w:r>
      <w:r w:rsidRPr="002003C0">
        <w:rPr>
          <w:rFonts w:eastAsia="Times New Roman" w:cstheme="minorHAnsi"/>
          <w:sz w:val="20"/>
          <w:szCs w:val="20"/>
          <w:lang w:val="en-GB" w:eastAsia="en-GB"/>
        </w:rPr>
        <w:t xml:space="preserve">and </w:t>
      </w:r>
      <w:r w:rsidRPr="002003C0">
        <w:rPr>
          <w:rFonts w:eastAsia="Times New Roman" w:cstheme="minorHAnsi"/>
          <w:sz w:val="20"/>
          <w:szCs w:val="20"/>
          <w:highlight w:val="green"/>
          <w:lang w:val="en-GB" w:eastAsia="en-GB"/>
        </w:rPr>
        <w:t xml:space="preserve">Ile738Val </w:t>
      </w:r>
      <w:r w:rsidRPr="002003C0">
        <w:rPr>
          <w:rFonts w:eastAsia="Times New Roman" w:cstheme="minorHAnsi"/>
          <w:sz w:val="20"/>
          <w:szCs w:val="20"/>
          <w:lang w:val="en-GB" w:eastAsia="en-GB"/>
        </w:rPr>
        <w:t xml:space="preserve">mutant protein were </w:t>
      </w:r>
      <w:r w:rsidRPr="002003C0">
        <w:rPr>
          <w:rFonts w:eastAsia="Times New Roman" w:cstheme="minorHAnsi"/>
          <w:sz w:val="20"/>
          <w:szCs w:val="20"/>
          <w:highlight w:val="magenta"/>
          <w:lang w:val="en-GB" w:eastAsia="en-GB"/>
        </w:rPr>
        <w:t>40.6°C, 41.7°C</w:t>
      </w:r>
      <w:r w:rsidRPr="002003C0">
        <w:rPr>
          <w:rFonts w:eastAsia="Times New Roman" w:cstheme="minorHAnsi"/>
          <w:sz w:val="20"/>
          <w:szCs w:val="20"/>
          <w:lang w:val="en-GB" w:eastAsia="en-GB"/>
        </w:rPr>
        <w:t xml:space="preserve"> and </w:t>
      </w:r>
      <w:r w:rsidRPr="002003C0">
        <w:rPr>
          <w:rFonts w:eastAsia="Times New Roman" w:cstheme="minorHAnsi"/>
          <w:sz w:val="20"/>
          <w:szCs w:val="20"/>
          <w:highlight w:val="magenta"/>
          <w:lang w:val="en-GB" w:eastAsia="en-GB"/>
        </w:rPr>
        <w:t>47.8°C</w:t>
      </w:r>
      <w:r w:rsidRPr="002003C0">
        <w:rPr>
          <w:rFonts w:eastAsia="Times New Roman" w:cstheme="minorHAnsi"/>
          <w:sz w:val="20"/>
          <w:szCs w:val="20"/>
          <w:lang w:val="en-GB" w:eastAsia="en-GB"/>
        </w:rPr>
        <w:t xml:space="preserve"> respectively. The</w:t>
      </w:r>
    </w:p>
    <w:p w14:paraId="6FF4AB7D" w14:textId="77777777" w:rsidR="00D914A9" w:rsidRPr="002003C0" w:rsidRDefault="00D914A9" w:rsidP="00D914A9">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 xml:space="preserve">changes in free energies corresponding to the denaturation were: </w:t>
      </w:r>
      <w:r w:rsidRPr="002003C0">
        <w:rPr>
          <w:rFonts w:eastAsia="Times New Roman" w:cstheme="minorHAnsi"/>
          <w:sz w:val="20"/>
          <w:szCs w:val="20"/>
          <w:highlight w:val="magenta"/>
          <w:lang w:val="en-GB" w:eastAsia="en-GB"/>
        </w:rPr>
        <w:t>∆G°H2o 9.6 ± 0.32 kcal/mol</w:t>
      </w:r>
      <w:r w:rsidRPr="002003C0">
        <w:rPr>
          <w:rFonts w:eastAsia="Times New Roman" w:cstheme="minorHAnsi"/>
          <w:sz w:val="20"/>
          <w:szCs w:val="20"/>
          <w:lang w:val="en-GB" w:eastAsia="en-GB"/>
        </w:rPr>
        <w:t>,</w:t>
      </w:r>
    </w:p>
    <w:p w14:paraId="1863DEF6" w14:textId="77777777" w:rsidR="00D914A9" w:rsidRPr="002003C0" w:rsidRDefault="00D914A9" w:rsidP="00D914A9">
      <w:pPr>
        <w:spacing w:after="0" w:line="240" w:lineRule="auto"/>
        <w:rPr>
          <w:rFonts w:eastAsia="Times New Roman" w:cstheme="minorHAnsi"/>
          <w:sz w:val="20"/>
          <w:szCs w:val="20"/>
          <w:lang w:val="en-GB" w:eastAsia="en-GB"/>
        </w:rPr>
      </w:pPr>
      <w:r w:rsidRPr="002003C0">
        <w:rPr>
          <w:rFonts w:eastAsia="Times New Roman" w:cstheme="minorHAnsi"/>
          <w:sz w:val="20"/>
          <w:szCs w:val="20"/>
          <w:highlight w:val="magenta"/>
          <w:lang w:val="en-GB" w:eastAsia="en-GB"/>
        </w:rPr>
        <w:t>7.3± 0.12 kcal/mol, 7.6±.42 kcal/mol</w:t>
      </w:r>
      <w:r w:rsidRPr="002003C0">
        <w:rPr>
          <w:rFonts w:eastAsia="Times New Roman" w:cstheme="minorHAnsi"/>
          <w:sz w:val="20"/>
          <w:szCs w:val="20"/>
          <w:lang w:val="en-GB" w:eastAsia="en-GB"/>
        </w:rPr>
        <w:t xml:space="preserve"> respectively. It is therefore, concluded that BARD1 BRCT (568-777) wild- type and </w:t>
      </w:r>
      <w:r w:rsidRPr="002003C0">
        <w:rPr>
          <w:rFonts w:eastAsia="Times New Roman" w:cstheme="minorHAnsi"/>
          <w:sz w:val="20"/>
          <w:szCs w:val="20"/>
          <w:highlight w:val="green"/>
          <w:lang w:val="en-GB" w:eastAsia="en-GB"/>
        </w:rPr>
        <w:t>Ile738Val</w:t>
      </w:r>
      <w:r w:rsidRPr="002003C0">
        <w:rPr>
          <w:rFonts w:eastAsia="Times New Roman" w:cstheme="minorHAnsi"/>
          <w:sz w:val="20"/>
          <w:szCs w:val="20"/>
          <w:lang w:val="en-GB" w:eastAsia="en-GB"/>
        </w:rPr>
        <w:t xml:space="preserve"> mutant proteins have </w:t>
      </w:r>
      <w:r w:rsidRPr="002003C0">
        <w:rPr>
          <w:rFonts w:eastAsia="Times New Roman" w:cstheme="minorHAnsi"/>
          <w:sz w:val="20"/>
          <w:szCs w:val="20"/>
          <w:highlight w:val="magenta"/>
          <w:lang w:val="en-GB" w:eastAsia="en-GB"/>
        </w:rPr>
        <w:t>higher thermal stability</w:t>
      </w:r>
      <w:r w:rsidRPr="002003C0">
        <w:rPr>
          <w:rFonts w:eastAsia="Times New Roman" w:cstheme="minorHAnsi"/>
          <w:sz w:val="20"/>
          <w:szCs w:val="20"/>
          <w:lang w:val="en-GB" w:eastAsia="en-GB"/>
        </w:rPr>
        <w:t xml:space="preserve"> than Arg658Cys (Figure: - 4B, 4C, 4D). Fluorescence spectroscopy was used to monitor unfolding at 283 K induced by GuHCl. For </w:t>
      </w:r>
      <w:r w:rsidRPr="002003C0">
        <w:rPr>
          <w:rFonts w:eastAsia="Times New Roman" w:cstheme="minorHAnsi"/>
          <w:sz w:val="20"/>
          <w:szCs w:val="20"/>
          <w:highlight w:val="cyan"/>
          <w:lang w:val="en-GB" w:eastAsia="en-GB"/>
        </w:rPr>
        <w:t>chemical denaturation</w:t>
      </w:r>
      <w:r w:rsidRPr="002003C0">
        <w:rPr>
          <w:rFonts w:eastAsia="Times New Roman" w:cstheme="minorHAnsi"/>
          <w:sz w:val="20"/>
          <w:szCs w:val="20"/>
          <w:lang w:val="en-GB" w:eastAsia="en-GB"/>
        </w:rPr>
        <w:t xml:space="preserve"> of BARD1 BRCT (568-777) wild- type, and </w:t>
      </w:r>
      <w:r w:rsidRPr="002003C0">
        <w:rPr>
          <w:rFonts w:eastAsia="Times New Roman" w:cstheme="minorHAnsi"/>
          <w:sz w:val="20"/>
          <w:szCs w:val="20"/>
          <w:highlight w:val="green"/>
          <w:lang w:val="en-GB" w:eastAsia="en-GB"/>
        </w:rPr>
        <w:t>Arg658Cys, Ile738Val</w:t>
      </w:r>
      <w:r w:rsidRPr="002003C0">
        <w:rPr>
          <w:rFonts w:eastAsia="Times New Roman" w:cstheme="minorHAnsi"/>
          <w:sz w:val="20"/>
          <w:szCs w:val="20"/>
          <w:lang w:val="en-GB" w:eastAsia="en-GB"/>
        </w:rPr>
        <w:t xml:space="preserve"> mutant proteins, thermodynamic parameters were calculated by plotting average fluorescence emission wavelength against GuHcl concentration (Figure: -3B). </w:t>
      </w:r>
      <w:r w:rsidRPr="002003C0">
        <w:rPr>
          <w:rFonts w:eastAsia="Times New Roman" w:cstheme="minorHAnsi"/>
          <w:sz w:val="20"/>
          <w:szCs w:val="20"/>
          <w:highlight w:val="magenta"/>
          <w:lang w:val="en-GB" w:eastAsia="en-GB"/>
        </w:rPr>
        <w:t>ΔG° H2O</w:t>
      </w:r>
      <w:r w:rsidRPr="002003C0">
        <w:rPr>
          <w:rFonts w:eastAsia="Times New Roman" w:cstheme="minorHAnsi"/>
          <w:sz w:val="20"/>
          <w:szCs w:val="20"/>
          <w:lang w:val="en-GB" w:eastAsia="en-GB"/>
        </w:rPr>
        <w:t xml:space="preserve"> for </w:t>
      </w:r>
      <w:r w:rsidRPr="002003C0">
        <w:rPr>
          <w:rFonts w:eastAsia="Times New Roman" w:cstheme="minorHAnsi"/>
          <w:sz w:val="20"/>
          <w:szCs w:val="20"/>
          <w:highlight w:val="yellow"/>
          <w:lang w:val="en-GB" w:eastAsia="en-GB"/>
        </w:rPr>
        <w:t>BARD1 BRCT</w:t>
      </w:r>
      <w:r w:rsidRPr="002003C0">
        <w:rPr>
          <w:rFonts w:eastAsia="Times New Roman" w:cstheme="minorHAnsi"/>
          <w:sz w:val="20"/>
          <w:szCs w:val="20"/>
          <w:lang w:val="en-GB" w:eastAsia="en-GB"/>
        </w:rPr>
        <w:t xml:space="preserve">, </w:t>
      </w:r>
      <w:r w:rsidRPr="002003C0">
        <w:rPr>
          <w:rFonts w:eastAsia="Times New Roman" w:cstheme="minorHAnsi"/>
          <w:sz w:val="20"/>
          <w:szCs w:val="20"/>
          <w:highlight w:val="green"/>
          <w:lang w:val="en-GB" w:eastAsia="en-GB"/>
        </w:rPr>
        <w:t>Arg658Cys</w:t>
      </w:r>
      <w:r w:rsidRPr="002003C0">
        <w:rPr>
          <w:rFonts w:eastAsia="Times New Roman" w:cstheme="minorHAnsi"/>
          <w:sz w:val="20"/>
          <w:szCs w:val="20"/>
          <w:lang w:val="en-GB" w:eastAsia="en-GB"/>
        </w:rPr>
        <w:t xml:space="preserve">, and </w:t>
      </w:r>
      <w:r w:rsidRPr="002003C0">
        <w:rPr>
          <w:rFonts w:eastAsia="Times New Roman" w:cstheme="minorHAnsi"/>
          <w:sz w:val="20"/>
          <w:szCs w:val="20"/>
          <w:highlight w:val="green"/>
          <w:lang w:val="en-GB" w:eastAsia="en-GB"/>
        </w:rPr>
        <w:t>Ile738Val</w:t>
      </w:r>
      <w:r w:rsidRPr="002003C0">
        <w:rPr>
          <w:rFonts w:eastAsia="Times New Roman" w:cstheme="minorHAnsi"/>
          <w:sz w:val="20"/>
          <w:szCs w:val="20"/>
          <w:lang w:val="en-GB" w:eastAsia="en-GB"/>
        </w:rPr>
        <w:t xml:space="preserve"> were </w:t>
      </w:r>
      <w:r w:rsidRPr="002003C0">
        <w:rPr>
          <w:rFonts w:eastAsia="Times New Roman" w:cstheme="minorHAnsi"/>
          <w:sz w:val="20"/>
          <w:szCs w:val="20"/>
          <w:highlight w:val="magenta"/>
          <w:lang w:val="en-GB" w:eastAsia="en-GB"/>
        </w:rPr>
        <w:t>7.19 ± .36 kcal/mol, , 6.29 ± .41 kcal/mol, 6.8 ± .21 kcal /mol</w:t>
      </w:r>
      <w:r w:rsidRPr="002003C0">
        <w:rPr>
          <w:rFonts w:eastAsia="Times New Roman" w:cstheme="minorHAnsi"/>
          <w:sz w:val="20"/>
          <w:szCs w:val="20"/>
          <w:lang w:val="en-GB" w:eastAsia="en-GB"/>
        </w:rPr>
        <w:t xml:space="preserve"> respectively. </w:t>
      </w:r>
    </w:p>
    <w:p w14:paraId="4A6D4348" w14:textId="77777777" w:rsidR="0012094E" w:rsidRPr="002003C0" w:rsidRDefault="0012094E" w:rsidP="00D914A9">
      <w:pPr>
        <w:pBdr>
          <w:bottom w:val="single" w:sz="12" w:space="1" w:color="auto"/>
        </w:pBdr>
        <w:spacing w:after="0" w:line="240" w:lineRule="auto"/>
        <w:rPr>
          <w:rFonts w:eastAsia="Times New Roman" w:cstheme="minorHAnsi"/>
          <w:sz w:val="20"/>
          <w:szCs w:val="20"/>
          <w:lang w:val="en-GB" w:eastAsia="en-GB"/>
        </w:rPr>
      </w:pPr>
    </w:p>
    <w:p w14:paraId="5CBAF8AC" w14:textId="77777777" w:rsidR="0012094E" w:rsidRPr="002003C0" w:rsidRDefault="0012094E" w:rsidP="00D914A9">
      <w:pPr>
        <w:spacing w:after="0" w:line="240" w:lineRule="auto"/>
        <w:rPr>
          <w:rFonts w:eastAsia="Times New Roman" w:cstheme="minorHAnsi"/>
          <w:sz w:val="20"/>
          <w:szCs w:val="20"/>
          <w:lang w:val="en-GB" w:eastAsia="en-GB"/>
        </w:rPr>
      </w:pPr>
    </w:p>
    <w:p w14:paraId="1FA66AC0" w14:textId="0E65F95F" w:rsidR="00C66280" w:rsidRPr="003967FE" w:rsidRDefault="00C66280" w:rsidP="00C66280">
      <w:pPr>
        <w:spacing w:line="330" w:lineRule="atLeast"/>
        <w:ind w:left="360" w:right="360"/>
        <w:rPr>
          <w:rFonts w:eastAsia="Times New Roman" w:cstheme="minorHAnsi"/>
          <w:b/>
          <w:bCs/>
          <w:sz w:val="20"/>
          <w:szCs w:val="20"/>
          <w:lang w:val="en-GB" w:eastAsia="en-GB"/>
        </w:rPr>
      </w:pPr>
      <w:r w:rsidRPr="005A7357">
        <w:rPr>
          <w:rFonts w:eastAsia="Times New Roman" w:cstheme="minorHAnsi"/>
          <w:b/>
          <w:bCs/>
          <w:sz w:val="20"/>
          <w:szCs w:val="20"/>
          <w:lang w:val="en-GB" w:eastAsia="en-GB"/>
        </w:rPr>
        <w:t>S</w:t>
      </w:r>
      <w:r w:rsidR="000143E9" w:rsidRPr="000143E9">
        <w:rPr>
          <w:rFonts w:eastAsia="Times New Roman" w:cstheme="minorHAnsi"/>
          <w:b/>
          <w:bCs/>
          <w:sz w:val="20"/>
          <w:szCs w:val="20"/>
          <w:lang w:val="en-GB" w:eastAsia="en-GB"/>
        </w:rPr>
        <w:t>tability 08 (PMID: 16501221)</w:t>
      </w:r>
    </w:p>
    <w:p w14:paraId="14AC0F7B" w14:textId="77777777" w:rsidR="00D914A9" w:rsidRPr="002003C0" w:rsidRDefault="0012094E" w:rsidP="00D914A9">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lastRenderedPageBreak/>
        <w:t xml:space="preserve">To determine the effects of the substitutions on protein stability, we examined the </w:t>
      </w:r>
      <w:r w:rsidRPr="002003C0">
        <w:rPr>
          <w:rFonts w:eastAsia="Times New Roman" w:cstheme="minorHAnsi"/>
          <w:sz w:val="20"/>
          <w:szCs w:val="20"/>
          <w:highlight w:val="cyan"/>
          <w:lang w:val="en-GB" w:eastAsia="en-GB"/>
        </w:rPr>
        <w:t>urea‐induced equilibrium unfolding</w:t>
      </w:r>
      <w:r w:rsidRPr="002003C0">
        <w:rPr>
          <w:rFonts w:eastAsia="Times New Roman" w:cstheme="minorHAnsi"/>
          <w:sz w:val="20"/>
          <w:szCs w:val="20"/>
          <w:lang w:val="en-GB" w:eastAsia="en-GB"/>
        </w:rPr>
        <w:t xml:space="preserve"> of the </w:t>
      </w:r>
      <w:r w:rsidRPr="002003C0">
        <w:rPr>
          <w:rFonts w:eastAsia="Times New Roman" w:cstheme="minorHAnsi"/>
          <w:sz w:val="20"/>
          <w:szCs w:val="20"/>
          <w:highlight w:val="yellow"/>
          <w:lang w:val="en-GB" w:eastAsia="en-GB"/>
        </w:rPr>
        <w:t>RICK‐CARD</w:t>
      </w:r>
      <w:r w:rsidRPr="002003C0">
        <w:rPr>
          <w:rFonts w:eastAsia="Times New Roman" w:cstheme="minorHAnsi"/>
          <w:sz w:val="20"/>
          <w:szCs w:val="20"/>
          <w:lang w:val="en-GB" w:eastAsia="en-GB"/>
        </w:rPr>
        <w:t xml:space="preserve"> mutants by monitoring changes in </w:t>
      </w:r>
      <w:r w:rsidRPr="002003C0">
        <w:rPr>
          <w:rFonts w:eastAsia="Times New Roman" w:cstheme="minorHAnsi"/>
          <w:sz w:val="20"/>
          <w:szCs w:val="20"/>
          <w:highlight w:val="cyan"/>
          <w:lang w:val="en-GB" w:eastAsia="en-GB"/>
        </w:rPr>
        <w:t>fluorescence emission and far‐UV CD</w:t>
      </w:r>
      <w:r w:rsidRPr="002003C0">
        <w:rPr>
          <w:rFonts w:eastAsia="Times New Roman" w:cstheme="minorHAnsi"/>
          <w:sz w:val="20"/>
          <w:szCs w:val="20"/>
          <w:lang w:val="en-GB" w:eastAsia="en-GB"/>
        </w:rPr>
        <w:t xml:space="preserve"> in the presence of urea‐containing buffers (Fig. 3). Two probes were monitored in the case of fluorescence emission. Samples were excited at 280 nm to monitor the fluorescence emission of tryptophanyl and tyrosinyl residues, or samples were excited at 295 nm to monitor tryptophanyl fluorescence emission. It has been shown that folding intermediates may show different fluorescence emission properties with use of these two probes (Clark et al. 1993; Bose and Clark 2001). The equilibrium folding of wild‐type </w:t>
      </w:r>
      <w:r w:rsidRPr="002003C0">
        <w:rPr>
          <w:rFonts w:eastAsia="Times New Roman" w:cstheme="minorHAnsi"/>
          <w:sz w:val="20"/>
          <w:szCs w:val="20"/>
          <w:highlight w:val="yellow"/>
          <w:lang w:val="en-GB" w:eastAsia="en-GB"/>
        </w:rPr>
        <w:t>RICK‐CARD</w:t>
      </w:r>
      <w:r w:rsidRPr="002003C0">
        <w:rPr>
          <w:rFonts w:eastAsia="Times New Roman" w:cstheme="minorHAnsi"/>
          <w:sz w:val="20"/>
          <w:szCs w:val="20"/>
          <w:lang w:val="en-GB" w:eastAsia="en-GB"/>
        </w:rPr>
        <w:t xml:space="preserve"> is well described by an apparent two‐state folding mechanism (</w:t>
      </w:r>
      <w:r w:rsidRPr="002003C0">
        <w:rPr>
          <w:rFonts w:eastAsia="Times New Roman" w:cstheme="minorHAnsi"/>
          <w:sz w:val="20"/>
          <w:szCs w:val="20"/>
          <w:highlight w:val="magenta"/>
          <w:lang w:val="en-GB" w:eastAsia="en-GB"/>
        </w:rPr>
        <w:t>ΔG = 3.0 ± 0.1 kcal mol−1</w:t>
      </w:r>
      <w:r w:rsidRPr="002003C0">
        <w:rPr>
          <w:rFonts w:eastAsia="Times New Roman" w:cstheme="minorHAnsi"/>
          <w:sz w:val="20"/>
          <w:szCs w:val="20"/>
          <w:lang w:val="en-GB" w:eastAsia="en-GB"/>
        </w:rPr>
        <w:t xml:space="preserve">, m = 1.27 ± 0.06 kcal mol−1 M−1 at </w:t>
      </w:r>
      <w:r w:rsidRPr="002003C0">
        <w:rPr>
          <w:rFonts w:eastAsia="Times New Roman" w:cstheme="minorHAnsi"/>
          <w:sz w:val="20"/>
          <w:szCs w:val="20"/>
          <w:highlight w:val="cyan"/>
          <w:lang w:val="en-GB" w:eastAsia="en-GB"/>
        </w:rPr>
        <w:t>pH 8 and 25°C</w:t>
      </w:r>
      <w:r w:rsidRPr="002003C0">
        <w:rPr>
          <w:rFonts w:eastAsia="Times New Roman" w:cstheme="minorHAnsi"/>
          <w:sz w:val="20"/>
          <w:szCs w:val="20"/>
          <w:lang w:val="en-GB" w:eastAsia="en-GB"/>
        </w:rPr>
        <w:t>) (Chen and Clark 2003), and representative data are shown in Figure 3 for comparison with the mutants. The results show that two mutants (</w:t>
      </w:r>
      <w:r w:rsidRPr="002003C0">
        <w:rPr>
          <w:rFonts w:eastAsia="Times New Roman" w:cstheme="minorHAnsi"/>
          <w:sz w:val="20"/>
          <w:szCs w:val="20"/>
          <w:highlight w:val="green"/>
          <w:lang w:val="en-GB" w:eastAsia="en-GB"/>
        </w:rPr>
        <w:t>P87A</w:t>
      </w:r>
      <w:r w:rsidRPr="002003C0">
        <w:rPr>
          <w:rFonts w:eastAsia="Times New Roman" w:cstheme="minorHAnsi"/>
          <w:sz w:val="20"/>
          <w:szCs w:val="20"/>
          <w:lang w:val="en-GB" w:eastAsia="en-GB"/>
        </w:rPr>
        <w:t xml:space="preserve"> and </w:t>
      </w:r>
      <w:r w:rsidRPr="002003C0">
        <w:rPr>
          <w:rFonts w:eastAsia="Times New Roman" w:cstheme="minorHAnsi"/>
          <w:sz w:val="20"/>
          <w:szCs w:val="20"/>
          <w:highlight w:val="green"/>
          <w:lang w:val="en-GB" w:eastAsia="en-GB"/>
        </w:rPr>
        <w:t>P85A</w:t>
      </w:r>
      <w:r w:rsidRPr="002003C0">
        <w:rPr>
          <w:rFonts w:eastAsia="Times New Roman" w:cstheme="minorHAnsi"/>
          <w:sz w:val="20"/>
          <w:szCs w:val="20"/>
          <w:lang w:val="en-GB" w:eastAsia="en-GB"/>
        </w:rPr>
        <w:t>/</w:t>
      </w:r>
      <w:r w:rsidRPr="002003C0">
        <w:rPr>
          <w:rFonts w:eastAsia="Times New Roman" w:cstheme="minorHAnsi"/>
          <w:sz w:val="20"/>
          <w:szCs w:val="20"/>
          <w:highlight w:val="green"/>
          <w:lang w:val="en-GB" w:eastAsia="en-GB"/>
        </w:rPr>
        <w:t>P87A</w:t>
      </w:r>
      <w:r w:rsidRPr="002003C0">
        <w:rPr>
          <w:rFonts w:eastAsia="Times New Roman" w:cstheme="minorHAnsi"/>
          <w:sz w:val="20"/>
          <w:szCs w:val="20"/>
          <w:lang w:val="en-GB" w:eastAsia="en-GB"/>
        </w:rPr>
        <w:t xml:space="preserve">) are described by an apparent two‐state equilibrium folding process. In agreement with the CD spectra (Fig. 2), which show a loss in secondary structure, the proteins are less stable than is wild‐type </w:t>
      </w:r>
      <w:r w:rsidRPr="002003C0">
        <w:rPr>
          <w:rFonts w:eastAsia="Times New Roman" w:cstheme="minorHAnsi"/>
          <w:sz w:val="20"/>
          <w:szCs w:val="20"/>
          <w:highlight w:val="yellow"/>
          <w:lang w:val="en-GB" w:eastAsia="en-GB"/>
        </w:rPr>
        <w:t>RICK‐CARD</w:t>
      </w:r>
      <w:r w:rsidRPr="002003C0">
        <w:rPr>
          <w:rFonts w:eastAsia="Times New Roman" w:cstheme="minorHAnsi"/>
          <w:sz w:val="20"/>
          <w:szCs w:val="20"/>
          <w:lang w:val="en-GB" w:eastAsia="en-GB"/>
        </w:rPr>
        <w:t>. The mutation of P87 to alanine (Fig. 3C</w:t>
      </w:r>
      <w:r w:rsidR="00B76B3F" w:rsidRPr="002003C0">
        <w:rPr>
          <w:rFonts w:eastAsia="Times New Roman" w:cstheme="minorHAnsi"/>
          <w:sz w:val="20"/>
          <w:szCs w:val="20"/>
          <w:lang w:val="en-GB" w:eastAsia="en-GB"/>
        </w:rPr>
        <w:t>) was the least perturbing (</w:t>
      </w:r>
      <w:r w:rsidR="00B76B3F" w:rsidRPr="002003C0">
        <w:rPr>
          <w:rFonts w:eastAsia="Times New Roman" w:cstheme="minorHAnsi"/>
          <w:sz w:val="20"/>
          <w:szCs w:val="20"/>
          <w:highlight w:val="magenta"/>
          <w:lang w:val="en-GB" w:eastAsia="en-GB"/>
        </w:rPr>
        <w:t xml:space="preserve">ΔG </w:t>
      </w:r>
      <w:r w:rsidRPr="002003C0">
        <w:rPr>
          <w:rFonts w:eastAsia="Times New Roman" w:cstheme="minorHAnsi"/>
          <w:sz w:val="20"/>
          <w:szCs w:val="20"/>
          <w:highlight w:val="magenta"/>
          <w:lang w:val="en-GB" w:eastAsia="en-GB"/>
        </w:rPr>
        <w:t>= 2.4 ± 0.1 kcal</w:t>
      </w:r>
      <w:r w:rsidRPr="002003C0">
        <w:rPr>
          <w:rFonts w:eastAsia="Times New Roman" w:cstheme="minorHAnsi"/>
          <w:sz w:val="20"/>
          <w:szCs w:val="20"/>
          <w:lang w:val="en-GB" w:eastAsia="en-GB"/>
        </w:rPr>
        <w:t xml:space="preserve"> mol−1, m = 1.59 ± 0.08 kcal mol−1 M−1 at </w:t>
      </w:r>
      <w:r w:rsidRPr="002003C0">
        <w:rPr>
          <w:rFonts w:eastAsia="Times New Roman" w:cstheme="minorHAnsi"/>
          <w:sz w:val="20"/>
          <w:szCs w:val="20"/>
          <w:highlight w:val="cyan"/>
          <w:lang w:val="en-GB" w:eastAsia="en-GB"/>
        </w:rPr>
        <w:t>pH 8 and 25°C</w:t>
      </w:r>
      <w:r w:rsidRPr="002003C0">
        <w:rPr>
          <w:rFonts w:eastAsia="Times New Roman" w:cstheme="minorHAnsi"/>
          <w:sz w:val="20"/>
          <w:szCs w:val="20"/>
          <w:lang w:val="en-GB" w:eastAsia="en-GB"/>
        </w:rPr>
        <w:t xml:space="preserve">), although the m‐value is significantly larger than that of wild‐type </w:t>
      </w:r>
      <w:r w:rsidRPr="002003C0">
        <w:rPr>
          <w:rFonts w:eastAsia="Times New Roman" w:cstheme="minorHAnsi"/>
          <w:sz w:val="20"/>
          <w:szCs w:val="20"/>
          <w:highlight w:val="yellow"/>
          <w:lang w:val="en-GB" w:eastAsia="en-GB"/>
        </w:rPr>
        <w:t>RICK‐CARD</w:t>
      </w:r>
      <w:r w:rsidRPr="002003C0">
        <w:rPr>
          <w:rFonts w:eastAsia="Times New Roman" w:cstheme="minorHAnsi"/>
          <w:sz w:val="20"/>
          <w:szCs w:val="20"/>
          <w:lang w:val="en-GB" w:eastAsia="en-GB"/>
        </w:rPr>
        <w:t xml:space="preserve">. Overall, the data for this mutant are consistent with a well‐formed native structure in the absence of denaturant. This agrees with the far‐UV CD spectra (Fig. 2) that showed the </w:t>
      </w:r>
      <w:r w:rsidRPr="002003C0">
        <w:rPr>
          <w:rFonts w:eastAsia="Times New Roman" w:cstheme="minorHAnsi"/>
          <w:sz w:val="20"/>
          <w:szCs w:val="20"/>
          <w:highlight w:val="green"/>
          <w:lang w:val="en-GB" w:eastAsia="en-GB"/>
        </w:rPr>
        <w:t>P87A</w:t>
      </w:r>
      <w:r w:rsidRPr="002003C0">
        <w:rPr>
          <w:rFonts w:eastAsia="Times New Roman" w:cstheme="minorHAnsi"/>
          <w:sz w:val="20"/>
          <w:szCs w:val="20"/>
          <w:lang w:val="en-GB" w:eastAsia="en-GB"/>
        </w:rPr>
        <w:t xml:space="preserve"> substitution to be the least perturbing. In addition, a two‐state process best described the data for the double mutant, </w:t>
      </w:r>
      <w:r w:rsidRPr="002003C0">
        <w:rPr>
          <w:rFonts w:eastAsia="Times New Roman" w:cstheme="minorHAnsi"/>
          <w:sz w:val="20"/>
          <w:szCs w:val="20"/>
          <w:highlight w:val="green"/>
          <w:lang w:val="en-GB" w:eastAsia="en-GB"/>
        </w:rPr>
        <w:t>P85A/P87A</w:t>
      </w:r>
      <w:r w:rsidRPr="002003C0">
        <w:rPr>
          <w:rFonts w:eastAsia="Times New Roman" w:cstheme="minorHAnsi"/>
          <w:sz w:val="20"/>
          <w:szCs w:val="20"/>
          <w:lang w:val="en-GB" w:eastAsia="en-GB"/>
        </w:rPr>
        <w:t xml:space="preserve"> (</w:t>
      </w:r>
      <w:r w:rsidRPr="002003C0">
        <w:rPr>
          <w:rFonts w:eastAsia="Times New Roman" w:cstheme="minorHAnsi"/>
          <w:sz w:val="20"/>
          <w:szCs w:val="20"/>
          <w:highlight w:val="magenta"/>
          <w:lang w:val="en-GB" w:eastAsia="en-GB"/>
        </w:rPr>
        <w:t>ΔG = 1.2 ± 0.1 kcal mol−1</w:t>
      </w:r>
      <w:r w:rsidRPr="002003C0">
        <w:rPr>
          <w:rFonts w:eastAsia="Times New Roman" w:cstheme="minorHAnsi"/>
          <w:sz w:val="20"/>
          <w:szCs w:val="20"/>
          <w:lang w:val="en-GB" w:eastAsia="en-GB"/>
        </w:rPr>
        <w:t xml:space="preserve">, m = 0.62 ± 0.08 kcal mol−1 M−1 at </w:t>
      </w:r>
      <w:r w:rsidRPr="002003C0">
        <w:rPr>
          <w:rFonts w:eastAsia="Times New Roman" w:cstheme="minorHAnsi"/>
          <w:sz w:val="20"/>
          <w:szCs w:val="20"/>
          <w:highlight w:val="cyan"/>
          <w:lang w:val="en-GB" w:eastAsia="en-GB"/>
        </w:rPr>
        <w:t>pH 8 and 25°C</w:t>
      </w:r>
      <w:r w:rsidRPr="002003C0">
        <w:rPr>
          <w:rFonts w:eastAsia="Times New Roman" w:cstheme="minorHAnsi"/>
          <w:sz w:val="20"/>
          <w:szCs w:val="20"/>
          <w:lang w:val="en-GB" w:eastAsia="en-GB"/>
        </w:rPr>
        <w:t xml:space="preserve">) (Fig. 3F); however, the large urea‐dependent baseline in the pretransition suggests that the native ensemble consists of a mixture of native and non‐native conformations. This also agrees with the </w:t>
      </w:r>
      <w:r w:rsidRPr="002003C0">
        <w:rPr>
          <w:rFonts w:eastAsia="Times New Roman" w:cstheme="minorHAnsi"/>
          <w:sz w:val="20"/>
          <w:szCs w:val="20"/>
          <w:highlight w:val="cyan"/>
          <w:lang w:val="en-GB" w:eastAsia="en-GB"/>
        </w:rPr>
        <w:t>CD spectra</w:t>
      </w:r>
      <w:r w:rsidRPr="002003C0">
        <w:rPr>
          <w:rFonts w:eastAsia="Times New Roman" w:cstheme="minorHAnsi"/>
          <w:sz w:val="20"/>
          <w:szCs w:val="20"/>
          <w:lang w:val="en-GB" w:eastAsia="en-GB"/>
        </w:rPr>
        <w:t xml:space="preserve"> (Fig. 2), which show a decrease in secondary and tertiary structure for this mutant.</w:t>
      </w:r>
    </w:p>
    <w:p w14:paraId="27DAA44C" w14:textId="77777777" w:rsidR="00057C27" w:rsidRPr="002003C0" w:rsidRDefault="00057C27" w:rsidP="00D914A9">
      <w:pPr>
        <w:pBdr>
          <w:bottom w:val="single" w:sz="12" w:space="1" w:color="auto"/>
        </w:pBdr>
        <w:spacing w:after="0" w:line="240" w:lineRule="auto"/>
        <w:rPr>
          <w:rFonts w:eastAsia="Times New Roman" w:cstheme="minorHAnsi"/>
          <w:sz w:val="20"/>
          <w:szCs w:val="20"/>
          <w:lang w:val="en-GB" w:eastAsia="en-GB"/>
        </w:rPr>
      </w:pPr>
    </w:p>
    <w:p w14:paraId="09DDBD72" w14:textId="77777777" w:rsidR="00057C27" w:rsidRPr="002003C0" w:rsidRDefault="00057C27" w:rsidP="00D914A9">
      <w:pPr>
        <w:spacing w:after="0" w:line="240" w:lineRule="auto"/>
        <w:rPr>
          <w:rFonts w:eastAsia="Times New Roman" w:cstheme="minorHAnsi"/>
          <w:sz w:val="20"/>
          <w:szCs w:val="20"/>
          <w:lang w:val="en-GB" w:eastAsia="en-GB"/>
        </w:rPr>
      </w:pPr>
    </w:p>
    <w:p w14:paraId="2BE1A663" w14:textId="0AB04796" w:rsidR="00C66280" w:rsidRPr="003967FE" w:rsidRDefault="000143E9" w:rsidP="00C66280">
      <w:pPr>
        <w:spacing w:line="330" w:lineRule="atLeast"/>
        <w:ind w:left="360" w:right="360"/>
        <w:rPr>
          <w:rFonts w:eastAsia="Times New Roman" w:cstheme="minorHAnsi"/>
          <w:b/>
          <w:bCs/>
          <w:sz w:val="20"/>
          <w:szCs w:val="20"/>
          <w:lang w:val="en-GB" w:eastAsia="en-GB"/>
        </w:rPr>
      </w:pPr>
      <w:r>
        <w:rPr>
          <w:rFonts w:eastAsia="Times New Roman" w:cstheme="minorHAnsi"/>
          <w:b/>
          <w:bCs/>
          <w:sz w:val="20"/>
          <w:szCs w:val="20"/>
          <w:lang w:val="en-GB" w:eastAsia="en-GB"/>
        </w:rPr>
        <w:t>S</w:t>
      </w:r>
      <w:r w:rsidRPr="000143E9">
        <w:rPr>
          <w:rFonts w:eastAsia="Times New Roman" w:cstheme="minorHAnsi"/>
          <w:b/>
          <w:bCs/>
          <w:sz w:val="20"/>
          <w:szCs w:val="20"/>
          <w:lang w:val="en-GB" w:eastAsia="en-GB"/>
        </w:rPr>
        <w:t>tability 09 (PMID: 29132128)</w:t>
      </w:r>
    </w:p>
    <w:p w14:paraId="1AB97CFB" w14:textId="77777777" w:rsidR="00057C27" w:rsidRPr="002003C0" w:rsidRDefault="00057C27" w:rsidP="00057C27">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 xml:space="preserve">The stability of both </w:t>
      </w:r>
      <w:r w:rsidRPr="002003C0">
        <w:rPr>
          <w:rFonts w:eastAsia="Times New Roman" w:cstheme="minorHAnsi"/>
          <w:sz w:val="20"/>
          <w:szCs w:val="20"/>
          <w:highlight w:val="yellow"/>
          <w:lang w:val="en-GB" w:eastAsia="en-GB"/>
        </w:rPr>
        <w:t>FF domains</w:t>
      </w:r>
      <w:r w:rsidRPr="002003C0">
        <w:rPr>
          <w:rFonts w:eastAsia="Times New Roman" w:cstheme="minorHAnsi"/>
          <w:sz w:val="20"/>
          <w:szCs w:val="20"/>
          <w:lang w:val="en-GB" w:eastAsia="en-GB"/>
        </w:rPr>
        <w:t xml:space="preserve"> resulted considerably perturbed by CySO3H formation (Fig. 3A and B), with a </w:t>
      </w:r>
      <w:r w:rsidRPr="002003C0">
        <w:rPr>
          <w:rFonts w:eastAsia="Times New Roman" w:cstheme="minorHAnsi"/>
          <w:sz w:val="20"/>
          <w:szCs w:val="20"/>
          <w:highlight w:val="magenta"/>
          <w:lang w:val="en-GB" w:eastAsia="en-GB"/>
        </w:rPr>
        <w:t>decrease</w:t>
      </w:r>
      <w:r w:rsidRPr="002003C0">
        <w:rPr>
          <w:rFonts w:eastAsia="Times New Roman" w:cstheme="minorHAnsi"/>
          <w:sz w:val="20"/>
          <w:szCs w:val="20"/>
          <w:lang w:val="en-GB" w:eastAsia="en-GB"/>
        </w:rPr>
        <w:t xml:space="preserve"> in </w:t>
      </w:r>
      <w:r w:rsidRPr="002003C0">
        <w:rPr>
          <w:rFonts w:eastAsia="Times New Roman" w:cstheme="minorHAnsi"/>
          <w:sz w:val="20"/>
          <w:szCs w:val="20"/>
          <w:highlight w:val="yellow"/>
          <w:lang w:val="en-GB" w:eastAsia="en-GB"/>
        </w:rPr>
        <w:t>FF-WT-OX</w:t>
      </w:r>
      <w:r w:rsidRPr="002003C0">
        <w:rPr>
          <w:rFonts w:eastAsia="Times New Roman" w:cstheme="minorHAnsi"/>
          <w:sz w:val="20"/>
          <w:szCs w:val="20"/>
          <w:lang w:val="en-GB" w:eastAsia="en-GB"/>
        </w:rPr>
        <w:t xml:space="preserve"> </w:t>
      </w:r>
      <w:r w:rsidRPr="002003C0">
        <w:rPr>
          <w:rFonts w:eastAsia="Times New Roman" w:cstheme="minorHAnsi"/>
          <w:sz w:val="20"/>
          <w:szCs w:val="20"/>
          <w:highlight w:val="magenta"/>
          <w:lang w:val="en-GB" w:eastAsia="en-GB"/>
        </w:rPr>
        <w:t>Tm of ≈ 20 K</w:t>
      </w:r>
      <w:r w:rsidRPr="002003C0">
        <w:rPr>
          <w:rFonts w:eastAsia="Times New Roman" w:cstheme="minorHAnsi"/>
          <w:sz w:val="20"/>
          <w:szCs w:val="20"/>
          <w:lang w:val="en-GB" w:eastAsia="en-GB"/>
        </w:rPr>
        <w:t xml:space="preserve"> respect that of FF-WT, and a reduction &gt; 20 K in the case of the </w:t>
      </w:r>
      <w:r w:rsidRPr="002003C0">
        <w:rPr>
          <w:rFonts w:eastAsia="Times New Roman" w:cstheme="minorHAnsi"/>
          <w:sz w:val="20"/>
          <w:szCs w:val="20"/>
          <w:highlight w:val="green"/>
          <w:lang w:val="en-GB" w:eastAsia="en-GB"/>
        </w:rPr>
        <w:t>R18A-OX-Tm</w:t>
      </w:r>
      <w:r w:rsidRPr="002003C0">
        <w:rPr>
          <w:rFonts w:eastAsia="Times New Roman" w:cstheme="minorHAnsi"/>
          <w:sz w:val="20"/>
          <w:szCs w:val="20"/>
          <w:lang w:val="en-GB" w:eastAsia="en-GB"/>
        </w:rPr>
        <w:t xml:space="preserve"> relative to </w:t>
      </w:r>
      <w:r w:rsidRPr="002003C0">
        <w:rPr>
          <w:rFonts w:eastAsia="Times New Roman" w:cstheme="minorHAnsi"/>
          <w:sz w:val="20"/>
          <w:szCs w:val="20"/>
          <w:highlight w:val="green"/>
          <w:lang w:val="en-GB" w:eastAsia="en-GB"/>
        </w:rPr>
        <w:t>FF-R18A</w:t>
      </w:r>
      <w:r w:rsidRPr="002003C0">
        <w:rPr>
          <w:rFonts w:eastAsia="Times New Roman" w:cstheme="minorHAnsi"/>
          <w:sz w:val="20"/>
          <w:szCs w:val="20"/>
          <w:lang w:val="en-GB" w:eastAsia="en-GB"/>
        </w:rPr>
        <w:t xml:space="preserve"> (supplementary Table 2). These data were corroborated by </w:t>
      </w:r>
      <w:r w:rsidRPr="002003C0">
        <w:rPr>
          <w:rFonts w:eastAsia="Times New Roman" w:cstheme="minorHAnsi"/>
          <w:sz w:val="20"/>
          <w:szCs w:val="20"/>
          <w:highlight w:val="cyan"/>
          <w:lang w:val="en-GB" w:eastAsia="en-GB"/>
        </w:rPr>
        <w:t>thermal denaturation</w:t>
      </w:r>
      <w:r w:rsidRPr="002003C0">
        <w:rPr>
          <w:rFonts w:eastAsia="Times New Roman" w:cstheme="minorHAnsi"/>
          <w:sz w:val="20"/>
          <w:szCs w:val="20"/>
          <w:lang w:val="en-GB" w:eastAsia="en-GB"/>
        </w:rPr>
        <w:t xml:space="preserve"> followed by H-NMR1. Reduction of the native signal dispersion is observed at lower temperatures in oxidized than in non-oxidized species both for </w:t>
      </w:r>
      <w:r w:rsidRPr="002003C0">
        <w:rPr>
          <w:rFonts w:eastAsia="Times New Roman" w:cstheme="minorHAnsi"/>
          <w:sz w:val="20"/>
          <w:szCs w:val="20"/>
          <w:highlight w:val="yellow"/>
          <w:lang w:val="en-GB" w:eastAsia="en-GB"/>
        </w:rPr>
        <w:t>FF-WT</w:t>
      </w:r>
      <w:r w:rsidRPr="002003C0">
        <w:rPr>
          <w:rFonts w:eastAsia="Times New Roman" w:cstheme="minorHAnsi"/>
          <w:sz w:val="20"/>
          <w:szCs w:val="20"/>
          <w:lang w:val="en-GB" w:eastAsia="en-GB"/>
        </w:rPr>
        <w:t xml:space="preserve"> and </w:t>
      </w:r>
      <w:r w:rsidRPr="002003C0">
        <w:rPr>
          <w:rFonts w:eastAsia="Times New Roman" w:cstheme="minorHAnsi"/>
          <w:sz w:val="20"/>
          <w:szCs w:val="20"/>
          <w:highlight w:val="green"/>
          <w:lang w:val="en-GB" w:eastAsia="en-GB"/>
        </w:rPr>
        <w:t>FF-R18A</w:t>
      </w:r>
      <w:r w:rsidRPr="002003C0">
        <w:rPr>
          <w:rFonts w:eastAsia="Times New Roman" w:cstheme="minorHAnsi"/>
          <w:sz w:val="20"/>
          <w:szCs w:val="20"/>
          <w:lang w:val="en-GB" w:eastAsia="en-GB"/>
        </w:rPr>
        <w:t xml:space="preserve"> (supplementary Fig. 2). In all cases the reaction was reversible.</w:t>
      </w:r>
    </w:p>
    <w:p w14:paraId="58FC765C" w14:textId="77777777" w:rsidR="00057C27" w:rsidRPr="002003C0" w:rsidRDefault="00057C27" w:rsidP="00057C27">
      <w:pPr>
        <w:spacing w:after="0" w:line="240" w:lineRule="auto"/>
        <w:rPr>
          <w:rFonts w:eastAsia="Times New Roman" w:cstheme="minorHAnsi"/>
          <w:sz w:val="20"/>
          <w:szCs w:val="20"/>
          <w:lang w:val="en-GB" w:eastAsia="en-GB"/>
        </w:rPr>
      </w:pPr>
    </w:p>
    <w:p w14:paraId="685584B5" w14:textId="77777777" w:rsidR="00057C27" w:rsidRDefault="00057C27" w:rsidP="00057C27">
      <w:pPr>
        <w:spacing w:after="0" w:line="240" w:lineRule="auto"/>
        <w:rPr>
          <w:rFonts w:eastAsia="Times New Roman" w:cstheme="minorHAnsi"/>
          <w:sz w:val="20"/>
          <w:szCs w:val="20"/>
          <w:lang w:val="en-GB" w:eastAsia="en-GB"/>
        </w:rPr>
      </w:pPr>
      <w:r w:rsidRPr="002003C0">
        <w:rPr>
          <w:rFonts w:eastAsia="Times New Roman" w:cstheme="minorHAnsi"/>
          <w:sz w:val="20"/>
          <w:szCs w:val="20"/>
          <w:lang w:val="en-GB" w:eastAsia="en-GB"/>
        </w:rPr>
        <w:t xml:space="preserve">The </w:t>
      </w:r>
      <w:r w:rsidRPr="002003C0">
        <w:rPr>
          <w:rFonts w:eastAsia="Times New Roman" w:cstheme="minorHAnsi"/>
          <w:sz w:val="20"/>
          <w:szCs w:val="20"/>
          <w:highlight w:val="cyan"/>
          <w:lang w:val="en-GB" w:eastAsia="en-GB"/>
        </w:rPr>
        <w:t>chemical unfolding</w:t>
      </w:r>
      <w:r w:rsidRPr="002003C0">
        <w:rPr>
          <w:rFonts w:eastAsia="Times New Roman" w:cstheme="minorHAnsi"/>
          <w:sz w:val="20"/>
          <w:szCs w:val="20"/>
          <w:lang w:val="en-GB" w:eastAsia="en-GB"/>
        </w:rPr>
        <w:t xml:space="preserve"> of the </w:t>
      </w:r>
      <w:r w:rsidRPr="002003C0">
        <w:rPr>
          <w:rFonts w:eastAsia="Times New Roman" w:cstheme="minorHAnsi"/>
          <w:sz w:val="20"/>
          <w:szCs w:val="20"/>
          <w:highlight w:val="yellow"/>
          <w:lang w:val="en-GB" w:eastAsia="en-GB"/>
        </w:rPr>
        <w:t>FF domains</w:t>
      </w:r>
      <w:r w:rsidRPr="002003C0">
        <w:rPr>
          <w:rFonts w:eastAsia="Times New Roman" w:cstheme="minorHAnsi"/>
          <w:sz w:val="20"/>
          <w:szCs w:val="20"/>
          <w:lang w:val="en-GB" w:eastAsia="en-GB"/>
        </w:rPr>
        <w:t xml:space="preserve"> was analyzed at </w:t>
      </w:r>
      <w:r w:rsidRPr="002003C0">
        <w:rPr>
          <w:rFonts w:eastAsia="Times New Roman" w:cstheme="minorHAnsi"/>
          <w:sz w:val="20"/>
          <w:szCs w:val="20"/>
          <w:highlight w:val="cyan"/>
          <w:lang w:val="en-GB" w:eastAsia="en-GB"/>
        </w:rPr>
        <w:t>pH 5.7 and 298 K</w:t>
      </w:r>
      <w:r w:rsidRPr="002003C0">
        <w:rPr>
          <w:rFonts w:eastAsia="Times New Roman" w:cstheme="minorHAnsi"/>
          <w:sz w:val="20"/>
          <w:szCs w:val="20"/>
          <w:lang w:val="en-GB" w:eastAsia="en-GB"/>
        </w:rPr>
        <w:t xml:space="preserve">. The </w:t>
      </w:r>
      <w:r w:rsidRPr="002003C0">
        <w:rPr>
          <w:rFonts w:eastAsia="Times New Roman" w:cstheme="minorHAnsi"/>
          <w:sz w:val="20"/>
          <w:szCs w:val="20"/>
          <w:highlight w:val="cyan"/>
          <w:lang w:val="en-GB" w:eastAsia="en-GB"/>
        </w:rPr>
        <w:t>urea denaturation</w:t>
      </w:r>
      <w:r w:rsidRPr="002003C0">
        <w:rPr>
          <w:rFonts w:eastAsia="Times New Roman" w:cstheme="minorHAnsi"/>
          <w:sz w:val="20"/>
          <w:szCs w:val="20"/>
          <w:lang w:val="en-GB" w:eastAsia="en-GB"/>
        </w:rPr>
        <w:t xml:space="preserve"> curves at equilibrium were obtained recording the changes in molar ellipticity at 222 nm (Fig. 3C) and Trp intrinsic fluorescence at 360 nm (Fig. 3D) at increasing denaturant concentrations. The thermodynamic values were calculated assuming a two-state model according to the unfolding single cooperative transition shown by all </w:t>
      </w:r>
      <w:r w:rsidRPr="002003C0">
        <w:rPr>
          <w:rFonts w:eastAsia="Times New Roman" w:cstheme="minorHAnsi"/>
          <w:sz w:val="20"/>
          <w:szCs w:val="20"/>
          <w:highlight w:val="yellow"/>
          <w:lang w:val="en-GB" w:eastAsia="en-GB"/>
        </w:rPr>
        <w:t>FF domains</w:t>
      </w:r>
      <w:r w:rsidRPr="002003C0">
        <w:rPr>
          <w:rFonts w:eastAsia="Times New Roman" w:cstheme="minorHAnsi"/>
          <w:sz w:val="20"/>
          <w:szCs w:val="20"/>
          <w:lang w:val="en-GB" w:eastAsia="en-GB"/>
        </w:rPr>
        <w:t xml:space="preserve"> (Table 1). The </w:t>
      </w:r>
      <w:r w:rsidRPr="002003C0">
        <w:rPr>
          <w:rFonts w:eastAsia="Times New Roman" w:cstheme="minorHAnsi"/>
          <w:sz w:val="20"/>
          <w:szCs w:val="20"/>
          <w:highlight w:val="magenta"/>
          <w:lang w:val="en-GB" w:eastAsia="en-GB"/>
        </w:rPr>
        <w:t>ΔGF-U</w:t>
      </w:r>
      <w:r w:rsidRPr="002003C0">
        <w:rPr>
          <w:rFonts w:eastAsia="Times New Roman" w:cstheme="minorHAnsi"/>
          <w:sz w:val="20"/>
          <w:szCs w:val="20"/>
          <w:lang w:val="en-GB" w:eastAsia="en-GB"/>
        </w:rPr>
        <w:t xml:space="preserve"> of </w:t>
      </w:r>
      <w:r w:rsidRPr="002003C0">
        <w:rPr>
          <w:rFonts w:eastAsia="Times New Roman" w:cstheme="minorHAnsi"/>
          <w:sz w:val="20"/>
          <w:szCs w:val="20"/>
          <w:highlight w:val="green"/>
          <w:lang w:val="en-GB" w:eastAsia="en-GB"/>
        </w:rPr>
        <w:t>FF-WT-OX</w:t>
      </w:r>
      <w:r w:rsidRPr="002003C0">
        <w:rPr>
          <w:rFonts w:eastAsia="Times New Roman" w:cstheme="minorHAnsi"/>
          <w:sz w:val="20"/>
          <w:szCs w:val="20"/>
          <w:lang w:val="en-GB" w:eastAsia="en-GB"/>
        </w:rPr>
        <w:t xml:space="preserve"> measured by </w:t>
      </w:r>
      <w:r w:rsidRPr="002003C0">
        <w:rPr>
          <w:rFonts w:eastAsia="Times New Roman" w:cstheme="minorHAnsi"/>
          <w:sz w:val="20"/>
          <w:szCs w:val="20"/>
          <w:highlight w:val="cyan"/>
          <w:lang w:val="en-GB" w:eastAsia="en-GB"/>
        </w:rPr>
        <w:t>fluorescence and CD spectroscopy corresponds</w:t>
      </w:r>
      <w:r w:rsidRPr="002003C0">
        <w:rPr>
          <w:rFonts w:eastAsia="Times New Roman" w:cstheme="minorHAnsi"/>
          <w:sz w:val="20"/>
          <w:szCs w:val="20"/>
          <w:lang w:val="en-GB" w:eastAsia="en-GB"/>
        </w:rPr>
        <w:t xml:space="preserve"> to ≈ </w:t>
      </w:r>
      <w:r w:rsidRPr="002003C0">
        <w:rPr>
          <w:rFonts w:eastAsia="Times New Roman" w:cstheme="minorHAnsi"/>
          <w:sz w:val="20"/>
          <w:szCs w:val="20"/>
          <w:highlight w:val="magenta"/>
          <w:lang w:val="en-GB" w:eastAsia="en-GB"/>
        </w:rPr>
        <w:t>1.5 kcal/mol</w:t>
      </w:r>
      <w:r w:rsidRPr="002003C0">
        <w:rPr>
          <w:rFonts w:eastAsia="Times New Roman" w:cstheme="minorHAnsi"/>
          <w:sz w:val="20"/>
          <w:szCs w:val="20"/>
          <w:lang w:val="en-GB" w:eastAsia="en-GB"/>
        </w:rPr>
        <w:t xml:space="preserve"> </w:t>
      </w:r>
      <w:r w:rsidRPr="002003C0">
        <w:rPr>
          <w:rFonts w:eastAsia="Times New Roman" w:cstheme="minorHAnsi"/>
          <w:sz w:val="20"/>
          <w:szCs w:val="20"/>
          <w:highlight w:val="cyan"/>
          <w:lang w:val="en-GB" w:eastAsia="en-GB"/>
        </w:rPr>
        <w:t>with a [Urea]50% of ≈ 2 M</w:t>
      </w:r>
      <w:r w:rsidRPr="002003C0">
        <w:rPr>
          <w:rFonts w:eastAsia="Times New Roman" w:cstheme="minorHAnsi"/>
          <w:sz w:val="20"/>
          <w:szCs w:val="20"/>
          <w:lang w:val="en-GB" w:eastAsia="en-GB"/>
        </w:rPr>
        <w:t xml:space="preserve">, in contrast to the </w:t>
      </w:r>
      <w:r w:rsidRPr="002003C0">
        <w:rPr>
          <w:rFonts w:eastAsia="Times New Roman" w:cstheme="minorHAnsi"/>
          <w:sz w:val="20"/>
          <w:szCs w:val="20"/>
          <w:highlight w:val="magenta"/>
          <w:lang w:val="en-GB" w:eastAsia="en-GB"/>
        </w:rPr>
        <w:t>≈ 5.0 kcal/mol</w:t>
      </w:r>
      <w:r w:rsidRPr="002003C0">
        <w:rPr>
          <w:rFonts w:eastAsia="Times New Roman" w:cstheme="minorHAnsi"/>
          <w:sz w:val="20"/>
          <w:szCs w:val="20"/>
          <w:lang w:val="en-GB" w:eastAsia="en-GB"/>
        </w:rPr>
        <w:t xml:space="preserve"> and [Urea]50% of ≈ 6 M exhibited by </w:t>
      </w:r>
      <w:r w:rsidRPr="002003C0">
        <w:rPr>
          <w:rFonts w:eastAsia="Times New Roman" w:cstheme="minorHAnsi"/>
          <w:sz w:val="20"/>
          <w:szCs w:val="20"/>
          <w:highlight w:val="yellow"/>
          <w:lang w:val="en-GB" w:eastAsia="en-GB"/>
        </w:rPr>
        <w:t>FF-WT</w:t>
      </w:r>
      <w:r w:rsidRPr="002003C0">
        <w:rPr>
          <w:rFonts w:eastAsia="Times New Roman" w:cstheme="minorHAnsi"/>
          <w:sz w:val="20"/>
          <w:szCs w:val="20"/>
          <w:lang w:val="en-GB" w:eastAsia="en-GB"/>
        </w:rPr>
        <w:t xml:space="preserve">. Reliable thermodynamic values could not be approximated for </w:t>
      </w:r>
      <w:r w:rsidRPr="002003C0">
        <w:rPr>
          <w:rFonts w:eastAsia="Times New Roman" w:cstheme="minorHAnsi"/>
          <w:sz w:val="20"/>
          <w:szCs w:val="20"/>
          <w:highlight w:val="green"/>
          <w:lang w:val="en-GB" w:eastAsia="en-GB"/>
        </w:rPr>
        <w:t>FF-R18A-OX</w:t>
      </w:r>
      <w:r w:rsidRPr="002003C0">
        <w:rPr>
          <w:rFonts w:eastAsia="Times New Roman" w:cstheme="minorHAnsi"/>
          <w:sz w:val="20"/>
          <w:szCs w:val="20"/>
          <w:lang w:val="en-GB" w:eastAsia="en-GB"/>
        </w:rPr>
        <w:t xml:space="preserve"> since it unfolds at very low urea concentrations (&lt; 1 M). In </w:t>
      </w:r>
      <w:r w:rsidRPr="002003C0">
        <w:rPr>
          <w:rFonts w:eastAsia="Times New Roman" w:cstheme="minorHAnsi"/>
          <w:sz w:val="20"/>
          <w:szCs w:val="20"/>
          <w:highlight w:val="yellow"/>
          <w:lang w:val="en-GB" w:eastAsia="en-GB"/>
        </w:rPr>
        <w:t>FF-WT</w:t>
      </w:r>
      <w:r w:rsidRPr="002003C0">
        <w:rPr>
          <w:rFonts w:eastAsia="Times New Roman" w:cstheme="minorHAnsi"/>
          <w:sz w:val="20"/>
          <w:szCs w:val="20"/>
          <w:lang w:val="en-GB" w:eastAsia="en-GB"/>
        </w:rPr>
        <w:t xml:space="preserve">, CySO3H reduces </w:t>
      </w:r>
      <w:r w:rsidRPr="002003C0">
        <w:rPr>
          <w:rFonts w:eastAsia="Times New Roman" w:cstheme="minorHAnsi"/>
          <w:sz w:val="20"/>
          <w:szCs w:val="20"/>
          <w:highlight w:val="magenta"/>
          <w:lang w:val="en-GB" w:eastAsia="en-GB"/>
        </w:rPr>
        <w:t>ΔGF-U by ≈ 3.5 kcal/mol</w:t>
      </w:r>
      <w:r w:rsidRPr="002003C0">
        <w:rPr>
          <w:rFonts w:eastAsia="Times New Roman" w:cstheme="minorHAnsi"/>
          <w:sz w:val="20"/>
          <w:szCs w:val="20"/>
          <w:lang w:val="en-GB" w:eastAsia="en-GB"/>
        </w:rPr>
        <w:t xml:space="preserve">. Because </w:t>
      </w:r>
      <w:r w:rsidRPr="002003C0">
        <w:rPr>
          <w:rFonts w:eastAsia="Times New Roman" w:cstheme="minorHAnsi"/>
          <w:sz w:val="20"/>
          <w:szCs w:val="20"/>
          <w:highlight w:val="green"/>
          <w:lang w:val="en-GB" w:eastAsia="en-GB"/>
        </w:rPr>
        <w:t>FF-R18A</w:t>
      </w:r>
      <w:r w:rsidRPr="002003C0">
        <w:rPr>
          <w:rFonts w:eastAsia="Times New Roman" w:cstheme="minorHAnsi"/>
          <w:sz w:val="20"/>
          <w:szCs w:val="20"/>
          <w:lang w:val="en-GB" w:eastAsia="en-GB"/>
        </w:rPr>
        <w:t xml:space="preserve"> </w:t>
      </w:r>
      <w:r w:rsidRPr="002003C0">
        <w:rPr>
          <w:rFonts w:eastAsia="Times New Roman" w:cstheme="minorHAnsi"/>
          <w:sz w:val="20"/>
          <w:szCs w:val="20"/>
          <w:highlight w:val="magenta"/>
          <w:lang w:val="en-GB" w:eastAsia="en-GB"/>
        </w:rPr>
        <w:t>ΔGF-U ≈ 3.5 kcal/mol</w:t>
      </w:r>
      <w:r w:rsidRPr="002003C0">
        <w:rPr>
          <w:rFonts w:eastAsia="Times New Roman" w:cstheme="minorHAnsi"/>
          <w:sz w:val="20"/>
          <w:szCs w:val="20"/>
          <w:lang w:val="en-GB" w:eastAsia="en-GB"/>
        </w:rPr>
        <w:t xml:space="preserve"> is not surprising that </w:t>
      </w:r>
      <w:r w:rsidRPr="002003C0">
        <w:rPr>
          <w:rFonts w:eastAsia="Times New Roman" w:cstheme="minorHAnsi"/>
          <w:sz w:val="20"/>
          <w:szCs w:val="20"/>
          <w:highlight w:val="green"/>
          <w:lang w:val="en-GB" w:eastAsia="en-GB"/>
        </w:rPr>
        <w:t>FF-R18A-OX</w:t>
      </w:r>
      <w:r w:rsidRPr="002003C0">
        <w:rPr>
          <w:rFonts w:eastAsia="Times New Roman" w:cstheme="minorHAnsi"/>
          <w:sz w:val="20"/>
          <w:szCs w:val="20"/>
          <w:lang w:val="en-GB" w:eastAsia="en-GB"/>
        </w:rPr>
        <w:t xml:space="preserve"> is unstable even in the absence of denaturant.</w:t>
      </w:r>
    </w:p>
    <w:p w14:paraId="33D0F310" w14:textId="77777777" w:rsidR="003D6847" w:rsidRDefault="003D6847" w:rsidP="00057C27">
      <w:pPr>
        <w:pBdr>
          <w:bottom w:val="single" w:sz="12" w:space="1" w:color="auto"/>
        </w:pBdr>
        <w:spacing w:after="0" w:line="240" w:lineRule="auto"/>
        <w:rPr>
          <w:rFonts w:eastAsia="Times New Roman" w:cstheme="minorHAnsi"/>
          <w:sz w:val="20"/>
          <w:szCs w:val="20"/>
          <w:lang w:val="en-GB" w:eastAsia="en-GB"/>
        </w:rPr>
      </w:pPr>
    </w:p>
    <w:p w14:paraId="72098872" w14:textId="77777777" w:rsidR="003D6847" w:rsidRDefault="003D6847" w:rsidP="00057C27">
      <w:pPr>
        <w:spacing w:after="0" w:line="240" w:lineRule="auto"/>
        <w:rPr>
          <w:rFonts w:eastAsia="Times New Roman" w:cstheme="minorHAnsi"/>
          <w:sz w:val="20"/>
          <w:szCs w:val="20"/>
          <w:lang w:val="en-GB" w:eastAsia="en-GB"/>
        </w:rPr>
      </w:pPr>
    </w:p>
    <w:p w14:paraId="673A9149" w14:textId="352F37DF" w:rsidR="00C66280" w:rsidRPr="003967FE" w:rsidRDefault="000143E9" w:rsidP="00C66280">
      <w:pPr>
        <w:spacing w:line="330" w:lineRule="atLeast"/>
        <w:ind w:left="360" w:right="360"/>
        <w:rPr>
          <w:rFonts w:eastAsia="Times New Roman" w:cstheme="minorHAnsi"/>
          <w:b/>
          <w:bCs/>
          <w:sz w:val="20"/>
          <w:szCs w:val="20"/>
          <w:lang w:val="en-GB" w:eastAsia="en-GB"/>
        </w:rPr>
      </w:pPr>
      <w:r>
        <w:rPr>
          <w:rFonts w:eastAsia="Times New Roman" w:cstheme="minorHAnsi"/>
          <w:b/>
          <w:bCs/>
          <w:sz w:val="20"/>
          <w:szCs w:val="20"/>
          <w:lang w:val="en-GB" w:eastAsia="en-GB"/>
        </w:rPr>
        <w:t>S</w:t>
      </w:r>
      <w:r w:rsidRPr="000143E9">
        <w:rPr>
          <w:rFonts w:eastAsia="Times New Roman" w:cstheme="minorHAnsi"/>
          <w:b/>
          <w:bCs/>
          <w:sz w:val="20"/>
          <w:szCs w:val="20"/>
          <w:lang w:val="en-GB" w:eastAsia="en-GB"/>
        </w:rPr>
        <w:t>tability 10 (PMID: 26880334)</w:t>
      </w:r>
    </w:p>
    <w:p w14:paraId="72C4833C" w14:textId="77777777" w:rsidR="003D6847" w:rsidRPr="002003C0" w:rsidRDefault="00AC36B6" w:rsidP="00057C27">
      <w:pPr>
        <w:spacing w:after="0" w:line="240" w:lineRule="auto"/>
        <w:rPr>
          <w:rFonts w:eastAsia="Times New Roman" w:cstheme="minorHAnsi"/>
          <w:sz w:val="20"/>
          <w:szCs w:val="20"/>
          <w:lang w:val="en-GB" w:eastAsia="en-GB"/>
        </w:rPr>
      </w:pPr>
      <w:r w:rsidRPr="00AC36B6">
        <w:rPr>
          <w:rFonts w:eastAsia="Times New Roman" w:cstheme="minorHAnsi"/>
          <w:sz w:val="20"/>
          <w:szCs w:val="20"/>
          <w:lang w:val="en-GB" w:eastAsia="en-GB"/>
        </w:rPr>
        <w:t xml:space="preserve">Thermodynamic and kinetic data for wild-type </w:t>
      </w:r>
      <w:r w:rsidRPr="00BC7A67">
        <w:rPr>
          <w:rFonts w:eastAsia="Times New Roman" w:cstheme="minorHAnsi"/>
          <w:sz w:val="20"/>
          <w:szCs w:val="20"/>
          <w:highlight w:val="yellow"/>
          <w:lang w:val="en-GB" w:eastAsia="en-GB"/>
        </w:rPr>
        <w:t>hPin1 WW</w:t>
      </w:r>
      <w:r w:rsidRPr="00AC36B6">
        <w:rPr>
          <w:rFonts w:eastAsia="Times New Roman" w:cstheme="minorHAnsi"/>
          <w:sz w:val="20"/>
          <w:szCs w:val="20"/>
          <w:lang w:val="en-GB" w:eastAsia="en-GB"/>
        </w:rPr>
        <w:t xml:space="preserve"> and mutants thereof</w:t>
      </w:r>
      <w:r>
        <w:rPr>
          <w:rFonts w:eastAsia="Times New Roman" w:cstheme="minorHAnsi"/>
          <w:sz w:val="20"/>
          <w:szCs w:val="20"/>
          <w:lang w:val="en-GB" w:eastAsia="en-GB"/>
        </w:rPr>
        <w:t xml:space="preserve">.  </w:t>
      </w:r>
      <w:r w:rsidRPr="00AC36B6">
        <w:rPr>
          <w:rFonts w:eastAsia="Times New Roman" w:cstheme="minorHAnsi"/>
          <w:sz w:val="20"/>
          <w:szCs w:val="20"/>
          <w:lang w:val="en-GB" w:eastAsia="en-GB"/>
        </w:rPr>
        <w:t xml:space="preserve">Hydrophobic core 2 lies on the ligand-binding face of the three-stranded β-sheet and is formed by the side chains of residues R14, Y23, and F25 (Fig. 1a). These residues are only moderately conserved in WW domains, presumably because hydrophobic core 2 contributes to stability and ligand binding. </w:t>
      </w:r>
      <w:r w:rsidRPr="00BC7A67">
        <w:rPr>
          <w:rFonts w:eastAsia="Times New Roman" w:cstheme="minorHAnsi"/>
          <w:sz w:val="20"/>
          <w:szCs w:val="20"/>
          <w:highlight w:val="green"/>
          <w:lang w:val="en-GB" w:eastAsia="en-GB"/>
        </w:rPr>
        <w:t>Ala mutations of residues 14, 23, and 25</w:t>
      </w:r>
      <w:r w:rsidRPr="00AC36B6">
        <w:rPr>
          <w:rFonts w:eastAsia="Times New Roman" w:cstheme="minorHAnsi"/>
          <w:sz w:val="20"/>
          <w:szCs w:val="20"/>
          <w:lang w:val="en-GB" w:eastAsia="en-GB"/>
        </w:rPr>
        <w:t xml:space="preserve"> in </w:t>
      </w:r>
      <w:r w:rsidRPr="00BC7A67">
        <w:rPr>
          <w:rFonts w:eastAsia="Times New Roman" w:cstheme="minorHAnsi"/>
          <w:sz w:val="20"/>
          <w:szCs w:val="20"/>
          <w:highlight w:val="yellow"/>
          <w:lang w:val="en-GB" w:eastAsia="en-GB"/>
        </w:rPr>
        <w:t>hPin1 WW</w:t>
      </w:r>
      <w:r w:rsidRPr="00AC36B6">
        <w:rPr>
          <w:rFonts w:eastAsia="Times New Roman" w:cstheme="minorHAnsi"/>
          <w:sz w:val="20"/>
          <w:szCs w:val="20"/>
          <w:lang w:val="en-GB" w:eastAsia="en-GB"/>
        </w:rPr>
        <w:t xml:space="preserve">, although </w:t>
      </w:r>
      <w:r w:rsidRPr="00BC7A67">
        <w:rPr>
          <w:rFonts w:eastAsia="Times New Roman" w:cstheme="minorHAnsi"/>
          <w:sz w:val="20"/>
          <w:szCs w:val="20"/>
          <w:highlight w:val="magenta"/>
          <w:lang w:val="en-GB" w:eastAsia="en-GB"/>
        </w:rPr>
        <w:t>severely destabilizing</w:t>
      </w:r>
      <w:r w:rsidRPr="00AC36B6">
        <w:rPr>
          <w:rFonts w:eastAsia="Times New Roman" w:cstheme="minorHAnsi"/>
          <w:sz w:val="20"/>
          <w:szCs w:val="20"/>
          <w:lang w:val="en-GB" w:eastAsia="en-GB"/>
        </w:rPr>
        <w:t xml:space="preserve"> the native state </w:t>
      </w:r>
      <w:r w:rsidRPr="00BC7A67">
        <w:rPr>
          <w:rFonts w:eastAsia="Times New Roman" w:cstheme="minorHAnsi"/>
          <w:sz w:val="20"/>
          <w:szCs w:val="20"/>
          <w:lang w:val="en-GB" w:eastAsia="en-GB"/>
        </w:rPr>
        <w:t>(</w:t>
      </w:r>
      <w:r w:rsidRPr="00BC7A67">
        <w:rPr>
          <w:rFonts w:eastAsia="Times New Roman" w:cstheme="minorHAnsi"/>
          <w:sz w:val="20"/>
          <w:szCs w:val="20"/>
          <w:highlight w:val="magenta"/>
          <w:lang w:val="en-GB" w:eastAsia="en-GB"/>
        </w:rPr>
        <w:t>∆∆ Gf ~ 9 kJ/mol</w:t>
      </w:r>
      <w:r w:rsidRPr="00AC36B6">
        <w:rPr>
          <w:rFonts w:eastAsia="Times New Roman" w:cstheme="minorHAnsi"/>
          <w:sz w:val="20"/>
          <w:szCs w:val="20"/>
          <w:lang w:val="en-GB" w:eastAsia="en-GB"/>
        </w:rPr>
        <w:t>) (Fig. 1c), allow for folding into the native-state under the most favorable folding conditions (4 °C).</w:t>
      </w:r>
    </w:p>
    <w:sectPr w:rsidR="003D6847" w:rsidRPr="002003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wn Kroetsch" w:date="2020-11-13T16:14:00Z" w:initials="SK">
    <w:p w14:paraId="19C67212" w14:textId="49953887" w:rsidR="00B83179" w:rsidRDefault="00B83179">
      <w:pPr>
        <w:pStyle w:val="CommentText"/>
      </w:pPr>
      <w:r>
        <w:rPr>
          <w:rStyle w:val="CommentReference"/>
        </w:rPr>
        <w:annotationRef/>
      </w:r>
      <w:r>
        <w:t>Paper not found</w:t>
      </w:r>
      <w:r w:rsidR="00F6316E">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C672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92F5A" w16cex:dateUtc="2020-11-13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C67212" w16cid:durableId="23592F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wn Kroetsch">
    <w15:presenceInfo w15:providerId="Windows Live" w15:userId="da0f9b18d70c0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CA7"/>
    <w:rsid w:val="000143E9"/>
    <w:rsid w:val="000158E9"/>
    <w:rsid w:val="000277B9"/>
    <w:rsid w:val="000376BF"/>
    <w:rsid w:val="00057C27"/>
    <w:rsid w:val="000A4BBF"/>
    <w:rsid w:val="000B482E"/>
    <w:rsid w:val="000C28EA"/>
    <w:rsid w:val="000E5017"/>
    <w:rsid w:val="000E66D1"/>
    <w:rsid w:val="0012094E"/>
    <w:rsid w:val="0012221E"/>
    <w:rsid w:val="00122B20"/>
    <w:rsid w:val="00144D62"/>
    <w:rsid w:val="00172CCE"/>
    <w:rsid w:val="001A4F05"/>
    <w:rsid w:val="001B6785"/>
    <w:rsid w:val="001D1E43"/>
    <w:rsid w:val="001F49A0"/>
    <w:rsid w:val="001F7CC0"/>
    <w:rsid w:val="002003C0"/>
    <w:rsid w:val="00213789"/>
    <w:rsid w:val="00216486"/>
    <w:rsid w:val="00274625"/>
    <w:rsid w:val="00294F79"/>
    <w:rsid w:val="002A2FDA"/>
    <w:rsid w:val="002B3C2F"/>
    <w:rsid w:val="002B64C5"/>
    <w:rsid w:val="002E2155"/>
    <w:rsid w:val="002E4BF6"/>
    <w:rsid w:val="00316CA7"/>
    <w:rsid w:val="0032476A"/>
    <w:rsid w:val="00373B1F"/>
    <w:rsid w:val="003967FE"/>
    <w:rsid w:val="003B172D"/>
    <w:rsid w:val="003B18FC"/>
    <w:rsid w:val="003C283A"/>
    <w:rsid w:val="003D672B"/>
    <w:rsid w:val="003D6847"/>
    <w:rsid w:val="003E5506"/>
    <w:rsid w:val="003E75A6"/>
    <w:rsid w:val="003F28CA"/>
    <w:rsid w:val="00400721"/>
    <w:rsid w:val="004034E0"/>
    <w:rsid w:val="00422406"/>
    <w:rsid w:val="00497597"/>
    <w:rsid w:val="004A6EC8"/>
    <w:rsid w:val="004D4AE6"/>
    <w:rsid w:val="004F4DDD"/>
    <w:rsid w:val="004F4F5B"/>
    <w:rsid w:val="00503B85"/>
    <w:rsid w:val="0051159D"/>
    <w:rsid w:val="00522D8F"/>
    <w:rsid w:val="00582089"/>
    <w:rsid w:val="00585945"/>
    <w:rsid w:val="005861BE"/>
    <w:rsid w:val="005A7357"/>
    <w:rsid w:val="005B63CD"/>
    <w:rsid w:val="0061281B"/>
    <w:rsid w:val="00623C84"/>
    <w:rsid w:val="0062524A"/>
    <w:rsid w:val="006335F5"/>
    <w:rsid w:val="00634A6A"/>
    <w:rsid w:val="006443AA"/>
    <w:rsid w:val="0066703A"/>
    <w:rsid w:val="00681D53"/>
    <w:rsid w:val="006856DD"/>
    <w:rsid w:val="00694F7B"/>
    <w:rsid w:val="006B0DDA"/>
    <w:rsid w:val="006F769F"/>
    <w:rsid w:val="00707A45"/>
    <w:rsid w:val="00746A97"/>
    <w:rsid w:val="00795F5B"/>
    <w:rsid w:val="007D3C7D"/>
    <w:rsid w:val="007D41BF"/>
    <w:rsid w:val="007F772D"/>
    <w:rsid w:val="00803748"/>
    <w:rsid w:val="008231E9"/>
    <w:rsid w:val="00835CF7"/>
    <w:rsid w:val="00852AE9"/>
    <w:rsid w:val="00862305"/>
    <w:rsid w:val="00874E19"/>
    <w:rsid w:val="00890466"/>
    <w:rsid w:val="00896E89"/>
    <w:rsid w:val="008A0F65"/>
    <w:rsid w:val="008B5CE4"/>
    <w:rsid w:val="008C4F6A"/>
    <w:rsid w:val="008D6E34"/>
    <w:rsid w:val="008D7CB9"/>
    <w:rsid w:val="008F1393"/>
    <w:rsid w:val="0092503F"/>
    <w:rsid w:val="00952045"/>
    <w:rsid w:val="009A6A16"/>
    <w:rsid w:val="009B755F"/>
    <w:rsid w:val="009E369F"/>
    <w:rsid w:val="009F30EC"/>
    <w:rsid w:val="009F683C"/>
    <w:rsid w:val="00A01714"/>
    <w:rsid w:val="00A07A90"/>
    <w:rsid w:val="00A129B7"/>
    <w:rsid w:val="00A32D7F"/>
    <w:rsid w:val="00A366B9"/>
    <w:rsid w:val="00A54CE6"/>
    <w:rsid w:val="00A86BC3"/>
    <w:rsid w:val="00AA08CA"/>
    <w:rsid w:val="00AC02E7"/>
    <w:rsid w:val="00AC36B6"/>
    <w:rsid w:val="00AE7DA7"/>
    <w:rsid w:val="00B1275F"/>
    <w:rsid w:val="00B2702D"/>
    <w:rsid w:val="00B43AE2"/>
    <w:rsid w:val="00B53CAD"/>
    <w:rsid w:val="00B563C6"/>
    <w:rsid w:val="00B76B3F"/>
    <w:rsid w:val="00B83179"/>
    <w:rsid w:val="00BA5B17"/>
    <w:rsid w:val="00BC7A67"/>
    <w:rsid w:val="00BF783D"/>
    <w:rsid w:val="00C05E86"/>
    <w:rsid w:val="00C1535C"/>
    <w:rsid w:val="00C55EBF"/>
    <w:rsid w:val="00C63418"/>
    <w:rsid w:val="00C66280"/>
    <w:rsid w:val="00C9041E"/>
    <w:rsid w:val="00C9227B"/>
    <w:rsid w:val="00CA5CA3"/>
    <w:rsid w:val="00CB039E"/>
    <w:rsid w:val="00CC2B02"/>
    <w:rsid w:val="00CC78A8"/>
    <w:rsid w:val="00CD72C9"/>
    <w:rsid w:val="00CE2C03"/>
    <w:rsid w:val="00CF3ACB"/>
    <w:rsid w:val="00D47B98"/>
    <w:rsid w:val="00D51530"/>
    <w:rsid w:val="00D5546C"/>
    <w:rsid w:val="00D56783"/>
    <w:rsid w:val="00D63DF0"/>
    <w:rsid w:val="00D7614D"/>
    <w:rsid w:val="00D914A9"/>
    <w:rsid w:val="00DC5A77"/>
    <w:rsid w:val="00E10031"/>
    <w:rsid w:val="00E10F4C"/>
    <w:rsid w:val="00E342B2"/>
    <w:rsid w:val="00E43A5D"/>
    <w:rsid w:val="00E745DC"/>
    <w:rsid w:val="00E75984"/>
    <w:rsid w:val="00E91615"/>
    <w:rsid w:val="00E93CC8"/>
    <w:rsid w:val="00EB46AC"/>
    <w:rsid w:val="00ED3BAE"/>
    <w:rsid w:val="00EF5CDA"/>
    <w:rsid w:val="00F0250A"/>
    <w:rsid w:val="00F02813"/>
    <w:rsid w:val="00F03C60"/>
    <w:rsid w:val="00F62A5C"/>
    <w:rsid w:val="00F6316E"/>
    <w:rsid w:val="00F65056"/>
    <w:rsid w:val="00F74341"/>
    <w:rsid w:val="00FA64F2"/>
    <w:rsid w:val="00FC18A5"/>
    <w:rsid w:val="00FE2774"/>
    <w:rsid w:val="00FF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998C"/>
  <w15:chartTrackingRefBased/>
  <w15:docId w15:val="{84934263-DF21-42BD-86C6-FF1E0208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F0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abel">
    <w:name w:val="label"/>
    <w:basedOn w:val="DefaultParagraphFont"/>
    <w:rsid w:val="001A4F05"/>
  </w:style>
  <w:style w:type="character" w:styleId="Hyperlink">
    <w:name w:val="Hyperlink"/>
    <w:basedOn w:val="DefaultParagraphFont"/>
    <w:uiPriority w:val="99"/>
    <w:semiHidden/>
    <w:unhideWhenUsed/>
    <w:rsid w:val="001A4F05"/>
    <w:rPr>
      <w:color w:val="0000FF"/>
      <w:u w:val="single"/>
    </w:rPr>
  </w:style>
  <w:style w:type="character" w:styleId="CommentReference">
    <w:name w:val="annotation reference"/>
    <w:basedOn w:val="DefaultParagraphFont"/>
    <w:uiPriority w:val="99"/>
    <w:semiHidden/>
    <w:unhideWhenUsed/>
    <w:rsid w:val="00B83179"/>
    <w:rPr>
      <w:sz w:val="16"/>
      <w:szCs w:val="16"/>
    </w:rPr>
  </w:style>
  <w:style w:type="paragraph" w:styleId="CommentText">
    <w:name w:val="annotation text"/>
    <w:basedOn w:val="Normal"/>
    <w:link w:val="CommentTextChar"/>
    <w:uiPriority w:val="99"/>
    <w:semiHidden/>
    <w:unhideWhenUsed/>
    <w:rsid w:val="00B83179"/>
    <w:pPr>
      <w:spacing w:line="240" w:lineRule="auto"/>
    </w:pPr>
    <w:rPr>
      <w:sz w:val="20"/>
      <w:szCs w:val="20"/>
    </w:rPr>
  </w:style>
  <w:style w:type="character" w:customStyle="1" w:styleId="CommentTextChar">
    <w:name w:val="Comment Text Char"/>
    <w:basedOn w:val="DefaultParagraphFont"/>
    <w:link w:val="CommentText"/>
    <w:uiPriority w:val="99"/>
    <w:semiHidden/>
    <w:rsid w:val="00B83179"/>
    <w:rPr>
      <w:sz w:val="20"/>
      <w:szCs w:val="20"/>
    </w:rPr>
  </w:style>
  <w:style w:type="paragraph" w:styleId="CommentSubject">
    <w:name w:val="annotation subject"/>
    <w:basedOn w:val="CommentText"/>
    <w:next w:val="CommentText"/>
    <w:link w:val="CommentSubjectChar"/>
    <w:uiPriority w:val="99"/>
    <w:semiHidden/>
    <w:unhideWhenUsed/>
    <w:rsid w:val="00B83179"/>
    <w:rPr>
      <w:b/>
      <w:bCs/>
    </w:rPr>
  </w:style>
  <w:style w:type="character" w:customStyle="1" w:styleId="CommentSubjectChar">
    <w:name w:val="Comment Subject Char"/>
    <w:basedOn w:val="CommentTextChar"/>
    <w:link w:val="CommentSubject"/>
    <w:uiPriority w:val="99"/>
    <w:semiHidden/>
    <w:rsid w:val="00B83179"/>
    <w:rPr>
      <w:b/>
      <w:bCs/>
      <w:sz w:val="20"/>
      <w:szCs w:val="20"/>
    </w:rPr>
  </w:style>
  <w:style w:type="paragraph" w:styleId="BalloonText">
    <w:name w:val="Balloon Text"/>
    <w:basedOn w:val="Normal"/>
    <w:link w:val="BalloonTextChar"/>
    <w:uiPriority w:val="99"/>
    <w:semiHidden/>
    <w:unhideWhenUsed/>
    <w:rsid w:val="00B83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6513">
      <w:bodyDiv w:val="1"/>
      <w:marLeft w:val="0"/>
      <w:marRight w:val="0"/>
      <w:marTop w:val="0"/>
      <w:marBottom w:val="0"/>
      <w:divBdr>
        <w:top w:val="none" w:sz="0" w:space="0" w:color="auto"/>
        <w:left w:val="none" w:sz="0" w:space="0" w:color="auto"/>
        <w:bottom w:val="none" w:sz="0" w:space="0" w:color="auto"/>
        <w:right w:val="none" w:sz="0" w:space="0" w:color="auto"/>
      </w:divBdr>
      <w:divsChild>
        <w:div w:id="465046999">
          <w:marLeft w:val="0"/>
          <w:marRight w:val="0"/>
          <w:marTop w:val="0"/>
          <w:marBottom w:val="0"/>
          <w:divBdr>
            <w:top w:val="none" w:sz="0" w:space="0" w:color="auto"/>
            <w:left w:val="none" w:sz="0" w:space="0" w:color="auto"/>
            <w:bottom w:val="none" w:sz="0" w:space="0" w:color="auto"/>
            <w:right w:val="none" w:sz="0" w:space="0" w:color="auto"/>
          </w:divBdr>
          <w:divsChild>
            <w:div w:id="2053843508">
              <w:marLeft w:val="0"/>
              <w:marRight w:val="0"/>
              <w:marTop w:val="240"/>
              <w:marBottom w:val="240"/>
              <w:divBdr>
                <w:top w:val="single" w:sz="12" w:space="0" w:color="EBEBEB"/>
                <w:left w:val="none" w:sz="0" w:space="0" w:color="auto"/>
                <w:bottom w:val="single" w:sz="12" w:space="0" w:color="EBEBEB"/>
                <w:right w:val="none" w:sz="0" w:space="0" w:color="auto"/>
              </w:divBdr>
              <w:divsChild>
                <w:div w:id="19044385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2706359">
      <w:bodyDiv w:val="1"/>
      <w:marLeft w:val="0"/>
      <w:marRight w:val="0"/>
      <w:marTop w:val="0"/>
      <w:marBottom w:val="0"/>
      <w:divBdr>
        <w:top w:val="none" w:sz="0" w:space="0" w:color="auto"/>
        <w:left w:val="none" w:sz="0" w:space="0" w:color="auto"/>
        <w:bottom w:val="none" w:sz="0" w:space="0" w:color="auto"/>
        <w:right w:val="none" w:sz="0" w:space="0" w:color="auto"/>
      </w:divBdr>
      <w:divsChild>
        <w:div w:id="79757679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386142516300208?via%3Dihub" TargetMode="External"/><Relationship Id="rId13" Type="http://schemas.openxmlformats.org/officeDocument/2006/relationships/hyperlink" Target="https://www.sciencedirect.com/science/article/pii/S1386142516300208?via%3Dihub" TargetMode="External"/><Relationship Id="rId18" Type="http://schemas.openxmlformats.org/officeDocument/2006/relationships/hyperlink" Target="https://www.sciencedirect.com/science/article/pii/S0300908416301730?via%3Dihub" TargetMode="External"/><Relationship Id="rId3" Type="http://schemas.openxmlformats.org/officeDocument/2006/relationships/webSettings" Target="webSettings.xml"/><Relationship Id="rId21" Type="http://schemas.openxmlformats.org/officeDocument/2006/relationships/hyperlink" Target="https://www.sciencedirect.com/science/article/pii/S0300908416301730?via%3Dihub" TargetMode="External"/><Relationship Id="rId7" Type="http://schemas.microsoft.com/office/2018/08/relationships/commentsExtensible" Target="commentsExtensible.xml"/><Relationship Id="rId12" Type="http://schemas.openxmlformats.org/officeDocument/2006/relationships/hyperlink" Target="https://www.sciencedirect.com/science/article/pii/S1386142516300208?via%3Dihub" TargetMode="External"/><Relationship Id="rId17" Type="http://schemas.openxmlformats.org/officeDocument/2006/relationships/hyperlink" Target="https://www.sciencedirect.com/science/article/pii/S0300908416301730?via%3Dihub"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ciencedirect.com/science/article/pii/S0300908416301730?via%3Dihub" TargetMode="External"/><Relationship Id="rId20" Type="http://schemas.openxmlformats.org/officeDocument/2006/relationships/hyperlink" Target="https://www.sciencedirect.com/science/article/pii/S0300908416301730?via%3Dihub" TargetMode="Externa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sciencedirect.com/science/article/pii/S1386142516300208?via%3Dihub" TargetMode="External"/><Relationship Id="rId24" Type="http://schemas.microsoft.com/office/2011/relationships/people" Target="people.xml"/><Relationship Id="rId5" Type="http://schemas.microsoft.com/office/2011/relationships/commentsExtended" Target="commentsExtended.xml"/><Relationship Id="rId15" Type="http://schemas.openxmlformats.org/officeDocument/2006/relationships/hyperlink" Target="https://www.sciencedirect.com/science/article/pii/S1386142516300208?via%3Dihub" TargetMode="External"/><Relationship Id="rId23" Type="http://schemas.openxmlformats.org/officeDocument/2006/relationships/fontTable" Target="fontTable.xml"/><Relationship Id="rId10" Type="http://schemas.openxmlformats.org/officeDocument/2006/relationships/hyperlink" Target="https://www.sciencedirect.com/science/article/pii/S1386142516300208?via%3Dihub" TargetMode="External"/><Relationship Id="rId19" Type="http://schemas.openxmlformats.org/officeDocument/2006/relationships/hyperlink" Target="https://www.sciencedirect.com/science/article/pii/S0300908416301730?via%3Dihub" TargetMode="External"/><Relationship Id="rId4" Type="http://schemas.openxmlformats.org/officeDocument/2006/relationships/comments" Target="comments.xml"/><Relationship Id="rId9" Type="http://schemas.openxmlformats.org/officeDocument/2006/relationships/hyperlink" Target="https://www.sciencedirect.com/science/article/pii/S1386142516300208?via%3Dihub" TargetMode="External"/><Relationship Id="rId14" Type="http://schemas.openxmlformats.org/officeDocument/2006/relationships/hyperlink" Target="https://www.sciencedirect.com/science/article/pii/S1386142516300208?via%3Dihub" TargetMode="External"/><Relationship Id="rId22" Type="http://schemas.openxmlformats.org/officeDocument/2006/relationships/hyperlink" Target="https://www.sciencedirect.com/science/article/pii/S0300908416301730?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22369</TotalTime>
  <Pages>4</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LL</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Shawn Kroetsch</cp:lastModifiedBy>
  <cp:revision>4</cp:revision>
  <dcterms:created xsi:type="dcterms:W3CDTF">2020-07-14T10:27:00Z</dcterms:created>
  <dcterms:modified xsi:type="dcterms:W3CDTF">2021-05-14T03:21:00Z</dcterms:modified>
</cp:coreProperties>
</file>