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251 permitted residential schemes in County Limerick, totalling 10,817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0.7 years with a further information request, and 1.3 years on appeal. Further information was requested on 79%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48% of permitted schemes had started within two years of permission and 72%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47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(78 schemes, 1,768 units, 16% of units) have a median approval period of 0.3 years against 0.7 for private schemes. After permission, 43% of public schemes had started within two years against 50% of private schemes. Over the longer run the gap narrows: on permissions at least two years old, 81% of public units and 75% of private units have started.</w:t>
      </w:r>
    </w:p>
    <w:p>
      <w:pPr>
        <w:spacing w:after="120" w:line="290"/>
      </w:pPr>
      <w:r>
        <w:rPr>
          <w:rFonts w:ascii="Arial" w:cs="Arial" w:eastAsia="Arial" w:hAnsi="Arial"/>
          <w:b/>
          <w:bCs/>
          <w:sz w:val="21"/>
          <w:szCs w:val="21"/>
        </w:rPr>
        <w:t xml:space="preserve">5,478 permitted units have not started. </w:t>
      </w:r>
      <w:r>
        <w:rPr>
          <w:rFonts w:ascii="Arial" w:cs="Arial" w:eastAsia="Arial" w:hAnsi="Arial"/>
          <w:sz w:val="21"/>
          <w:szCs w:val="21"/>
        </w:rPr>
        <w:t xml:space="preserve">Most sit on recent permissions: 3,816 units have more than three years left to run. The near-term risk is 906 units: 311 already past expiry and 595 expiring within two years.</w:t>
      </w:r>
    </w:p>
    <w:p>
      <w:pPr>
        <w:spacing w:after="120" w:line="290"/>
      </w:pPr>
      <w:r>
        <w:rPr>
          <w:rFonts w:ascii="Arial" w:cs="Arial" w:eastAsia="Arial" w:hAnsi="Arial"/>
          <w:b/>
          <w:bCs/>
          <w:sz w:val="21"/>
          <w:szCs w:val="21"/>
        </w:rPr>
        <w:t xml:space="preserve">Limerick city holds 81% of permitted units. </w:t>
      </w:r>
      <w:r>
        <w:rPr>
          <w:rFonts w:ascii="Arial" w:cs="Arial" w:eastAsia="Arial" w:hAnsi="Arial"/>
          <w:sz w:val="21"/>
          <w:szCs w:val="21"/>
        </w:rPr>
        <w:t xml:space="preserve">Within the nine city neighbourhoods, Castletroy/Annacotty (2,959 units), Dooradoyle (1,920) and Caherdavin (1,310) carry the most permitted housing. The City Centre stands out: only 45% of units on older permissions have started, against 89%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44 of the 47 completed schemes, but they account for only 340 of their 1,275 units.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 Department of Housing social housing construction status report for matched public schemes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 Department of Housing social housing construction status report (Q1 2026)</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Turnkey schemes bought by a public body are classed as public where the Department of Housing’s social housing construction status report (Q1 2026) could be matched to the scheme with confidence; other turnkeys remain classed as private.</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57 Part 8 schemes. 8 residential Part 8s in the register (80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Social housing construction report</w:t>
      </w:r>
    </w:p>
    <w:p>
      <w:pPr>
        <w:spacing w:after="120" w:line="290"/>
      </w:pPr>
      <w:r>
        <w:rPr>
          <w:rFonts w:ascii="Arial" w:cs="Arial" w:eastAsia="Arial" w:hAnsi="Arial"/>
          <w:sz w:val="21"/>
          <w:szCs w:val="21"/>
        </w:rPr>
        <w:t xml:space="preserve">The Department of Housing’s quarterly status report lists social housing construction and turnkey projects by name, units, funding programme and stage, without planning references or coordinates. It was matched to the study schemes on name, address and unit count. 31 schemes (460 units) matched with confidence and consistent dates; these supply public ownership (including 5 turnkey purchases), and completion dates for 3 schemes that CIS had not recorded as complete. Buy and Renew, remedial works and rows that could not be matched with confidence were not used.</w:t>
      </w:r>
    </w:p>
    <w:p>
      <w:pPr>
        <w:pStyle w:val="Heading2"/>
        <w:spacing w:after="100" w:before="200"/>
      </w:pPr>
      <w:r>
        <w:rPr>
          <w:rFonts w:ascii="Arial" w:cs="Arial" w:eastAsia="Arial" w:hAnsi="Arial"/>
        </w:rPr>
        <w:t xml:space="preserve">2.5 Reconciliation with the KPMG audit and student accommodation data</w:t>
      </w:r>
    </w:p>
    <w:p>
      <w:pPr>
        <w:spacing w:after="120" w:line="290"/>
      </w:pPr>
      <w:r>
        <w:rPr>
          <w:rFonts w:ascii="Arial" w:cs="Arial" w:eastAsia="Arial" w:hAnsi="Arial"/>
          <w:sz w:val="21"/>
          <w:szCs w:val="21"/>
        </w:rPr>
        <w:t xml:space="preserve">The scheme list was checked against the KPMG audit of the Limerick city and suburbs pipeline. 11 live Limerick schemes (377 units) in that audit were missing from our CIS extracts and have been added, after confirming each one in the planning register. Schemes the audit lists that the register shows as refused, withdrawn or invalid were not added, and two audit schemes in County Clare fall outside this study. The check also found 6 Part 8 schemes (112 units) held twice in CIS, once under a CIS project number and once under the council file number; each is now counted once. Bedspace counts for permitted student accommodation schemes are taken from the purpose-built student accommodation (PBSA) schedule supplied for this study; existing student accommodation is not part of the pipeline.</w:t>
      </w:r>
    </w:p>
    <w:p>
      <w:pPr>
        <w:pStyle w:val="Heading2"/>
        <w:spacing w:after="100" w:before="200"/>
      </w:pPr>
      <w:r>
        <w:rPr>
          <w:rFonts w:ascii="Arial" w:cs="Arial" w:eastAsia="Arial" w:hAnsi="Arial"/>
        </w:rPr>
        <w:t xml:space="preserve">2.6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 (n=48)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0.6 (n=240)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0.7 years. Appealed decisions took a median of 1.3 years. Further information was requested on 79%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48% within two years. By five years, 72% have started. Schemes of 25–99 units have the highest start rate by five years (84%); schemes of 1–24 units reach 68%.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 (118)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(106)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 (82)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 (70)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 (50)</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 (73)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46% (61)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 (49)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(14)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(12)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 (208)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48% (182)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 (143)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66% (119)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 (88)</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78 of the 266 schemes and 1,768 units (16%). Most are local authority schemes (61 schemes, 1,144 units), followed by approved housing bodies (16 schemes, 339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1,768</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(n=36)</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(n=18)</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9,312</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 (n=100)</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(n=29)</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43% had started within two years of approval, against 50%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 (54)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 (51)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 (44)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(36)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 (25)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31% (154)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50% (131)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 (99)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65%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76% (63)</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81% of public units have started against 75%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5,444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4,073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47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17.7–26.6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2.6–12.1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5.8–11.4</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16.7–46.2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1,607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9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5,167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6,454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2,689</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(182 schemes, 6,619 units), so every scheme has had time to start. 76%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(74% and 80%). Three of the six SHD permissions have started, accounting for 74% of their 1,287 units. The three not started are Clonmacken Gardens (165 units), Annacotty (137 units, now past expiry, with a fresh application for the site lodged) and Punches Cross student accommodation (30 units).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2,388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437604"/>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437604"/>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5,478 permitted units not started, 3,816 have more than three years left on their permission. The near-term pipeline at risk is smaller: 311 units are already past expiry, 360 expire within 12 months and 235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235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526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3,816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230</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Punches Cross Student Accommodation -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ABP-315273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Ballinacurra</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Dooradoyle</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221107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Dooradoyle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13/06/2028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221003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28982"/>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2898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(83%) and City North (62%). The county LEAs have smaller volumes and lower start rates: 31 of 165 units in Adare-Rathkeale and 206 of 418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2,084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8,781 permitted units across 157 schemes, 81%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21341"/>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2134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715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304</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2,959</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689</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1,920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445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607</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896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2,036</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689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45% of 409 units. 770 of its 980 permitted units have not started. Its public share (40%)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1,476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906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3,848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 and Department social housing report)</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1,768</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47 completed schemes, certificates exist for 44 but record 340 units against 1,275.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ea34d3e06bb70806a426d9f49441ca95b5999e7.png"/><Relationship Id="rId10" Type="http://schemas.openxmlformats.org/officeDocument/2006/relationships/image" Target="media/1457fc0345a41d3f6a9da82a66055a7263a38489.png"/><Relationship Id="rId11" Type="http://schemas.openxmlformats.org/officeDocument/2006/relationships/image" Target="media/07f8d1225062c76f402f4a1685ce5c9266a5fba5.png"/><Relationship Id="rId12" Type="http://schemas.openxmlformats.org/officeDocument/2006/relationships/image" Target="media/88bf5c357e928c2a3b5804a56cbd033a7b989317.png"/><Relationship Id="rId13" Type="http://schemas.openxmlformats.org/officeDocument/2006/relationships/image" Target="media/a783534d5d62a4b75c73ccf890f3f719275bdbd1.png"/><Relationship Id="rId14" Type="http://schemas.openxmlformats.org/officeDocument/2006/relationships/image" Target="media/0a14080b4c5c697f2dde70ba87fe5ff3807c50b9.png"/><Relationship Id="rId15" Type="http://schemas.openxmlformats.org/officeDocument/2006/relationships/image" Target="media/960607ab25f59c2434800dd6a3ff91fd7f7a7da4.png"/><Relationship Id="rId16" Type="http://schemas.openxmlformats.org/officeDocument/2006/relationships/image" Target="media/214dcd545557d1ef70b25f96baa6073533935437.png"/><Relationship Id="rId17" Type="http://schemas.openxmlformats.org/officeDocument/2006/relationships/image" Target="media/637702791962e68ca90cb14f60607fcffc648da4.png"/><Relationship Id="rId18" Type="http://schemas.openxmlformats.org/officeDocument/2006/relationships/image" Target="media/057263d485e98b8e340af89c606a88f7adb4819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2026-10-07T17:28:22.451Z</dcterms:created>
  <dcterms:modified xsi:type="dcterms:W3CDTF">2026-10-07T17:28:22.456Z</dcterms:modified>
</cp:coreProperties>
</file>

<file path=docProps/custom.xml><?xml version="1.0" encoding="utf-8"?>
<Properties xmlns="http://schemas.openxmlformats.org/officeDocument/2006/custom-properties" xmlns:vt="http://schemas.openxmlformats.org/officeDocument/2006/docPropsVTypes"/>
</file>