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1F3A5F"/>
          <w:sz w:val="52"/>
          <w:szCs w:val="52"/>
        </w:rPr>
        <w:t xml:space="preserve">Residential Delivery in County Limerick</w:t>
      </w:r>
    </w:p>
    <w:p>
      <w:pPr>
        <w:spacing w:after="400"/>
      </w:pPr>
      <w:r>
        <w:rPr>
          <w:rFonts w:ascii="Arial" w:cs="Arial" w:eastAsia="Arial" w:hAnsi="Arial"/>
          <w:color w:val="52514E"/>
          <w:sz w:val="30"/>
          <w:szCs w:val="30"/>
        </w:rPr>
        <w:t xml:space="preserve">From planning application to completion, 2018–2026</w:t>
      </w:r>
    </w:p>
    <w:p>
      <w:pPr>
        <w:pBdr>
          <w:top w:val="single" w:color="1F3A5F" w:sz="8" w:space="12"/>
        </w:pBdr>
        <w:spacing w:after="120"/>
      </w:pPr>
      <w:r>
        <w:rPr>
          <w:rFonts w:ascii="Arial" w:cs="Arial" w:eastAsia="Arial" w:hAnsi="Arial"/>
          <w:sz w:val="22"/>
          <w:szCs w:val="22"/>
        </w:rPr>
        <w:t xml:space="preserve">Draft for discussion with Limerick City and County Council</w:t>
      </w:r>
    </w:p>
    <w:p>
      <w:pPr>
        <w:spacing w:after="120"/>
      </w:pPr>
      <w:r>
        <w:rPr>
          <w:rFonts w:ascii="Arial" w:cs="Arial" w:eastAsia="Arial" w:hAnsi="Arial"/>
          <w:sz w:val="22"/>
          <w:szCs w:val="22"/>
        </w:rPr>
        <w:t xml:space="preserve">September 2026</w:t>
      </w:r>
    </w:p>
    <w:p>
      <w:pPr>
        <w:spacing w:after="120"/>
      </w:pPr>
      <w:r>
        <w:rPr>
          <w:rFonts w:ascii="Arial" w:cs="Arial" w:eastAsia="Arial" w:hAnsi="Arial"/>
          <w:color w:val="52514E"/>
          <w:sz w:val="22"/>
          <w:szCs w:val="22"/>
        </w:rPr>
        <w:t xml:space="preserve">[Consultancy name]</w:t>
      </w:r>
    </w:p>
    <w:p>
      <w:r>
        <w:br w:type="page"/>
      </w:r>
    </w:p>
    <w:p>
      <w:pPr>
        <w:sectPr>
          <w:pgSz w:w="11906" w:h="16838" w:orient="portrait"/>
          <w:pgMar w:top="1300" w:right="1247" w:bottom="1300" w:left="1247" w:header="708" w:footer="708" w:gutter="0"/>
          <w:pgNumType/>
          <w:docGrid w:linePitch="360"/>
        </w:sectPr>
      </w:pPr>
    </w:p>
    <w:p>
      <w:pPr>
        <w:pStyle w:val="Heading1"/>
        <w:spacing w:after="140" w:before="280"/>
      </w:pPr>
      <w:r>
        <w:rPr>
          <w:rFonts w:ascii="Arial" w:cs="Arial" w:eastAsia="Arial" w:hAnsi="Arial"/>
        </w:rPr>
        <w:t xml:space="preserve">Summary</w:t>
      </w:r>
    </w:p>
    <w:p>
      <w:pPr>
        <w:spacing w:after="120" w:line="290"/>
      </w:pPr>
      <w:r>
        <w:rPr>
          <w:rFonts w:ascii="Arial" w:cs="Arial" w:eastAsia="Arial" w:hAnsi="Arial"/>
          <w:sz w:val="21"/>
          <w:szCs w:val="21"/>
        </w:rPr>
        <w:t xml:space="preserve">This study tracks 251 permitted residential schemes in County Limerick, totalling 10,793 units, from planning application to completion. It joins the national planning applications register, building control commencement notices and CIS project records at scheme level, and classifies each scheme as public (local authority, approved housing body or Land Development Agency) or private. The aim is to show how quickly permitted housing gets built, where it stalls, and which permissions are close to expiry.</w:t>
      </w:r>
    </w:p>
    <w:p>
      <w:pPr>
        <w:spacing w:after="120" w:line="290"/>
      </w:pPr>
      <w:r>
        <w:rPr>
          <w:rFonts w:ascii="Arial" w:cs="Arial" w:eastAsia="Arial" w:hAnsi="Arial"/>
          <w:b/>
          <w:bCs/>
          <w:sz w:val="21"/>
          <w:szCs w:val="21"/>
        </w:rPr>
        <w:t xml:space="preserve">Getting permission is not the main delay. </w:t>
      </w:r>
      <w:r>
        <w:rPr>
          <w:rFonts w:ascii="Arial" w:cs="Arial" w:eastAsia="Arial" w:hAnsi="Arial"/>
          <w:sz w:val="21"/>
          <w:szCs w:val="21"/>
        </w:rPr>
        <w:t xml:space="preserve">The median time from application to permission is about 7 months. It is about 12 weeks where no further information is requested and there is no appeal, 0.7 years with a further information request, and 1.3 years on appeal. Further information was requested on 80% of private and LRD applications.</w:t>
      </w:r>
    </w:p>
    <w:p>
      <w:pPr>
        <w:spacing w:after="120" w:line="290"/>
      </w:pPr>
      <w:r>
        <w:rPr>
          <w:rFonts w:ascii="Arial" w:cs="Arial" w:eastAsia="Arial" w:hAnsi="Arial"/>
          <w:b/>
          <w:bCs/>
          <w:sz w:val="21"/>
          <w:szCs w:val="21"/>
        </w:rPr>
        <w:t xml:space="preserve">Starting on site takes longer. </w:t>
      </w:r>
      <w:r>
        <w:rPr>
          <w:rFonts w:ascii="Arial" w:cs="Arial" w:eastAsia="Arial" w:hAnsi="Arial"/>
          <w:sz w:val="21"/>
          <w:szCs w:val="21"/>
        </w:rPr>
        <w:t xml:space="preserve">48% of permitted schemes had started within two years of permission and 72% within five years. For schemes that have started, the median gap between permission and start is 1.3 years.</w:t>
      </w:r>
    </w:p>
    <w:p>
      <w:pPr>
        <w:spacing w:after="120" w:line="290"/>
      </w:pPr>
      <w:r>
        <w:rPr>
          <w:rFonts w:ascii="Arial" w:cs="Arial" w:eastAsia="Arial" w:hAnsi="Arial"/>
          <w:b/>
          <w:bCs/>
          <w:sz w:val="21"/>
          <w:szCs w:val="21"/>
        </w:rPr>
        <w:t xml:space="preserve">Completed schemes took a median of 3.9 years from application to completion </w:t>
      </w:r>
      <w:r>
        <w:rPr>
          <w:rFonts w:ascii="Arial" w:cs="Arial" w:eastAsia="Arial" w:hAnsi="Arial"/>
          <w:sz w:val="21"/>
          <w:szCs w:val="21"/>
        </w:rPr>
        <w:t xml:space="preserve">(interquartile range 2.6 to 5.1 years, 47 schemes). Median build-out rates run from 4 dwellings per annum on schemes of 1–9 units to 50 on schemes of 100+ units, though the larger bands rest on very few completed schemes.</w:t>
      </w:r>
    </w:p>
    <w:p>
      <w:pPr>
        <w:spacing w:after="120" w:line="290"/>
      </w:pPr>
      <w:r>
        <w:rPr>
          <w:rFonts w:ascii="Arial" w:cs="Arial" w:eastAsia="Arial" w:hAnsi="Arial"/>
          <w:b/>
          <w:bCs/>
          <w:sz w:val="21"/>
          <w:szCs w:val="21"/>
        </w:rPr>
        <w:t xml:space="preserve">Public schemes are quicker through planning but slower to start. </w:t>
      </w:r>
      <w:r>
        <w:rPr>
          <w:rFonts w:ascii="Arial" w:cs="Arial" w:eastAsia="Arial" w:hAnsi="Arial"/>
          <w:sz w:val="21"/>
          <w:szCs w:val="21"/>
        </w:rPr>
        <w:t xml:space="preserve">Public schemes (76 schemes, 1,737 units, 16% of units) have a median approval period of 0.3 years against 0.7 for private schemes. After permission, 44% of public schemes had started within two years against 50% of private schemes. Over the longer run the gap narrows: on permissions at least two years old, 82% of public units and 75% of private units have started.</w:t>
      </w:r>
    </w:p>
    <w:p>
      <w:pPr>
        <w:spacing w:after="120" w:line="290"/>
      </w:pPr>
      <w:r>
        <w:rPr>
          <w:rFonts w:ascii="Arial" w:cs="Arial" w:eastAsia="Arial" w:hAnsi="Arial"/>
          <w:b/>
          <w:bCs/>
          <w:sz w:val="21"/>
          <w:szCs w:val="21"/>
        </w:rPr>
        <w:t xml:space="preserve">5,454 permitted units have not started. </w:t>
      </w:r>
      <w:r>
        <w:rPr>
          <w:rFonts w:ascii="Arial" w:cs="Arial" w:eastAsia="Arial" w:hAnsi="Arial"/>
          <w:sz w:val="21"/>
          <w:szCs w:val="21"/>
        </w:rPr>
        <w:t xml:space="preserve">Most sit on recent permissions: 3,826 units have more than three years left to run. The near-term risk is 890 units: 311 already past expiry and 579 expiring within two years.</w:t>
      </w:r>
    </w:p>
    <w:p>
      <w:pPr>
        <w:spacing w:after="120" w:line="290"/>
      </w:pPr>
      <w:r>
        <w:rPr>
          <w:rFonts w:ascii="Arial" w:cs="Arial" w:eastAsia="Arial" w:hAnsi="Arial"/>
          <w:b/>
          <w:bCs/>
          <w:sz w:val="21"/>
          <w:szCs w:val="21"/>
        </w:rPr>
        <w:t xml:space="preserve">Limerick city holds 81% of permitted units. </w:t>
      </w:r>
      <w:r>
        <w:rPr>
          <w:rFonts w:ascii="Arial" w:cs="Arial" w:eastAsia="Arial" w:hAnsi="Arial"/>
          <w:sz w:val="21"/>
          <w:szCs w:val="21"/>
        </w:rPr>
        <w:t xml:space="preserve">Within the nine city neighbourhoods, Castletroy/Annacotty (2,959 units), Dooradoyle (1,920) and Caherdavin (1,310) carry the most permitted housing. The City Centre stands out: only 45% of units on older permissions have started, against 89% in Castletroy/Annacotty.</w:t>
      </w:r>
    </w:p>
    <w:p>
      <w:pPr>
        <w:spacing w:after="120" w:line="290"/>
      </w:pPr>
      <w:r>
        <w:rPr>
          <w:rFonts w:ascii="Arial" w:cs="Arial" w:eastAsia="Arial" w:hAnsi="Arial"/>
          <w:b/>
          <w:bCs/>
          <w:sz w:val="21"/>
          <w:szCs w:val="21"/>
        </w:rPr>
        <w:t xml:space="preserve">Official completions data is incomplete. </w:t>
      </w:r>
      <w:r>
        <w:rPr>
          <w:rFonts w:ascii="Arial" w:cs="Arial" w:eastAsia="Arial" w:hAnsi="Arial"/>
          <w:sz w:val="21"/>
          <w:szCs w:val="21"/>
        </w:rPr>
        <w:t xml:space="preserve">Completion certificates exist for 44 of the 47 completed schemes, but they account for only 340 of their 1,275 units.</w:t>
      </w:r>
    </w:p>
    <w:p>
      <w:pPr>
        <w:pStyle w:val="Heading1"/>
        <w:spacing w:after="140" w:before="280"/>
      </w:pPr>
      <w:r>
        <w:rPr>
          <w:rFonts w:ascii="Arial" w:cs="Arial" w:eastAsia="Arial" w:hAnsi="Arial"/>
        </w:rPr>
        <w:t xml:space="preserve">1. Purpose and scope</w:t>
      </w:r>
    </w:p>
    <w:p>
      <w:pPr>
        <w:spacing w:after="120" w:line="290"/>
      </w:pPr>
      <w:r>
        <w:rPr>
          <w:rFonts w:ascii="Arial" w:cs="Arial" w:eastAsia="Arial" w:hAnsi="Arial"/>
          <w:sz w:val="21"/>
          <w:szCs w:val="21"/>
        </w:rPr>
        <w:t xml:space="preserve">The Council asked how quickly residential permissions in Limerick are turning into homes, what holds them back, and where. The study measures three stages for every scheme: the time from lodging an application to receiving permission, the time from permission to starting on site, and the time from starting to completion, together with the annual rate at which completed schemes delivered homes.</w:t>
      </w:r>
    </w:p>
    <w:p>
      <w:pPr>
        <w:spacing w:after="120" w:line="290"/>
      </w:pPr>
      <w:r>
        <w:rPr>
          <w:rFonts w:ascii="Arial" w:cs="Arial" w:eastAsia="Arial" w:hAnsi="Arial"/>
          <w:sz w:val="21"/>
          <w:szCs w:val="21"/>
        </w:rPr>
        <w:t xml:space="preserve">Most schemes in Limerick are small, so results are reported in five size bands: 1–9, 10–24, 25–49, 50–99 and 100+ units. Results are also split by public and private delivery, by Local Electoral Area and, for the city, by the nine neighbourhoods the Council uses for planning.</w:t>
      </w:r>
    </w:p>
    <w:p>
      <w:pPr>
        <w:spacing w:after="120" w:line="290"/>
      </w:pPr>
      <w:r>
        <w:rPr>
          <w:rFonts w:ascii="Arial" w:cs="Arial" w:eastAsia="Arial" w:hAnsi="Arial"/>
          <w:sz w:val="21"/>
          <w:szCs w:val="21"/>
        </w:rPr>
        <w:t xml:space="preserve">The sample is the set of residential schemes tracked by CIS in County Limerick with permissions from 2018 onward, newer applications from the latest CIS export, and Part 8 council schemes from the planning register that CIS does not hold. Where several applications relate to one site, each distinct scheme is counted once. Extensions of duration, superseded applications and minor amendments are not counted as separate schemes. Refused and withdrawn applications are excluded from the scheme count but reported as indicators of delay.</w:t>
      </w:r>
    </w:p>
    <w:p>
      <w:pPr>
        <w:spacing w:after="120" w:line="290"/>
      </w:pPr>
      <w:r>
        <w:rPr>
          <w:rFonts w:ascii="Arial" w:cs="Arial" w:eastAsia="Arial" w:hAnsi="Arial"/>
          <w:sz w:val="21"/>
          <w:szCs w:val="21"/>
        </w:rPr>
        <w:t xml:space="preserve">The study does not cover one-off rural houses, schemes neither CIS nor the Part 8 register records, or pre-application and zoning stages.</w:t>
      </w:r>
    </w:p>
    <w:p>
      <w:pPr>
        <w:pStyle w:val="Heading1"/>
        <w:spacing w:after="140" w:before="280"/>
      </w:pPr>
      <w:r>
        <w:rPr>
          <w:rFonts w:ascii="Arial" w:cs="Arial" w:eastAsia="Arial" w:hAnsi="Arial"/>
        </w:rPr>
        <w:t xml:space="preserve">2. Data and method</w:t>
      </w:r>
    </w:p>
    <w:p>
      <w:pPr>
        <w:pStyle w:val="Heading2"/>
        <w:spacing w:after="100" w:before="200"/>
      </w:pPr>
      <w:r>
        <w:rPr>
          <w:rFonts w:ascii="Arial" w:cs="Arial" w:eastAsia="Arial" w:hAnsi="Arial"/>
        </w:rPr>
        <w:t xml:space="preserve">2.1 Sources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12"/>
      </w:tblGrid>
      <w:tr>
        <w:trPr>
          <w:cantSplit/>
          <w:tblHeader/>
        </w:trPr>
        <w:tc>
          <w:tcPr>
            <w:tcW w:type="dxa" w:w="24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Stage</w:t>
            </w:r>
          </w:p>
        </w:tc>
        <w:tc>
          <w:tcPr>
            <w:tcW w:type="dxa" w:w="44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Source</w:t>
            </w:r>
          </w:p>
        </w:tc>
        <w:tc>
          <w:tcPr>
            <w:tcW w:type="dxa" w:w="261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Coverage in this study</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Application, further information, appeal, decision, grant, expiry</w:t>
            </w:r>
          </w:p>
        </w:tc>
        <w:tc>
          <w:tcPr>
            <w:tcW w:type="dxa" w:w="4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National Planning Applications dataset (Department of Housing, Local Government and Heritage), Limerick records from 2017; An Coimisiún Pleanála case records for SHD</w:t>
            </w:r>
          </w:p>
        </w:tc>
        <w:tc>
          <w:tcPr>
            <w:tcW w:type="dxa" w:w="26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CIS applications matched by planning reference; Part 8 schemes matched by file number or location</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Start on site</w:t>
            </w:r>
          </w:p>
        </w:tc>
        <w:tc>
          <w:tcPr>
            <w:tcW w:type="dxa" w:w="4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Building control commencement notices (National Building Control Office open data, 2014 onward)</w:t>
            </w:r>
          </w:p>
        </w:tc>
        <w:tc>
          <w:tcPr>
            <w:tcW w:type="dxa" w:w="26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136 schemes with a measured start</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Completion</w:t>
            </w:r>
          </w:p>
        </w:tc>
        <w:tc>
          <w:tcPr>
            <w:tcW w:type="dxa" w:w="4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CIS project updates (dated), CIS finish dates; Department of Housing social housing construction status report for matched public schemes</w:t>
            </w:r>
          </w:p>
        </w:tc>
        <w:tc>
          <w:tcPr>
            <w:tcW w:type="dxa" w:w="26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47 completed schemes</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Public / private</w:t>
            </w:r>
          </w:p>
        </w:tc>
        <w:tc>
          <w:tcPr>
            <w:tcW w:type="dxa" w:w="4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Grantee named in CIS records, CIS promoter, building control flags for local authority and approved housing body projects, Part 8 file numbers, Department of Housing social housing construction status report (Q1 2026)</w:t>
            </w:r>
          </w:p>
        </w:tc>
        <w:tc>
          <w:tcPr>
            <w:tcW w:type="dxa" w:w="26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All schemes</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Location</w:t>
            </w:r>
          </w:p>
        </w:tc>
        <w:tc>
          <w:tcPr>
            <w:tcW w:type="dxa" w:w="4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Scheme coordinates; Local Electoral Areas 2019 (Tailte Éireann); city neighbourhoods defined by the Council from 42 Electoral Divisions</w:t>
            </w:r>
          </w:p>
        </w:tc>
        <w:tc>
          <w:tcPr>
            <w:tcW w:type="dxa" w:w="26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All schemes</w:t>
            </w:r>
          </w:p>
        </w:tc>
      </w:tr>
    </w:tbl>
    <w:p>
      <w:pPr>
        <w:spacing w:after="80"/>
      </w:pPr>
    </w:p>
    <w:p>
      <w:pPr>
        <w:pStyle w:val="Heading2"/>
        <w:spacing w:after="100" w:before="200"/>
      </w:pPr>
      <w:r>
        <w:rPr>
          <w:rFonts w:ascii="Arial" w:cs="Arial" w:eastAsia="Arial" w:hAnsi="Arial"/>
        </w:rPr>
        <w:t xml:space="preserve">2.2 Definitions</w:t>
      </w:r>
    </w:p>
    <w:p>
      <w:pPr>
        <w:pStyle w:val="ListParagraph"/>
        <w:numPr>
          <w:ilvl w:val="0"/>
          <w:numId w:val="2"/>
        </w:numPr>
        <w:spacing w:after="80" w:line="280"/>
      </w:pPr>
      <w:r>
        <w:rPr>
          <w:rFonts w:ascii="Arial" w:cs="Arial" w:eastAsia="Arial" w:hAnsi="Arial"/>
          <w:b/>
          <w:bCs/>
          <w:sz w:val="21"/>
          <w:szCs w:val="21"/>
        </w:rPr>
        <w:t xml:space="preserve">Approval period: </w:t>
      </w:r>
      <w:r>
        <w:rPr>
          <w:rFonts w:ascii="Arial" w:cs="Arial" w:eastAsia="Arial" w:hAnsi="Arial"/>
          <w:sz w:val="21"/>
          <w:szCs w:val="21"/>
        </w:rPr>
        <w:t xml:space="preserve">application received to final grant. Where a decision was appealed, the appeal decision date is used. For Part 8 schemes, the register decision date.</w:t>
      </w:r>
    </w:p>
    <w:p>
      <w:pPr>
        <w:pStyle w:val="ListParagraph"/>
        <w:numPr>
          <w:ilvl w:val="0"/>
          <w:numId w:val="2"/>
        </w:numPr>
        <w:spacing w:after="80" w:line="280"/>
      </w:pPr>
      <w:r>
        <w:rPr>
          <w:rFonts w:ascii="Arial" w:cs="Arial" w:eastAsia="Arial" w:hAnsi="Arial"/>
          <w:b/>
          <w:bCs/>
          <w:sz w:val="21"/>
          <w:szCs w:val="21"/>
        </w:rPr>
        <w:t xml:space="preserve">Permission to start: </w:t>
      </w:r>
      <w:r>
        <w:rPr>
          <w:rFonts w:ascii="Arial" w:cs="Arial" w:eastAsia="Arial" w:hAnsi="Arial"/>
          <w:sz w:val="21"/>
          <w:szCs w:val="21"/>
        </w:rPr>
        <w:t xml:space="preserve">final grant to the earliest commencement date on a building control commencement notice for that permission, including notices citing its extension of duration or appeal reference.</w:t>
      </w:r>
    </w:p>
    <w:p>
      <w:pPr>
        <w:pStyle w:val="ListParagraph"/>
        <w:numPr>
          <w:ilvl w:val="0"/>
          <w:numId w:val="2"/>
        </w:numPr>
        <w:spacing w:after="80" w:line="280"/>
      </w:pPr>
      <w:r>
        <w:rPr>
          <w:rFonts w:ascii="Arial" w:cs="Arial" w:eastAsia="Arial" w:hAnsi="Arial"/>
          <w:b/>
          <w:bCs/>
          <w:sz w:val="21"/>
          <w:szCs w:val="21"/>
        </w:rPr>
        <w:t xml:space="preserve">Build period: </w:t>
      </w:r>
      <w:r>
        <w:rPr>
          <w:rFonts w:ascii="Arial" w:cs="Arial" w:eastAsia="Arial" w:hAnsi="Arial"/>
          <w:sz w:val="21"/>
          <w:szCs w:val="21"/>
        </w:rPr>
        <w:t xml:space="preserve">start on site to the date CIS first records the scheme as complete. Build-out rate is units divided by build period (floored at six months).</w:t>
      </w:r>
    </w:p>
    <w:p>
      <w:pPr>
        <w:pStyle w:val="ListParagraph"/>
        <w:numPr>
          <w:ilvl w:val="0"/>
          <w:numId w:val="2"/>
        </w:numPr>
        <w:spacing w:after="80" w:line="280"/>
      </w:pPr>
      <w:r>
        <w:rPr>
          <w:rFonts w:ascii="Arial" w:cs="Arial" w:eastAsia="Arial" w:hAnsi="Arial"/>
          <w:b/>
          <w:bCs/>
          <w:sz w:val="21"/>
          <w:szCs w:val="21"/>
        </w:rPr>
        <w:t xml:space="preserve">Status: </w:t>
      </w:r>
      <w:r>
        <w:rPr>
          <w:rFonts w:ascii="Arial" w:cs="Arial" w:eastAsia="Arial" w:hAnsi="Arial"/>
          <w:sz w:val="21"/>
          <w:szCs w:val="21"/>
        </w:rPr>
        <w:t xml:space="preserve">Complete; Under construction (commencement notice, or CIS records the scheme on site); Not started with permission live; Not started and past expiry. Expiry is the register expiry date, updated where a granted extension of duration applies. Part 8 approvals have no register expiry.</w:t>
      </w:r>
    </w:p>
    <w:p>
      <w:pPr>
        <w:pStyle w:val="ListParagraph"/>
        <w:numPr>
          <w:ilvl w:val="0"/>
          <w:numId w:val="2"/>
        </w:numPr>
        <w:spacing w:after="80" w:line="280"/>
      </w:pPr>
      <w:r>
        <w:rPr>
          <w:rFonts w:ascii="Arial" w:cs="Arial" w:eastAsia="Arial" w:hAnsi="Arial"/>
          <w:b/>
          <w:bCs/>
          <w:sz w:val="21"/>
          <w:szCs w:val="21"/>
        </w:rPr>
        <w:t xml:space="preserve">Public: </w:t>
      </w:r>
      <w:r>
        <w:rPr>
          <w:rFonts w:ascii="Arial" w:cs="Arial" w:eastAsia="Arial" w:hAnsi="Arial"/>
          <w:sz w:val="21"/>
          <w:szCs w:val="21"/>
        </w:rPr>
        <w:t xml:space="preserve">schemes promoted by Limerick City and County Council (including Part 8), approved housing bodies or the Land Development Agency. Turnkey schemes bought by a public body are classed as public where the Department of Housing’s social housing construction status report (Q1 2026) could be matched to the scheme with confidence; other turnkeys remain classed as private.</w:t>
      </w:r>
    </w:p>
    <w:p>
      <w:pPr>
        <w:pStyle w:val="Heading2"/>
        <w:spacing w:after="100" w:before="200"/>
      </w:pPr>
      <w:r>
        <w:rPr>
          <w:rFonts w:ascii="Arial" w:cs="Arial" w:eastAsia="Arial" w:hAnsi="Arial"/>
        </w:rPr>
        <w:t xml:space="preserve">2.3 Part 8 coverage</w:t>
      </w:r>
    </w:p>
    <w:p>
      <w:pPr>
        <w:spacing w:after="120" w:line="290"/>
      </w:pPr>
      <w:r>
        <w:rPr>
          <w:rFonts w:ascii="Arial" w:cs="Arial" w:eastAsia="Arial" w:hAnsi="Arial"/>
          <w:sz w:val="21"/>
          <w:szCs w:val="21"/>
        </w:rPr>
        <w:t xml:space="preserve">Limerick files Part 8 schemes in the planning register as “yy/8nnn”. CIS records many Part 8s under its own project numbers rather than the council file number, so these were matched to the register by location, date and unit count. The study includes 55 Part 8 schemes. 10 residential Part 8s in the register (104 units) were not held by CIS and have been added. Their start dates come from building control; their completion is not tracked, so those that have started are counted as under construction. Two further 2017 Part 8s have no recorded decision or commencement and are excluded: 178003 (27 units) and 218005 (18 units) and 178016 (20 units). Part 8 schemes before 2017 are not in the register.</w:t>
      </w:r>
    </w:p>
    <w:p>
      <w:pPr>
        <w:pStyle w:val="Heading2"/>
        <w:spacing w:after="100" w:before="200"/>
      </w:pPr>
      <w:r>
        <w:rPr>
          <w:rFonts w:ascii="Arial" w:cs="Arial" w:eastAsia="Arial" w:hAnsi="Arial"/>
        </w:rPr>
        <w:t xml:space="preserve">2.4 Social housing construction report</w:t>
      </w:r>
    </w:p>
    <w:p>
      <w:pPr>
        <w:spacing w:after="120" w:line="290"/>
      </w:pPr>
      <w:r>
        <w:rPr>
          <w:rFonts w:ascii="Arial" w:cs="Arial" w:eastAsia="Arial" w:hAnsi="Arial"/>
          <w:sz w:val="21"/>
          <w:szCs w:val="21"/>
        </w:rPr>
        <w:t xml:space="preserve">The Department of Housing’s quarterly status report lists social housing construction and turnkey projects by name, units, funding programme and stage, without planning references or coordinates. It was matched to the study schemes on name, address and unit count. 31 schemes (460 units) matched with confidence and consistent dates; these supply public ownership (including 5 turnkey purchases), and completion dates for 3 schemes that CIS had not recorded as complete. Buy and Renew, remedial works and rows that could not be matched with confidence were not used.</w:t>
      </w:r>
    </w:p>
    <w:p>
      <w:pPr>
        <w:pStyle w:val="Heading2"/>
        <w:spacing w:after="100" w:before="200"/>
      </w:pPr>
      <w:r>
        <w:rPr>
          <w:rFonts w:ascii="Arial" w:cs="Arial" w:eastAsia="Arial" w:hAnsi="Arial"/>
        </w:rPr>
        <w:t xml:space="preserve">2.5 Reconciliation with the KPMG audit and student accommodation data</w:t>
      </w:r>
    </w:p>
    <w:p>
      <w:pPr>
        <w:spacing w:after="120" w:line="290"/>
      </w:pPr>
      <w:r>
        <w:rPr>
          <w:rFonts w:ascii="Arial" w:cs="Arial" w:eastAsia="Arial" w:hAnsi="Arial"/>
          <w:sz w:val="21"/>
          <w:szCs w:val="21"/>
        </w:rPr>
        <w:t xml:space="preserve">The scheme list was checked against the KPMG audit of the Limerick city and suburbs pipeline. 11 live Limerick schemes (377 units) in that audit were missing from our CIS extracts and have been added, after confirming each one in the planning register. Schemes the audit lists that the register shows as refused, withdrawn or invalid were not added, and two audit schemes in County Clare fall outside this study. The check also found 8 Part 8 schemes (143 units) held twice in CIS, once under a CIS project number and once under the council file number; each is now counted once. Bedspace counts for permitted student accommodation schemes are taken from the purpose-built student accommodation (PBSA) schedule supplied for this study; existing student accommodation is not part of the pipeline.</w:t>
      </w:r>
    </w:p>
    <w:p>
      <w:pPr>
        <w:spacing w:after="120" w:line="290"/>
      </w:pPr>
      <w:r>
        <w:rPr>
          <w:rFonts w:ascii="Arial" w:cs="Arial" w:eastAsia="Arial" w:hAnsi="Arial"/>
          <w:sz w:val="21"/>
          <w:szCs w:val="21"/>
        </w:rPr>
        <w:t xml:space="preserve">Granted residential applications in the planning register were also compared with Central Statistics Office figures on units granted permission in Limerick (BHQ17). Register grants of 10 or more units since 2021 that CIS does not hold were checked one by one against the register and An Coimisiún Pleanála case records: 2 live private schemes (24 units) were added, and the rest had been refused on appeal or were not new supply. One-off houses and schemes of under 10 units outside CIS are not covered by this study.</w:t>
      </w:r>
    </w:p>
    <w:p>
      <w:pPr>
        <w:pStyle w:val="Heading2"/>
        <w:spacing w:after="100" w:before="200"/>
      </w:pPr>
      <w:r>
        <w:rPr>
          <w:rFonts w:ascii="Arial" w:cs="Arial" w:eastAsia="Arial" w:hAnsi="Arial"/>
        </w:rPr>
        <w:t xml:space="preserve">2.6 Limitations</w:t>
      </w:r>
    </w:p>
    <w:p>
      <w:pPr>
        <w:pStyle w:val="ListParagraph"/>
        <w:numPr>
          <w:ilvl w:val="0"/>
          <w:numId w:val="2"/>
        </w:numPr>
        <w:spacing w:after="80" w:line="280"/>
      </w:pPr>
      <w:r>
        <w:rPr>
          <w:rFonts w:ascii="Arial" w:cs="Arial" w:eastAsia="Arial" w:hAnsi="Arial"/>
          <w:sz w:val="21"/>
          <w:szCs w:val="21"/>
        </w:rPr>
        <w:t xml:space="preserve">Sample sizes in the 50–99 and 100+ bands are small, particularly for completed schemes. Treat those medians as indicative.</w:t>
      </w:r>
    </w:p>
    <w:p>
      <w:pPr>
        <w:pStyle w:val="ListParagraph"/>
        <w:numPr>
          <w:ilvl w:val="0"/>
          <w:numId w:val="2"/>
        </w:numPr>
        <w:spacing w:after="80" w:line="280"/>
      </w:pPr>
      <w:r>
        <w:rPr>
          <w:rFonts w:ascii="Arial" w:cs="Arial" w:eastAsia="Arial" w:hAnsi="Arial"/>
          <w:sz w:val="21"/>
          <w:szCs w:val="21"/>
        </w:rPr>
        <w:t xml:space="preserve">Durations from permission to start are measured only for schemes that have started. The cumulative start shares in Section 3 cover all permissions and are the fairer measure of how many permissions get built.</w:t>
      </w:r>
    </w:p>
    <w:p>
      <w:pPr>
        <w:pStyle w:val="ListParagraph"/>
        <w:numPr>
          <w:ilvl w:val="0"/>
          <w:numId w:val="2"/>
        </w:numPr>
        <w:spacing w:after="80" w:line="280"/>
      </w:pPr>
      <w:r>
        <w:rPr>
          <w:rFonts w:ascii="Arial" w:cs="Arial" w:eastAsia="Arial" w:hAnsi="Arial"/>
          <w:sz w:val="21"/>
          <w:szCs w:val="21"/>
        </w:rPr>
        <w:t xml:space="preserve">CIS records reasons for delay only occasionally, so barriers are mostly inferred from the planning and building control record rather than stated by developers.</w:t>
      </w:r>
    </w:p>
    <w:p>
      <w:pPr>
        <w:pStyle w:val="ListParagraph"/>
        <w:numPr>
          <w:ilvl w:val="0"/>
          <w:numId w:val="2"/>
        </w:numPr>
        <w:spacing w:after="80" w:line="280"/>
      </w:pPr>
      <w:r>
        <w:rPr>
          <w:rFonts w:ascii="Arial" w:cs="Arial" w:eastAsia="Arial" w:hAnsi="Arial"/>
          <w:sz w:val="21"/>
          <w:szCs w:val="21"/>
        </w:rPr>
        <w:t xml:space="preserve">Completion certificates under-record units (see Appendix A), so completions rely on CIS.</w:t>
      </w:r>
    </w:p>
    <w:p>
      <w:pPr>
        <w:pStyle w:val="Heading1"/>
        <w:spacing w:after="140" w:before="280"/>
      </w:pPr>
      <w:r>
        <w:rPr>
          <w:rFonts w:ascii="Arial" w:cs="Arial" w:eastAsia="Arial" w:hAnsi="Arial"/>
        </w:rPr>
        <w:t xml:space="preserve">3. How long does it take to get started?</w:t>
      </w:r>
    </w:p>
    <w:p>
      <w:pPr>
        <w:keepNext/>
        <w:spacing w:after="60" w:before="160"/>
      </w:pPr>
      <w:r>
        <w:rPr>
          <w:rFonts w:ascii="Arial" w:cs="Arial" w:eastAsia="Arial" w:hAnsi="Arial"/>
          <w:b/>
          <w:bCs/>
          <w:color w:val="1F3A5F"/>
          <w:sz w:val="20"/>
          <w:szCs w:val="20"/>
        </w:rPr>
        <w:t xml:space="preserve">Figure 1. Median time from application to completion, by scheme size</w:t>
      </w:r>
    </w:p>
    <w:p>
      <w:pPr>
        <w:keepNext/>
      </w:pPr>
      <w:r>
        <w:drawing>
          <wp:inline distT="0" distB="0" distL="0" distR="0">
            <wp:extent cx="5760000" cy="3058731"/>
            <wp:effectExtent t="0" r="0" b="0" l="0"/>
            <wp:docPr id="1" name="charts/c1_timeline.png" descr="charts/c1_timeline.png" title="charts/c1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000" cy="3058731"/>
                    </a:xfrm>
                    <a:prstGeom prst="rect">
                      <a:avLst/>
                    </a:prstGeom>
                  </pic:spPr>
                </pic:pic>
              </a:graphicData>
            </a:graphic>
          </wp:inline>
        </w:drawing>
      </w:r>
    </w:p>
    <w:p>
      <w:pPr>
        <w:spacing w:after="200" w:before="60"/>
      </w:pPr>
      <w:r>
        <w:rPr>
          <w:rFonts w:ascii="Arial" w:cs="Arial" w:eastAsia="Arial" w:hAnsi="Arial"/>
          <w:i/>
          <w:iCs/>
          <w:color w:val="52514E"/>
          <w:sz w:val="17"/>
          <w:szCs w:val="17"/>
        </w:rPr>
        <w:t xml:space="preserve">Medians of each stage calculated separately; the total is indicative, not the median of end-to-end times. Source: national planning register, NBCO commencement notices, CIS.</w:t>
      </w:r>
    </w:p>
    <w:p>
      <w:pPr>
        <w:spacing w:after="120" w:line="290"/>
      </w:pPr>
      <w:r>
        <w:rPr>
          <w:rFonts w:ascii="Arial" w:cs="Arial" w:eastAsia="Arial" w:hAnsi="Arial"/>
          <w:sz w:val="21"/>
          <w:szCs w:val="21"/>
        </w:rPr>
        <w:t xml:space="preserve">Across all sizes, permission takes a median of about 7 months from lodgement, and it barely varies with scheme size. The bigger variation is in what happens after permission.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1853"/>
        <w:gridCol w:w="1853"/>
        <w:gridCol w:w="1853"/>
        <w:gridCol w:w="1853"/>
      </w:tblGrid>
      <w:tr>
        <w:trPr>
          <w:cantSplit/>
          <w:tblHeader/>
        </w:trPr>
        <w:tc>
          <w:tcPr>
            <w:tcW w:type="dxa" w:w="20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Size band (units)</w:t>
            </w:r>
          </w:p>
        </w:tc>
        <w:tc>
          <w:tcPr>
            <w:tcW w:type="dxa" w:w="185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Application to permission</w:t>
            </w:r>
          </w:p>
        </w:tc>
        <w:tc>
          <w:tcPr>
            <w:tcW w:type="dxa" w:w="185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Permission to start</w:t>
            </w:r>
          </w:p>
        </w:tc>
        <w:tc>
          <w:tcPr>
            <w:tcW w:type="dxa" w:w="185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Start to completion</w:t>
            </w:r>
          </w:p>
        </w:tc>
        <w:tc>
          <w:tcPr>
            <w:tcW w:type="dxa" w:w="185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Build rate (dpa)</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1–9</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0.5 (n=65)</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1.3 (n=45)</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 (n=18)</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4.1</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10–24</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0.6 (n=65)</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 (n=34)</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 (n=15)</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8.3</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25–49</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0.6 (n=47)</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1.6 (n=23)</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 (n=6)</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21.5</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50–99</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0.7 (n=36)</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1.1 (n=23)</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2.3 (n=4)</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34</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100+</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0.5 (n=23)</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 (n=10)</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 (n=3)</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50.3</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All</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0.6 (n=240)</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1.3 (n=136)</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1.8 (n=47)</w:t>
            </w:r>
          </w:p>
        </w:tc>
        <w:tc>
          <w:tcPr>
            <w:tcW w:type="dxa" w:w="18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8</w:t>
            </w:r>
          </w:p>
        </w:tc>
      </w:tr>
    </w:tbl>
    <w:p>
      <w:pPr>
        <w:spacing w:after="200" w:before="60"/>
      </w:pPr>
      <w:r>
        <w:rPr>
          <w:rFonts w:ascii="Arial" w:cs="Arial" w:eastAsia="Arial" w:hAnsi="Arial"/>
          <w:i/>
          <w:iCs/>
          <w:color w:val="52514E"/>
          <w:sz w:val="17"/>
          <w:szCs w:val="17"/>
        </w:rPr>
        <w:t xml:space="preserve">Median years, with number of schemes measured in brackets. Build rate is the median of completed schemes.</w:t>
      </w:r>
    </w:p>
    <w:p>
      <w:pPr>
        <w:pStyle w:val="Heading2"/>
        <w:spacing w:after="100" w:before="200"/>
      </w:pPr>
      <w:r>
        <w:rPr>
          <w:rFonts w:ascii="Arial" w:cs="Arial" w:eastAsia="Arial" w:hAnsi="Arial"/>
        </w:rPr>
        <w:t xml:space="preserve">3.1 The planning path</w:t>
      </w:r>
    </w:p>
    <w:p>
      <w:pPr>
        <w:spacing w:after="120" w:line="290"/>
      </w:pPr>
      <w:r>
        <w:rPr>
          <w:rFonts w:ascii="Arial" w:cs="Arial" w:eastAsia="Arial" w:hAnsi="Arial"/>
          <w:sz w:val="21"/>
          <w:szCs w:val="21"/>
        </w:rPr>
        <w:t xml:space="preserve">Further information requests and appeals account for most of the variation in approval times. Where the Council asked for further information, the median rose from 0.2 to 0.7 years. Appealed decisions took a median of 1.3 years. Further information was requested on 80% of the applications in this group.</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800"/>
        <w:gridCol w:w="1403"/>
        <w:gridCol w:w="1403"/>
        <w:gridCol w:w="1403"/>
        <w:gridCol w:w="1403"/>
      </w:tblGrid>
      <w:tr>
        <w:trPr>
          <w:cantSplit/>
          <w:tblHeader/>
        </w:trPr>
        <w:tc>
          <w:tcPr>
            <w:tcW w:type="dxa" w:w="38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Planning path</w:t>
            </w:r>
          </w:p>
        </w:tc>
        <w:tc>
          <w:tcPr>
            <w:tcW w:type="dxa" w:w="140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Schemes</w:t>
            </w:r>
          </w:p>
        </w:tc>
        <w:tc>
          <w:tcPr>
            <w:tcW w:type="dxa" w:w="140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Median (yrs)</w:t>
            </w:r>
          </w:p>
        </w:tc>
        <w:tc>
          <w:tcPr>
            <w:tcW w:type="dxa" w:w="140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Lower quartile</w:t>
            </w:r>
          </w:p>
        </w:tc>
        <w:tc>
          <w:tcPr>
            <w:tcW w:type="dxa" w:w="140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Upper quartile</w:t>
            </w:r>
          </w:p>
        </w:tc>
      </w:tr>
      <w:tr>
        <w:trPr>
          <w:cantSplit/>
          <w:tblHeader w:val="off"/>
        </w:trPr>
        <w:tc>
          <w:tcPr>
            <w:tcW w:type="dxa" w:w="3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No further information, no appeal</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31</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0.2</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0.2</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0.2</w:t>
            </w:r>
          </w:p>
        </w:tc>
      </w:tr>
      <w:tr>
        <w:trPr>
          <w:cantSplit/>
          <w:tblHeader w:val="off"/>
        </w:trPr>
        <w:tc>
          <w:tcPr>
            <w:tcW w:type="dxa" w:w="3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Further information requested</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126</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0.7</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0.5</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0.8</w:t>
            </w:r>
          </w:p>
        </w:tc>
      </w:tr>
      <w:tr>
        <w:trPr>
          <w:cantSplit/>
          <w:tblHeader w:val="off"/>
        </w:trPr>
        <w:tc>
          <w:tcPr>
            <w:tcW w:type="dxa" w:w="3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Appealed</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48</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1.3</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0.9</w:t>
            </w:r>
          </w:p>
        </w:tc>
        <w:tc>
          <w:tcPr>
            <w:tcW w:type="dxa" w:w="140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1.7</w:t>
            </w:r>
          </w:p>
        </w:tc>
      </w:tr>
    </w:tbl>
    <w:p>
      <w:pPr>
        <w:spacing w:after="200" w:before="60"/>
      </w:pPr>
      <w:r>
        <w:rPr>
          <w:rFonts w:ascii="Arial" w:cs="Arial" w:eastAsia="Arial" w:hAnsi="Arial"/>
          <w:i/>
          <w:iCs/>
          <w:color w:val="52514E"/>
          <w:sz w:val="17"/>
          <w:szCs w:val="17"/>
        </w:rPr>
        <w:t xml:space="preserve">Standard and LRD applications in the council planning register. SHD and Part 8 excluded.</w:t>
      </w:r>
    </w:p>
    <w:p>
      <w:pPr>
        <w:pStyle w:val="Heading2"/>
        <w:spacing w:after="100" w:before="200"/>
      </w:pPr>
      <w:r>
        <w:rPr>
          <w:rFonts w:ascii="Arial" w:cs="Arial" w:eastAsia="Arial" w:hAnsi="Arial"/>
        </w:rPr>
        <w:t xml:space="preserve">3.2 From permission to start on site</w:t>
      </w:r>
    </w:p>
    <w:p>
      <w:pPr>
        <w:keepNext/>
        <w:spacing w:after="60" w:before="160"/>
      </w:pPr>
      <w:r>
        <w:rPr>
          <w:rFonts w:ascii="Arial" w:cs="Arial" w:eastAsia="Arial" w:hAnsi="Arial"/>
          <w:b/>
          <w:bCs/>
          <w:color w:val="1F3A5F"/>
          <w:sz w:val="20"/>
          <w:szCs w:val="20"/>
        </w:rPr>
        <w:t xml:space="preserve">Figure 2. Share of permitted schemes started, by time since permission</w:t>
      </w:r>
    </w:p>
    <w:p>
      <w:pPr>
        <w:keepNext/>
      </w:pPr>
      <w:r>
        <w:drawing>
          <wp:inline distT="0" distB="0" distL="0" distR="0">
            <wp:extent cx="5220000" cy="2860560"/>
            <wp:effectExtent t="0" r="0" b="0" l="0"/>
            <wp:docPr id="2" name="charts/c2_started_over_time.png" descr="charts/c2_started_over_time.png" title="charts/c2_started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20000" cy="2860560"/>
                    </a:xfrm>
                    <a:prstGeom prst="rect">
                      <a:avLst/>
                    </a:prstGeom>
                  </pic:spPr>
                </pic:pic>
              </a:graphicData>
            </a:graphic>
          </wp:inline>
        </w:drawing>
      </w:r>
    </w:p>
    <w:p>
      <w:pPr>
        <w:spacing w:after="200" w:before="60"/>
      </w:pPr>
      <w:r>
        <w:rPr>
          <w:rFonts w:ascii="Arial" w:cs="Arial" w:eastAsia="Arial" w:hAnsi="Arial"/>
          <w:i/>
          <w:iCs/>
          <w:color w:val="52514E"/>
          <w:sz w:val="17"/>
          <w:szCs w:val="17"/>
        </w:rPr>
        <w:t xml:space="preserve">Each point covers only permissions old enough to have reached that time.</w:t>
      </w:r>
    </w:p>
    <w:p>
      <w:pPr>
        <w:spacing w:after="120" w:line="290"/>
      </w:pPr>
      <w:r>
        <w:rPr>
          <w:rFonts w:ascii="Arial" w:cs="Arial" w:eastAsia="Arial" w:hAnsi="Arial"/>
          <w:sz w:val="21"/>
          <w:szCs w:val="21"/>
        </w:rPr>
        <w:t xml:space="preserve">About a quarter of schemes start within a year of permission and 48% within two years. By five years, 72% have started. Schemes of 25–99 units have the highest start rate by five years (84%); schemes of 1–24 units reach 68%. The 100+ band has too few older permissions to measure beyond four years.</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000"/>
        <w:gridCol w:w="1482"/>
        <w:gridCol w:w="1482"/>
        <w:gridCol w:w="1482"/>
        <w:gridCol w:w="1482"/>
        <w:gridCol w:w="1482"/>
      </w:tblGrid>
      <w:tr>
        <w:trPr>
          <w:cantSplit/>
          <w:tblHeader/>
        </w:trPr>
        <w:tc>
          <w:tcPr>
            <w:tcW w:type="dxa" w:w="20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Scheme size</w:t>
            </w:r>
          </w:p>
        </w:tc>
        <w:tc>
          <w:tcPr>
            <w:tcW w:type="dxa" w:w="148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Within 1 yr</w:t>
            </w:r>
          </w:p>
        </w:tc>
        <w:tc>
          <w:tcPr>
            <w:tcW w:type="dxa" w:w="148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Within 2 yr</w:t>
            </w:r>
          </w:p>
        </w:tc>
        <w:tc>
          <w:tcPr>
            <w:tcW w:type="dxa" w:w="148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Within 3 yr</w:t>
            </w:r>
          </w:p>
        </w:tc>
        <w:tc>
          <w:tcPr>
            <w:tcW w:type="dxa" w:w="148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Within 4 yr</w:t>
            </w:r>
          </w:p>
        </w:tc>
        <w:tc>
          <w:tcPr>
            <w:tcW w:type="dxa" w:w="148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Within 5 yr</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1–24 units</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27% (119)</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47% (106)</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54% (82)</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64% (70)</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68% (50)</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25–99 units</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22% (72)</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47% (60)</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65% (48)</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71% (38)</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84% (31)</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100+ units</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 (14)</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67% (12)</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67% (9)</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62% (8)</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 (4)</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All</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25% (208)</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48% (181)</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58% (142)</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66% (119)</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72% (88)</w:t>
            </w:r>
          </w:p>
        </w:tc>
      </w:tr>
    </w:tbl>
    <w:p>
      <w:pPr>
        <w:spacing w:after="200" w:before="60"/>
      </w:pPr>
      <w:r>
        <w:rPr>
          <w:rFonts w:ascii="Arial" w:cs="Arial" w:eastAsia="Arial" w:hAnsi="Arial"/>
          <w:i/>
          <w:iCs/>
          <w:color w:val="52514E"/>
          <w:sz w:val="17"/>
          <w:szCs w:val="17"/>
        </w:rPr>
        <w:t xml:space="preserve">% of schemes started (number of permissions old enough to be measured).</w:t>
      </w:r>
    </w:p>
    <w:p>
      <w:pPr>
        <w:pStyle w:val="Heading1"/>
        <w:spacing w:after="140" w:before="280"/>
      </w:pPr>
      <w:r>
        <w:rPr>
          <w:rFonts w:ascii="Arial" w:cs="Arial" w:eastAsia="Arial" w:hAnsi="Arial"/>
        </w:rPr>
        <w:t xml:space="preserve">4. Public and private delivery</w:t>
      </w:r>
    </w:p>
    <w:p>
      <w:pPr>
        <w:spacing w:after="120" w:line="290"/>
      </w:pPr>
      <w:r>
        <w:rPr>
          <w:rFonts w:ascii="Arial" w:cs="Arial" w:eastAsia="Arial" w:hAnsi="Arial"/>
          <w:sz w:val="21"/>
          <w:szCs w:val="21"/>
        </w:rPr>
        <w:t xml:space="preserve">Public schemes account for 76 of the 265 schemes and 1,737 units (16%). Most are local authority schemes (59 schemes, 1,113 units), followed by approved housing bodies (16 schemes, 339 units). The Land Development Agency has one scheme in the sample: the former Limerick Gasworks site on Dock Road (25/60780, 285 units), granted in February 2026 and at tender stage.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000"/>
        <w:gridCol w:w="1050"/>
        <w:gridCol w:w="900"/>
        <w:gridCol w:w="1550"/>
        <w:gridCol w:w="1650"/>
        <w:gridCol w:w="1650"/>
        <w:gridCol w:w="1612"/>
      </w:tblGrid>
      <w:tr>
        <w:trPr>
          <w:cantSplit/>
          <w:tblHeader/>
        </w:trPr>
        <w:tc>
          <w:tcPr>
            <w:tcW w:type="dxa" w:w="10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Sector</w:t>
            </w:r>
          </w:p>
        </w:tc>
        <w:tc>
          <w:tcPr>
            <w:tcW w:type="dxa" w:w="105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Schemes</w:t>
            </w:r>
          </w:p>
        </w:tc>
        <w:tc>
          <w:tcPr>
            <w:tcW w:type="dxa" w:w="9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w:t>
            </w:r>
          </w:p>
        </w:tc>
        <w:tc>
          <w:tcPr>
            <w:tcW w:type="dxa" w:w="155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Application to permission</w:t>
            </w:r>
          </w:p>
        </w:tc>
        <w:tc>
          <w:tcPr>
            <w:tcW w:type="dxa" w:w="165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Permission to start</w:t>
            </w:r>
          </w:p>
        </w:tc>
        <w:tc>
          <w:tcPr>
            <w:tcW w:type="dxa" w:w="165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Start to completion</w:t>
            </w:r>
          </w:p>
        </w:tc>
        <w:tc>
          <w:tcPr>
            <w:tcW w:type="dxa" w:w="161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Build rate (dpa)</w:t>
            </w:r>
          </w:p>
        </w:tc>
      </w:tr>
      <w:tr>
        <w:trPr>
          <w:cantSplit/>
          <w:tblHeader w:val="off"/>
        </w:trPr>
        <w:tc>
          <w:tcPr>
            <w:tcW w:type="dxa" w:w="1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Public</w:t>
            </w:r>
          </w:p>
        </w:tc>
        <w:tc>
          <w:tcPr>
            <w:tcW w:type="dxa" w:w="10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76</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1,737</w:t>
            </w:r>
          </w:p>
        </w:tc>
        <w:tc>
          <w:tcPr>
            <w:tcW w:type="dxa" w:w="15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0.3</w:t>
            </w:r>
          </w:p>
        </w:tc>
        <w:tc>
          <w:tcPr>
            <w:tcW w:type="dxa" w:w="16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 (n=36)</w:t>
            </w:r>
          </w:p>
        </w:tc>
        <w:tc>
          <w:tcPr>
            <w:tcW w:type="dxa" w:w="16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1.5 (n=18)</w:t>
            </w:r>
          </w:p>
        </w:tc>
        <w:tc>
          <w:tcPr>
            <w:tcW w:type="dxa" w:w="16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7.6</w:t>
            </w:r>
          </w:p>
        </w:tc>
      </w:tr>
      <w:tr>
        <w:trPr>
          <w:cantSplit/>
          <w:tblHeader w:val="off"/>
        </w:trPr>
        <w:tc>
          <w:tcPr>
            <w:tcW w:type="dxa" w:w="1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Private</w:t>
            </w:r>
          </w:p>
        </w:tc>
        <w:tc>
          <w:tcPr>
            <w:tcW w:type="dxa" w:w="10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189</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9,306</w:t>
            </w:r>
          </w:p>
        </w:tc>
        <w:tc>
          <w:tcPr>
            <w:tcW w:type="dxa" w:w="15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0.7</w:t>
            </w:r>
          </w:p>
        </w:tc>
        <w:tc>
          <w:tcPr>
            <w:tcW w:type="dxa" w:w="16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 (n=100)</w:t>
            </w:r>
          </w:p>
        </w:tc>
        <w:tc>
          <w:tcPr>
            <w:tcW w:type="dxa" w:w="16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1.8 (n=29)</w:t>
            </w:r>
          </w:p>
        </w:tc>
        <w:tc>
          <w:tcPr>
            <w:tcW w:type="dxa" w:w="16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10.6</w:t>
            </w:r>
          </w:p>
        </w:tc>
      </w:tr>
    </w:tbl>
    <w:p>
      <w:pPr>
        <w:spacing w:after="200" w:before="60"/>
      </w:pPr>
      <w:r>
        <w:rPr>
          <w:rFonts w:ascii="Arial" w:cs="Arial" w:eastAsia="Arial" w:hAnsi="Arial"/>
          <w:i/>
          <w:iCs/>
          <w:color w:val="52514E"/>
          <w:sz w:val="17"/>
          <w:szCs w:val="17"/>
        </w:rPr>
        <w:t xml:space="preserve">Median years (number of schemes measured).</w:t>
      </w:r>
    </w:p>
    <w:p>
      <w:pPr>
        <w:spacing w:after="80"/>
      </w:pPr>
    </w:p>
    <w:p>
      <w:pPr>
        <w:spacing w:after="120" w:line="290"/>
      </w:pPr>
      <w:r>
        <w:rPr>
          <w:rFonts w:ascii="Arial" w:cs="Arial" w:eastAsia="Arial" w:hAnsi="Arial"/>
          <w:sz w:val="21"/>
          <w:szCs w:val="21"/>
        </w:rPr>
        <w:t xml:space="preserve">Public schemes get through planning faster, mainly because Part 8 approvals are not subject to further information requests or appeal. They are slower to start: 44% had started within two years of approval, against 50% of private schemes. In our experience, public schemes usually go to tender and seek funding approval after planning, which adds time before a contractor is on site.</w:t>
      </w:r>
    </w:p>
    <w:p>
      <w:pPr>
        <w:keepNext/>
        <w:spacing w:after="60" w:before="160"/>
      </w:pPr>
      <w:r>
        <w:rPr>
          <w:rFonts w:ascii="Arial" w:cs="Arial" w:eastAsia="Arial" w:hAnsi="Arial"/>
          <w:b/>
          <w:bCs/>
          <w:color w:val="1F3A5F"/>
          <w:sz w:val="20"/>
          <w:szCs w:val="20"/>
        </w:rPr>
        <w:t xml:space="preserve">Figure 3. Share of permitted schemes started, public and private</w:t>
      </w:r>
    </w:p>
    <w:p>
      <w:pPr>
        <w:keepNext/>
      </w:pPr>
      <w:r>
        <w:drawing>
          <wp:inline distT="0" distB="0" distL="0" distR="0">
            <wp:extent cx="5040000" cy="2624832"/>
            <wp:effectExtent t="0" r="0" b="0" l="0"/>
            <wp:docPr id="3" name="charts/c10_started_by_sector.png" descr="charts/c10_started_by_sector.png" title="charts/c10_started_by_s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0000" cy="2624832"/>
                    </a:xfrm>
                    <a:prstGeom prst="rect">
                      <a:avLst/>
                    </a:prstGeom>
                  </pic:spPr>
                </pic:pic>
              </a:graphicData>
            </a:graphic>
          </wp:inline>
        </w:drawing>
      </w:r>
    </w:p>
    <w:p>
      <w:pPr>
        <w:spacing w:after="200" w:before="60"/>
      </w:pPr>
      <w:r>
        <w:rPr>
          <w:rFonts w:ascii="Arial" w:cs="Arial" w:eastAsia="Arial" w:hAnsi="Arial"/>
          <w:i/>
          <w:iCs/>
          <w:color w:val="52514E"/>
          <w:sz w:val="17"/>
          <w:szCs w:val="17"/>
        </w:rPr>
        <w:t xml:space="preserve">Each point covers only permissions old enough to have reached that time.</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000"/>
        <w:gridCol w:w="1482"/>
        <w:gridCol w:w="1482"/>
        <w:gridCol w:w="1482"/>
        <w:gridCol w:w="1482"/>
        <w:gridCol w:w="1482"/>
      </w:tblGrid>
      <w:tr>
        <w:trPr>
          <w:cantSplit/>
          <w:tblHeader/>
        </w:trPr>
        <w:tc>
          <w:tcPr>
            <w:tcW w:type="dxa" w:w="20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Sector</w:t>
            </w:r>
          </w:p>
        </w:tc>
        <w:tc>
          <w:tcPr>
            <w:tcW w:type="dxa" w:w="148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Within 1 yr</w:t>
            </w:r>
          </w:p>
        </w:tc>
        <w:tc>
          <w:tcPr>
            <w:tcW w:type="dxa" w:w="148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Within 2 yr</w:t>
            </w:r>
          </w:p>
        </w:tc>
        <w:tc>
          <w:tcPr>
            <w:tcW w:type="dxa" w:w="148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Within 3 yr</w:t>
            </w:r>
          </w:p>
        </w:tc>
        <w:tc>
          <w:tcPr>
            <w:tcW w:type="dxa" w:w="148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Within 4 yr</w:t>
            </w:r>
          </w:p>
        </w:tc>
        <w:tc>
          <w:tcPr>
            <w:tcW w:type="dxa" w:w="148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Within 5 yr</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Public</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 (53)</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44% (50)</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58% (43)</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69% (35)</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60% (25)</w:t>
            </w:r>
          </w:p>
        </w:tc>
      </w:tr>
      <w:tr>
        <w:trPr>
          <w:cantSplit/>
          <w:tblHeader w:val="off"/>
        </w:trPr>
        <w:tc>
          <w:tcPr>
            <w:tcW w:type="dxa" w:w="20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Private</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30% (155)</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50% (131)</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58% (99)</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64% (84)</w:t>
            </w:r>
          </w:p>
        </w:tc>
        <w:tc>
          <w:tcPr>
            <w:tcW w:type="dxa" w:w="148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76% (63)</w:t>
            </w:r>
          </w:p>
        </w:tc>
      </w:tr>
    </w:tbl>
    <w:p>
      <w:pPr>
        <w:spacing w:after="200" w:before="60"/>
      </w:pPr>
      <w:r>
        <w:rPr>
          <w:rFonts w:ascii="Arial" w:cs="Arial" w:eastAsia="Arial" w:hAnsi="Arial"/>
          <w:i/>
          <w:iCs/>
          <w:color w:val="52514E"/>
          <w:sz w:val="17"/>
          <w:szCs w:val="17"/>
        </w:rPr>
        <w:t xml:space="preserve">% of schemes started (number of permissions old enough to be measured).</w:t>
      </w:r>
    </w:p>
    <w:p>
      <w:pPr>
        <w:spacing w:after="80"/>
      </w:pPr>
    </w:p>
    <w:p>
      <w:pPr>
        <w:spacing w:after="120" w:line="290"/>
      </w:pPr>
      <w:r>
        <w:rPr>
          <w:rFonts w:ascii="Arial" w:cs="Arial" w:eastAsia="Arial" w:hAnsi="Arial"/>
          <w:sz w:val="21"/>
          <w:szCs w:val="21"/>
        </w:rPr>
        <w:t xml:space="preserve">Measured by units rather than schemes, public delivery holds up: on permissions at least two years old, 82% of public units have started against 75% of private units. The difference reflects a larger number of small public schemes that have not started alongside larger public schemes that have.</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800"/>
        <w:gridCol w:w="1322"/>
        <w:gridCol w:w="1322"/>
        <w:gridCol w:w="1322"/>
        <w:gridCol w:w="1322"/>
        <w:gridCol w:w="1322"/>
      </w:tblGrid>
      <w:tr>
        <w:trPr>
          <w:cantSplit/>
          <w:tblHeader/>
        </w:trPr>
        <w:tc>
          <w:tcPr>
            <w:tcW w:type="dxa" w:w="28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Owner</w:t>
            </w:r>
          </w:p>
        </w:tc>
        <w:tc>
          <w:tcPr>
            <w:tcW w:type="dxa" w:w="132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Schemes</w:t>
            </w:r>
          </w:p>
        </w:tc>
        <w:tc>
          <w:tcPr>
            <w:tcW w:type="dxa" w:w="132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permitted</w:t>
            </w:r>
          </w:p>
        </w:tc>
        <w:tc>
          <w:tcPr>
            <w:tcW w:type="dxa" w:w="132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started</w:t>
            </w:r>
          </w:p>
        </w:tc>
        <w:tc>
          <w:tcPr>
            <w:tcW w:type="dxa" w:w="132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 units started</w:t>
            </w:r>
          </w:p>
        </w:tc>
        <w:tc>
          <w:tcPr>
            <w:tcW w:type="dxa" w:w="132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Median permission to start (yrs)</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Public – local authority</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36</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838</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686</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82%</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Public – approved housing body</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319</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265</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83%</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Private</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131</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5,428</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4,073</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75%</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1.2</w:t>
            </w:r>
          </w:p>
        </w:tc>
      </w:tr>
    </w:tbl>
    <w:p>
      <w:pPr>
        <w:spacing w:after="200" w:before="60"/>
      </w:pPr>
      <w:r>
        <w:rPr>
          <w:rFonts w:ascii="Arial" w:cs="Arial" w:eastAsia="Arial" w:hAnsi="Arial"/>
          <w:i/>
          <w:iCs/>
          <w:color w:val="52514E"/>
          <w:sz w:val="17"/>
          <w:szCs w:val="17"/>
        </w:rPr>
        <w:t xml:space="preserve">Permissions at least two years old.</w:t>
      </w:r>
    </w:p>
    <w:p>
      <w:pPr>
        <w:pStyle w:val="Heading1"/>
        <w:spacing w:after="140" w:before="280"/>
      </w:pPr>
      <w:r>
        <w:rPr>
          <w:rFonts w:ascii="Arial" w:cs="Arial" w:eastAsia="Arial" w:hAnsi="Arial"/>
        </w:rPr>
        <w:t xml:space="preserve">5. How quickly do schemes build out?</w:t>
      </w:r>
    </w:p>
    <w:p>
      <w:pPr>
        <w:spacing w:after="120" w:line="290"/>
      </w:pPr>
      <w:r>
        <w:rPr>
          <w:rFonts w:ascii="Arial" w:cs="Arial" w:eastAsia="Arial" w:hAnsi="Arial"/>
          <w:sz w:val="21"/>
          <w:szCs w:val="21"/>
        </w:rPr>
        <w:t xml:space="preserve">47 schemes in the sample have been completed. The median build period was 1.8 years. Build-out rates rise with scheme size: larger schemes run more units in parallel.</w:t>
      </w:r>
    </w:p>
    <w:p>
      <w:pPr>
        <w:keepNext/>
        <w:spacing w:after="60" w:before="160"/>
      </w:pPr>
      <w:r>
        <w:rPr>
          <w:rFonts w:ascii="Arial" w:cs="Arial" w:eastAsia="Arial" w:hAnsi="Arial"/>
          <w:b/>
          <w:bCs/>
          <w:color w:val="1F3A5F"/>
          <w:sz w:val="20"/>
          <w:szCs w:val="20"/>
        </w:rPr>
        <w:t xml:space="preserve">Figure 4. Median build-out rate of completed schemes, by size</w:t>
      </w:r>
    </w:p>
    <w:p>
      <w:pPr>
        <w:keepNext/>
      </w:pPr>
      <w:r>
        <w:drawing>
          <wp:inline distT="0" distB="0" distL="0" distR="0">
            <wp:extent cx="5040000" cy="2344091"/>
            <wp:effectExtent t="0" r="0" b="0" l="0"/>
            <wp:docPr id="4" name="charts/c8_build_rates.png" descr="charts/c8_build_rates.png" title="charts/c8_build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0000" cy="2344091"/>
                    </a:xfrm>
                    <a:prstGeom prst="rect">
                      <a:avLst/>
                    </a:prstGeom>
                  </pic:spPr>
                </pic:pic>
              </a:graphicData>
            </a:graphic>
          </wp:inline>
        </w:drawing>
      </w:r>
    </w:p>
    <w:p>
      <w:pPr>
        <w:spacing w:after="200" w:before="60"/>
      </w:pPr>
      <w:r>
        <w:rPr>
          <w:rFonts w:ascii="Arial" w:cs="Arial" w:eastAsia="Arial" w:hAnsi="Arial"/>
          <w:i/>
          <w:iCs/>
          <w:color w:val="52514E"/>
          <w:sz w:val="17"/>
          <w:szCs w:val="17"/>
        </w:rPr>
        <w:t xml:space="preserve">Dwellings per annum = units ÷ build period. Source: NBCO commencement notices, CIS completion updates.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1753"/>
        <w:gridCol w:w="1753"/>
        <w:gridCol w:w="1753"/>
        <w:gridCol w:w="1753"/>
      </w:tblGrid>
      <w:tr>
        <w:trPr>
          <w:cantSplit/>
          <w:tblHeader/>
        </w:trPr>
        <w:tc>
          <w:tcPr>
            <w:tcW w:type="dxa" w:w="24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Group</w:t>
            </w:r>
          </w:p>
        </w:tc>
        <w:tc>
          <w:tcPr>
            <w:tcW w:type="dxa" w:w="175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Completed schemes</w:t>
            </w:r>
          </w:p>
        </w:tc>
        <w:tc>
          <w:tcPr>
            <w:tcW w:type="dxa" w:w="175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Median build period (yrs)</w:t>
            </w:r>
          </w:p>
        </w:tc>
        <w:tc>
          <w:tcPr>
            <w:tcW w:type="dxa" w:w="175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Median build rate (dpa)</w:t>
            </w:r>
          </w:p>
        </w:tc>
        <w:tc>
          <w:tcPr>
            <w:tcW w:type="dxa" w:w="1753"/>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Interquartile range (dpa)</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All completed</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47</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4.2–17.8</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1–9</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4.1</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2.3–5.8</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10–24</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15</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8.3</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6–11.2</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25–49</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21.5</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17.7–26.6</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50–99</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2.3</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34</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24–44.2</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100+</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50.3</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38.4–73.7</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Houses</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22</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4.2</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2.6–12.1</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Apartments</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9</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5.3–10.7</w:t>
            </w:r>
          </w:p>
        </w:tc>
      </w:tr>
      <w:tr>
        <w:trPr>
          <w:cantSplit/>
          <w:tblHeader w:val="off"/>
        </w:trPr>
        <w:tc>
          <w:tcPr>
            <w:tcW w:type="dxa" w:w="2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Mixed</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8</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2</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34.3</w:t>
            </w:r>
          </w:p>
        </w:tc>
        <w:tc>
          <w:tcPr>
            <w:tcW w:type="dxa" w:w="1753"/>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20.9–50.3</w:t>
            </w:r>
          </w:p>
        </w:tc>
      </w:tr>
    </w:tbl>
    <w:p>
      <w:pPr>
        <w:spacing w:after="80"/>
      </w:pPr>
    </w:p>
    <w:p>
      <w:pPr>
        <w:spacing w:after="120" w:line="290"/>
      </w:pPr>
      <w:r>
        <w:rPr>
          <w:rFonts w:ascii="Arial" w:cs="Arial" w:eastAsia="Arial" w:hAnsi="Arial"/>
          <w:sz w:val="21"/>
          <w:szCs w:val="21"/>
        </w:rPr>
        <w:t xml:space="preserve">Few large schemes have completed in Limerick since 2018, which limits what can be said about build-out on the 100+ unit permissions now in the pipeline.</w:t>
      </w:r>
    </w:p>
    <w:p>
      <w:pPr>
        <w:pStyle w:val="Heading2"/>
        <w:spacing w:after="100" w:before="200"/>
      </w:pPr>
      <w:r>
        <w:rPr>
          <w:rFonts w:ascii="Arial" w:cs="Arial" w:eastAsia="Arial" w:hAnsi="Arial"/>
        </w:rPr>
        <w:t xml:space="preserve">5.1 Delivery over time</w:t>
      </w:r>
    </w:p>
    <w:p>
      <w:pPr>
        <w:keepNext/>
        <w:spacing w:after="60" w:before="160"/>
      </w:pPr>
      <w:r>
        <w:rPr>
          <w:rFonts w:ascii="Arial" w:cs="Arial" w:eastAsia="Arial" w:hAnsi="Arial"/>
          <w:b/>
          <w:bCs/>
          <w:color w:val="1F3A5F"/>
          <w:sz w:val="20"/>
          <w:szCs w:val="20"/>
        </w:rPr>
        <w:t xml:space="preserve">Figure 5. Units granted, started and completed per year (study sample)</w:t>
      </w:r>
    </w:p>
    <w:p>
      <w:pPr>
        <w:keepNext/>
      </w:pPr>
      <w:r>
        <w:drawing>
          <wp:inline distT="0" distB="0" distL="0" distR="0">
            <wp:extent cx="5760000" cy="2601026"/>
            <wp:effectExtent t="0" r="0" b="0" l="0"/>
            <wp:docPr id="5" name="charts/c3_annual_flows.png" descr="charts/c3_annual_flows.png" title="charts/c3_annual_fl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000" cy="2601026"/>
                    </a:xfrm>
                    <a:prstGeom prst="rect">
                      <a:avLst/>
                    </a:prstGeom>
                  </pic:spPr>
                </pic:pic>
              </a:graphicData>
            </a:graphic>
          </wp:inline>
        </w:drawing>
      </w:r>
    </w:p>
    <w:p>
      <w:pPr>
        <w:spacing w:after="200" w:before="60"/>
      </w:pPr>
      <w:r>
        <w:rPr>
          <w:rFonts w:ascii="Arial" w:cs="Arial" w:eastAsia="Arial" w:hAnsi="Arial"/>
          <w:i/>
          <w:iCs/>
          <w:color w:val="52514E"/>
          <w:sz w:val="17"/>
          <w:szCs w:val="17"/>
        </w:rPr>
        <w:t xml:space="preserve">2026 runs to September. Completions count schemes CIS records as fully complete; completed phases on sites still under construction are not included. Source: planning register, NBCO, CIS.</w:t>
      </w:r>
    </w:p>
    <w:p>
      <w:pPr>
        <w:spacing w:after="120" w:line="290"/>
      </w:pPr>
      <w:r>
        <w:rPr>
          <w:rFonts w:ascii="Arial" w:cs="Arial" w:eastAsia="Arial" w:hAnsi="Arial"/>
          <w:sz w:val="21"/>
          <w:szCs w:val="21"/>
        </w:rPr>
        <w:t xml:space="preserve">Permissions have run ahead of starts in most years. In the first nine months of 2026, 2,795 units were granted, including several large LRD schemes in Castletroy, Mungret, Singland and Dock Road. Starts peaked in 2024 at 1,607 units. Completions are low relative to starts because most recently started schemes are still under construction.</w:t>
      </w:r>
    </w:p>
    <w:p>
      <w:pPr>
        <w:pStyle w:val="Heading1"/>
        <w:spacing w:after="140" w:before="280"/>
      </w:pPr>
      <w:r>
        <w:rPr>
          <w:rFonts w:ascii="Arial" w:cs="Arial" w:eastAsia="Arial" w:hAnsi="Arial"/>
        </w:rPr>
        <w:t xml:space="preserve">6. Barriers to delivery</w:t>
      </w:r>
    </w:p>
    <w:p>
      <w:pPr>
        <w:spacing w:after="120" w:line="290"/>
      </w:pPr>
      <w:r>
        <w:rPr>
          <w:rFonts w:ascii="Arial" w:cs="Arial" w:eastAsia="Arial" w:hAnsi="Arial"/>
          <w:sz w:val="21"/>
          <w:szCs w:val="21"/>
        </w:rPr>
        <w:t xml:space="preserve">CIS rarely records why a scheme has not progressed. 9 schemes carry notes such as “on hold” or “no movement”, one was quashed following a legal challenge, and two sites were reported for sale. The planning and building control record gives a fuller picture of where delivery slows.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400"/>
        <w:gridCol w:w="1506"/>
        <w:gridCol w:w="1506"/>
      </w:tblGrid>
      <w:tr>
        <w:trPr>
          <w:cantSplit/>
          <w:tblHeader/>
        </w:trPr>
        <w:tc>
          <w:tcPr>
            <w:tcW w:type="dxa" w:w="64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Indicator</w:t>
            </w:r>
          </w:p>
        </w:tc>
        <w:tc>
          <w:tcPr>
            <w:tcW w:type="dxa" w:w="1506"/>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Schemes / applications</w:t>
            </w:r>
          </w:p>
        </w:tc>
        <w:tc>
          <w:tcPr>
            <w:tcW w:type="dxa" w:w="1506"/>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Permitted schemes not started, permission live</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94</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5,143</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Permitted schemes not started, past expiry</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311</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Schemes recorded by CIS as stalled or suspended</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156</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Schemes with CIS note: on hold / no movement</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9</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666</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Schemes with CIS note: legal challenge / quashed</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Schemes with CIS note: site for sale / sold</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98</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Schemes where further information was requested</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163</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6,478</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Schemes that went to appeal</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48</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2,703</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Applications refused or withdrawn (not counted)</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518</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Applications superseded by a later application</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90</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Extensions of duration sought</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14</w:t>
            </w:r>
          </w:p>
        </w:tc>
        <w:tc>
          <w:tcPr>
            <w:tcW w:type="dxa" w:w="1506"/>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w:t>
            </w:r>
          </w:p>
        </w:tc>
      </w:tr>
    </w:tbl>
    <w:p>
      <w:pPr>
        <w:spacing w:after="200" w:before="60"/>
      </w:pPr>
      <w:r>
        <w:rPr>
          <w:rFonts w:ascii="Arial" w:cs="Arial" w:eastAsia="Arial" w:hAnsi="Arial"/>
          <w:i/>
          <w:iCs/>
          <w:color w:val="52514E"/>
          <w:sz w:val="17"/>
          <w:szCs w:val="17"/>
        </w:rPr>
        <w:t xml:space="preserve">Counts overlap: a scheme can appear under several indicators.</w:t>
      </w:r>
    </w:p>
    <w:p>
      <w:pPr>
        <w:spacing w:after="80"/>
      </w:pPr>
    </w:p>
    <w:p>
      <w:pPr>
        <w:pStyle w:val="Heading2"/>
        <w:spacing w:after="100" w:before="200"/>
      </w:pPr>
      <w:r>
        <w:rPr>
          <w:rFonts w:ascii="Arial" w:cs="Arial" w:eastAsia="Arial" w:hAnsi="Arial"/>
        </w:rPr>
        <w:t xml:space="preserve">6.1 Which permissions are least likely to start?</w:t>
      </w:r>
    </w:p>
    <w:p>
      <w:pPr>
        <w:spacing w:after="120" w:line="290"/>
      </w:pPr>
      <w:r>
        <w:rPr>
          <w:rFonts w:ascii="Arial" w:cs="Arial" w:eastAsia="Arial" w:hAnsi="Arial"/>
          <w:sz w:val="21"/>
          <w:szCs w:val="21"/>
        </w:rPr>
        <w:t xml:space="preserve">The tables below cover permissions granted at least two years before September 2026 (181 schemes, 6,585 units), so every scheme has had time to start. 76% of those units have started.</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600"/>
        <w:gridCol w:w="1362"/>
        <w:gridCol w:w="1362"/>
        <w:gridCol w:w="1362"/>
        <w:gridCol w:w="1362"/>
        <w:gridCol w:w="1362"/>
      </w:tblGrid>
      <w:tr>
        <w:trPr>
          <w:cantSplit/>
          <w:tblHeader/>
        </w:trPr>
        <w:tc>
          <w:tcPr>
            <w:tcW w:type="dxa" w:w="26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Route</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Schemes</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permitted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started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 units started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Median permission to start (yrs)</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Standard planning application</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138</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4,178</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3,071</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74%</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1.3</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LRD</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315</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315</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100%</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SHD (An Bord Pleanála)</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1,257</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955</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76%</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Part 8 / council</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35</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835</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683</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82%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1.8</w:t>
            </w:r>
          </w:p>
        </w:tc>
      </w:tr>
    </w:tbl>
    <w:p>
      <w:pPr>
        <w:spacing w:after="200" w:before="60"/>
      </w:pPr>
      <w:r>
        <w:rPr>
          <w:rFonts w:ascii="Arial" w:cs="Arial" w:eastAsia="Arial" w:hAnsi="Arial"/>
          <w:i/>
          <w:iCs/>
          <w:color w:val="52514E"/>
          <w:sz w:val="17"/>
          <w:szCs w:val="17"/>
        </w:rPr>
        <w:t xml:space="preserve">Permissions at least two years old.</w:t>
      </w:r>
    </w:p>
    <w:p>
      <w:pPr>
        <w:spacing w:after="80"/>
      </w:pPr>
    </w:p>
    <w:p>
      <w:pPr>
        <w:spacing w:after="120" w:line="290"/>
      </w:pPr>
      <w:r>
        <w:rPr>
          <w:rFonts w:ascii="Arial" w:cs="Arial" w:eastAsia="Arial" w:hAnsi="Arial"/>
          <w:sz w:val="21"/>
          <w:szCs w:val="21"/>
        </w:rPr>
        <w:t xml:space="preserve">Standard planning applications and Part 8 schemes start at similar rates by units (74% and 82%). Three of the 5 live SHD permissions have started, accounting for 76% of their 1,257 units. Not yet started: Clonmacken Gardens (165 units) and Annacotty (137 units, now past expiry). A sixth SHD, Punches Cross student accommodation, was quashed by the High Court in December 2023 and is excluded.</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600"/>
        <w:gridCol w:w="1362"/>
        <w:gridCol w:w="1362"/>
        <w:gridCol w:w="1362"/>
        <w:gridCol w:w="1362"/>
        <w:gridCol w:w="1362"/>
      </w:tblGrid>
      <w:tr>
        <w:trPr>
          <w:cantSplit/>
          <w:tblHeader/>
        </w:trPr>
        <w:tc>
          <w:tcPr>
            <w:tcW w:type="dxa" w:w="26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Type</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Schemes</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permitted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started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 units started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Median permission to start (yrs)</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Houses</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75</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1,381</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954</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69%</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1.3</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Mixed</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28</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3,260</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2,773</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85%</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Apartments</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1,452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978</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67%</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Student</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26</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1.6</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Unknown</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22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410</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293</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71%</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1.8</w:t>
            </w:r>
          </w:p>
        </w:tc>
      </w:tr>
    </w:tbl>
    <w:p>
      <w:pPr>
        <w:spacing w:after="200" w:before="60"/>
      </w:pPr>
      <w:r>
        <w:rPr>
          <w:rFonts w:ascii="Arial" w:cs="Arial" w:eastAsia="Arial" w:hAnsi="Arial"/>
          <w:i/>
          <w:iCs/>
          <w:color w:val="52514E"/>
          <w:sz w:val="17"/>
          <w:szCs w:val="17"/>
        </w:rPr>
        <w:t xml:space="preserve">Permissions at least two years old. Type from bedroom mix or development description.</w:t>
      </w:r>
    </w:p>
    <w:p>
      <w:pPr>
        <w:spacing w:after="80"/>
      </w:pPr>
    </w:p>
    <w:p>
      <w:pPr>
        <w:spacing w:after="120" w:line="290"/>
      </w:pPr>
      <w:r>
        <w:rPr>
          <w:rFonts w:ascii="Arial" w:cs="Arial" w:eastAsia="Arial" w:hAnsi="Arial"/>
          <w:sz w:val="21"/>
          <w:szCs w:val="21"/>
        </w:rPr>
        <w:t xml:space="preserve">Houses and apartments start at similar rates by units. Student accommodation stands out: one of five older student permissions has started. The largest student permissions in the sample, including Punches Cross and the 196-unit Castletroy scheme granted in 2025, have not started.</w:t>
      </w:r>
    </w:p>
    <w:p>
      <w:pPr>
        <w:pStyle w:val="Heading1"/>
        <w:spacing w:after="140" w:before="280"/>
      </w:pPr>
      <w:r>
        <w:rPr>
          <w:rFonts w:ascii="Arial" w:cs="Arial" w:eastAsia="Arial" w:hAnsi="Arial"/>
        </w:rPr>
        <w:t xml:space="preserve">7. Expiring permissions</w:t>
      </w:r>
    </w:p>
    <w:p>
      <w:pPr>
        <w:keepNext/>
        <w:spacing w:after="60" w:before="160"/>
      </w:pPr>
      <w:r>
        <w:rPr>
          <w:rFonts w:ascii="Arial" w:cs="Arial" w:eastAsia="Arial" w:hAnsi="Arial"/>
          <w:b/>
          <w:bCs/>
          <w:color w:val="1F3A5F"/>
          <w:sz w:val="20"/>
          <w:szCs w:val="20"/>
        </w:rPr>
        <w:t xml:space="preserve">Figure 6. Units not started, by time to expiry</w:t>
      </w:r>
    </w:p>
    <w:p>
      <w:pPr>
        <w:keepNext/>
      </w:pPr>
      <w:r>
        <w:drawing>
          <wp:inline distT="0" distB="0" distL="0" distR="0">
            <wp:extent cx="5220000" cy="2429585"/>
            <wp:effectExtent t="0" r="0" b="0" l="0"/>
            <wp:docPr id="6" name="charts/c5_expiry_profile.png" descr="charts/c5_expiry_profile.png" title="charts/c5_expiry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20000" cy="2429585"/>
                    </a:xfrm>
                    <a:prstGeom prst="rect">
                      <a:avLst/>
                    </a:prstGeom>
                  </pic:spPr>
                </pic:pic>
              </a:graphicData>
            </a:graphic>
          </wp:inline>
        </w:drawing>
      </w:r>
    </w:p>
    <w:p>
      <w:pPr>
        <w:spacing w:after="200" w:before="60"/>
      </w:pPr>
      <w:r>
        <w:rPr>
          <w:rFonts w:ascii="Arial" w:cs="Arial" w:eastAsia="Arial" w:hAnsi="Arial"/>
          <w:i/>
          <w:iCs/>
          <w:color w:val="52514E"/>
          <w:sz w:val="17"/>
          <w:szCs w:val="17"/>
        </w:rPr>
        <w:t xml:space="preserve">Expiry from the planning register, updated for granted extensions of duration. Part 8 schemes have no register expiry. Source: planning register, NBCO, CIS.</w:t>
      </w:r>
    </w:p>
    <w:p>
      <w:pPr>
        <w:spacing w:after="120" w:line="290"/>
      </w:pPr>
      <w:r>
        <w:rPr>
          <w:rFonts w:ascii="Arial" w:cs="Arial" w:eastAsia="Arial" w:hAnsi="Arial"/>
          <w:sz w:val="21"/>
          <w:szCs w:val="21"/>
        </w:rPr>
        <w:t xml:space="preserve">Of the 5,454 permitted units not started, 3,826 have more than three years left on their permission. The near-term pipeline at risk is smaller: 311 units are already past expiry, 374 expire within 12 months and 205 within 12 to 24 months.</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930"/>
        <w:gridCol w:w="930"/>
        <w:gridCol w:w="930"/>
        <w:gridCol w:w="930"/>
        <w:gridCol w:w="930"/>
        <w:gridCol w:w="930"/>
        <w:gridCol w:w="930"/>
      </w:tblGrid>
      <w:tr>
        <w:trPr>
          <w:cantSplit/>
          <w:tblHeader/>
        </w:trPr>
        <w:tc>
          <w:tcPr>
            <w:tcW w:type="dxa" w:w="190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left"/>
            </w:pPr>
            <w:r>
              <w:rPr>
                <w:rFonts w:ascii="Arial" w:cs="Arial" w:eastAsia="Arial" w:hAnsi="Arial"/>
                <w:b/>
                <w:bCs/>
                <w:color w:val="FFFFFF"/>
                <w:sz w:val="15"/>
                <w:szCs w:val="15"/>
              </w:rPr>
              <w:t xml:space="preserve">Expiry window</w:t>
            </w:r>
          </w:p>
        </w:tc>
        <w:tc>
          <w:tcPr>
            <w:tcW w:type="dxa" w:w="100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Schemes</w:t>
            </w:r>
          </w:p>
        </w:tc>
        <w:tc>
          <w:tcPr>
            <w:tcW w:type="dxa" w:w="93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Adare-Rathkeale</w:t>
            </w:r>
          </w:p>
        </w:tc>
        <w:tc>
          <w:tcPr>
            <w:tcW w:type="dxa" w:w="93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Cappamore-Kilmallock</w:t>
            </w:r>
          </w:p>
        </w:tc>
        <w:tc>
          <w:tcPr>
            <w:tcW w:type="dxa" w:w="93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Limerick City East</w:t>
            </w:r>
          </w:p>
        </w:tc>
        <w:tc>
          <w:tcPr>
            <w:tcW w:type="dxa" w:w="93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Limerick City North</w:t>
            </w:r>
          </w:p>
        </w:tc>
        <w:tc>
          <w:tcPr>
            <w:tcW w:type="dxa" w:w="93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Limerick City West</w:t>
            </w:r>
          </w:p>
        </w:tc>
        <w:tc>
          <w:tcPr>
            <w:tcW w:type="dxa" w:w="93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Newcastle West</w:t>
            </w:r>
          </w:p>
        </w:tc>
        <w:tc>
          <w:tcPr>
            <w:tcW w:type="dxa" w:w="93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Total units</w:t>
            </w:r>
          </w:p>
        </w:tc>
      </w:tr>
      <w:tr>
        <w:trPr>
          <w:cantSplit/>
          <w:tblHeader w:val="off"/>
        </w:trPr>
        <w:tc>
          <w:tcPr>
            <w:tcW w:type="dxa" w:w="19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Already past expiry</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14</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3</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22</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149</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16</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121</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311</w:t>
            </w:r>
          </w:p>
        </w:tc>
      </w:tr>
      <w:tr>
        <w:trPr>
          <w:cantSplit/>
          <w:tblHeader w:val="off"/>
        </w:trPr>
        <w:tc>
          <w:tcPr>
            <w:tcW w:type="dxa" w:w="19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Within 12 months</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8</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65</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190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51</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68</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374</w:t>
            </w:r>
          </w:p>
        </w:tc>
      </w:tr>
      <w:tr>
        <w:trPr>
          <w:cantSplit/>
          <w:tblHeader w:val="off"/>
        </w:trPr>
        <w:tc>
          <w:tcPr>
            <w:tcW w:type="dxa" w:w="19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12–24 months</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6</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32</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90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83</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205</w:t>
            </w:r>
          </w:p>
        </w:tc>
      </w:tr>
      <w:tr>
        <w:trPr>
          <w:cantSplit/>
          <w:tblHeader w:val="off"/>
        </w:trPr>
        <w:tc>
          <w:tcPr>
            <w:tcW w:type="dxa" w:w="19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24–36 months</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17</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113</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196</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116</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84</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526</w:t>
            </w:r>
          </w:p>
        </w:tc>
      </w:tr>
      <w:tr>
        <w:trPr>
          <w:cantSplit/>
          <w:tblHeader w:val="off"/>
        </w:trPr>
        <w:tc>
          <w:tcPr>
            <w:tcW w:type="dxa" w:w="19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More than 36 months</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43</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190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35</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2,072</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262</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1,257</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10</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3,826</w:t>
            </w:r>
          </w:p>
        </w:tc>
      </w:tr>
      <w:tr>
        <w:trPr>
          <w:cantSplit/>
          <w:tblHeader w:val="off"/>
        </w:trPr>
        <w:tc>
          <w:tcPr>
            <w:tcW w:type="dxa" w:w="19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left"/>
            </w:pPr>
            <w:r>
              <w:rPr>
                <w:rFonts w:ascii="Arial" w:cs="Arial" w:eastAsia="Arial" w:hAnsi="Arial"/>
                <w:color w:val="0B0B0B"/>
                <w:sz w:val="15"/>
                <w:szCs w:val="15"/>
              </w:rPr>
              <w:t xml:space="preserve">No expiry date (mainly Part 8)</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17</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31</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3</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17</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55</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52</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54</w:t>
            </w:r>
          </w:p>
        </w:tc>
        <w:tc>
          <w:tcPr>
            <w:tcW w:type="dxa" w:w="93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212</w:t>
            </w:r>
          </w:p>
        </w:tc>
      </w:tr>
    </w:tbl>
    <w:p>
      <w:pPr>
        <w:spacing w:after="200" w:before="60"/>
      </w:pPr>
      <w:r>
        <w:rPr>
          <w:rFonts w:ascii="Arial" w:cs="Arial" w:eastAsia="Arial" w:hAnsi="Arial"/>
          <w:i/>
          <w:iCs/>
          <w:color w:val="52514E"/>
          <w:sz w:val="17"/>
          <w:szCs w:val="17"/>
        </w:rPr>
        <w:t xml:space="preserve">Units not started, by LEA and expiry window.</w:t>
      </w:r>
    </w:p>
    <w:p>
      <w:pPr>
        <w:spacing w:after="80"/>
      </w:pPr>
    </w:p>
    <w:p>
      <w:pPr>
        <w:pStyle w:val="Heading2"/>
        <w:spacing w:after="100" w:before="200"/>
      </w:pPr>
      <w:r>
        <w:rPr>
          <w:rFonts w:ascii="Arial" w:cs="Arial" w:eastAsia="Arial" w:hAnsi="Arial"/>
        </w:rPr>
        <w:t xml:space="preserve">7.1 Watchlist: schemes of 10+ units past or near expiry</w:t>
      </w:r>
    </w:p>
    <w:p>
      <w:pPr>
        <w:spacing w:after="120" w:line="290"/>
      </w:pPr>
      <w:r>
        <w:rPr>
          <w:rFonts w:ascii="Arial" w:cs="Arial" w:eastAsia="Arial" w:hAnsi="Arial"/>
          <w:sz w:val="21"/>
          <w:szCs w:val="21"/>
        </w:rPr>
        <w:t xml:space="preserve">These schemes have not started according to building control and CIS records and are past expiry or within two years of it. Each should be checked against the planning file and building control before the Council acts on it, since a start may have been notified under a different reference.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00"/>
        <w:gridCol w:w="1250"/>
        <w:gridCol w:w="1900"/>
        <w:gridCol w:w="900"/>
        <w:gridCol w:w="700"/>
        <w:gridCol w:w="1562"/>
      </w:tblGrid>
      <w:tr>
        <w:trPr>
          <w:cantSplit/>
          <w:tblHeader/>
        </w:trPr>
        <w:tc>
          <w:tcPr>
            <w:tcW w:type="dxa" w:w="31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Scheme (CIS heading)</w:t>
            </w:r>
          </w:p>
        </w:tc>
        <w:tc>
          <w:tcPr>
            <w:tcW w:type="dxa" w:w="125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Planning ref</w:t>
            </w:r>
          </w:p>
        </w:tc>
        <w:tc>
          <w:tcPr>
            <w:tcW w:type="dxa" w:w="19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Area</w:t>
            </w:r>
          </w:p>
        </w:tc>
        <w:tc>
          <w:tcPr>
            <w:tcW w:type="dxa" w:w="9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Owner</w:t>
            </w:r>
          </w:p>
        </w:tc>
        <w:tc>
          <w:tcPr>
            <w:tcW w:type="dxa" w:w="7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w:t>
            </w:r>
          </w:p>
        </w:tc>
        <w:tc>
          <w:tcPr>
            <w:tcW w:type="dxa" w:w="15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Expiry</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Residential Development, Patrickswell</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18346</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Limerick City West</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49</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22/10/2023</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Apartments</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19302</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Caherdavin</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Public</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18/06/2024</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Change of Use to Care Residential Units</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19149</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Cappamore-Kilmallock</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Public</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10/09/2024</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Housing Development</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Limerick City West</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27/09/2024</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Housing Development</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197025</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Castletroy/Annacotty</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01/12/2024</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Change of Use to Apartment Development</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20622</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City Centre</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15</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06/10/2025</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Mixed Use Development, 34-41 Catherine Street</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20222</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City Centre</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24</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05/01/2026</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Residential Development, Annacotty</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ABP-309999</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Castletroy/Annacotty</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137</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04/08/2026</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Register: the construction of 14 dwelling houses, including 2 no semi-detached 2</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20525</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Adare-Rathkeale</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01/12/2026</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Housing Development</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21147</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Caherdavin</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11</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06/02/2027</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Apartment Development, Limerick</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21835</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Singland/Garryowen</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16/02/2027</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Residential Development, Croom</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21630</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Adare-Rathkeale</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51</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11/05/2027</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Apartment/Retail Development, Limerick</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211598</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City Centre</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37</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24/05/2027</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Clonmacken Gardens Housing Development, Limerick</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ABP-312683</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Caherdavin</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165</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25/05/2027</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Residential Development</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21594</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Newcastle West</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68</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05/09/2027</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Apartment Development</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211454</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City Centre</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20/09/2027</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Nursing Home Development, Croom</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22410</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Adare-Rathkeale</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32</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19/02/2028</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Apartment/Retail Development, Dooradoyle</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221107</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Dooradoyle</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30</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13/06/2028</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Residential Development, Limerick</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22817</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Caherdavin</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86</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03/07/2028</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Apartment Development, Limerick</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221003</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City Centre</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29</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11/07/2028</w:t>
            </w:r>
          </w:p>
        </w:tc>
      </w:tr>
      <w:tr>
        <w:trPr>
          <w:cantSplit/>
          <w:tblHeader w:val="off"/>
        </w:trPr>
        <w:tc>
          <w:tcPr>
            <w:tcW w:type="dxa" w:w="31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Residential Development, Limerick</w:t>
            </w:r>
          </w:p>
        </w:tc>
        <w:tc>
          <w:tcPr>
            <w:tcW w:type="dxa" w:w="125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221367</w:t>
            </w:r>
          </w:p>
        </w:tc>
        <w:tc>
          <w:tcPr>
            <w:tcW w:type="dxa" w:w="1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City Centre</w:t>
            </w:r>
          </w:p>
        </w:tc>
        <w:tc>
          <w:tcPr>
            <w:tcW w:type="dxa" w:w="9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Private</w:t>
            </w:r>
          </w:p>
        </w:tc>
        <w:tc>
          <w:tcPr>
            <w:tcW w:type="dxa" w:w="7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24</w:t>
            </w:r>
          </w:p>
        </w:tc>
        <w:tc>
          <w:tcPr>
            <w:tcW w:type="dxa" w:w="15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12/09/2028</w:t>
            </w:r>
          </w:p>
        </w:tc>
      </w:tr>
    </w:tbl>
    <w:p>
      <w:pPr>
        <w:spacing w:after="200" w:before="60"/>
      </w:pPr>
      <w:r>
        <w:rPr>
          <w:rFonts w:ascii="Arial" w:cs="Arial" w:eastAsia="Arial" w:hAnsi="Arial"/>
          <w:i/>
          <w:iCs/>
          <w:color w:val="52514E"/>
          <w:sz w:val="17"/>
          <w:szCs w:val="17"/>
        </w:rPr>
        <w:t xml:space="preserve">Scheme names are CIS project headings. Area is the city neighbourhood where applicable, otherwise the LEA.</w:t>
      </w:r>
    </w:p>
    <w:p>
      <w:pPr>
        <w:pStyle w:val="Heading1"/>
        <w:spacing w:after="140" w:before="280"/>
      </w:pPr>
      <w:r>
        <w:rPr>
          <w:rFonts w:ascii="Arial" w:cs="Arial" w:eastAsia="Arial" w:hAnsi="Arial"/>
        </w:rPr>
        <w:t xml:space="preserve">8. Location</w:t>
      </w:r>
    </w:p>
    <w:p>
      <w:pPr>
        <w:pStyle w:val="Heading2"/>
        <w:spacing w:after="100" w:before="200"/>
      </w:pPr>
      <w:r>
        <w:rPr>
          <w:rFonts w:ascii="Arial" w:cs="Arial" w:eastAsia="Arial" w:hAnsi="Arial"/>
        </w:rPr>
        <w:t xml:space="preserve">8.1 County</w:t>
      </w:r>
    </w:p>
    <w:p>
      <w:pPr>
        <w:keepNext/>
        <w:spacing w:after="60" w:before="160"/>
      </w:pPr>
      <w:r>
        <w:rPr>
          <w:rFonts w:ascii="Arial" w:cs="Arial" w:eastAsia="Arial" w:hAnsi="Arial"/>
          <w:b/>
          <w:bCs/>
          <w:color w:val="1F3A5F"/>
          <w:sz w:val="20"/>
          <w:szCs w:val="20"/>
        </w:rPr>
        <w:t xml:space="preserve">Figure 7. Status of permitted units by Local Electoral Area</w:t>
      </w:r>
    </w:p>
    <w:p>
      <w:pPr>
        <w:keepNext/>
      </w:pPr>
      <w:r>
        <w:drawing>
          <wp:inline distT="0" distB="0" distL="0" distR="0">
            <wp:extent cx="5760000" cy="2728982"/>
            <wp:effectExtent t="0" r="0" b="0" l="0"/>
            <wp:docPr id="7" name="charts/c4_status_by_lea.png" descr="charts/c4_status_by_lea.png" title="charts/c4_status_by_l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000" cy="2728982"/>
                    </a:xfrm>
                    <a:prstGeom prst="rect">
                      <a:avLst/>
                    </a:prstGeom>
                  </pic:spPr>
                </pic:pic>
              </a:graphicData>
            </a:graphic>
          </wp:inline>
        </w:drawing>
      </w:r>
    </w:p>
    <w:p>
      <w:pPr>
        <w:spacing w:after="200" w:before="60"/>
      </w:pPr>
      <w:r>
        <w:rPr>
          <w:rFonts w:ascii="Arial" w:cs="Arial" w:eastAsia="Arial" w:hAnsi="Arial"/>
          <w:i/>
          <w:iCs/>
          <w:color w:val="52514E"/>
          <w:sz w:val="17"/>
          <w:szCs w:val="17"/>
        </w:rPr>
        <w:t xml:space="preserve">All permitted schemes in the sample. Source: planning register, NBCO, CIS; LEA boundaries Tailte Éireann (2019).</w:t>
      </w:r>
    </w:p>
    <w:p>
      <w:pPr>
        <w:spacing w:after="120" w:line="290"/>
      </w:pPr>
      <w:r>
        <w:rPr>
          <w:rFonts w:ascii="Arial" w:cs="Arial" w:eastAsia="Arial" w:hAnsi="Arial"/>
          <w:sz w:val="21"/>
          <w:szCs w:val="21"/>
        </w:rPr>
        <w:t xml:space="preserve">Among older permissions, Limerick City East has the highest start rate (91% of units), followed by City West (84%) and City North (62%). The county LEAs have smaller volumes and lower start rates: 31 of 179 units in Adare-Rathkeale and 206 of 400 in Newcastle West. Of the unstarted units in City East, 93% are on permissions granted since January 2025.</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600"/>
        <w:gridCol w:w="1362"/>
        <w:gridCol w:w="1362"/>
        <w:gridCol w:w="1362"/>
        <w:gridCol w:w="1362"/>
        <w:gridCol w:w="1362"/>
      </w:tblGrid>
      <w:tr>
        <w:trPr>
          <w:cantSplit/>
          <w:tblHeader/>
        </w:trPr>
        <w:tc>
          <w:tcPr>
            <w:tcW w:type="dxa" w:w="26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LEA</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Schemes</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permitted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started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 units started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Median permission to start (yrs)</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Limerick City East</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39</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1,834</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1,673</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91%</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Limerick City North</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34</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1,362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838</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Limerick City West</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58</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2,487</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2,084</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84%</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Adare-Rathkeale</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11</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179</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31</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Cappamore-Kilmallock</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23</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323</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192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59%</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Newcastle West</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16</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400</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206</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52%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1.3</w:t>
            </w:r>
          </w:p>
        </w:tc>
      </w:tr>
    </w:tbl>
    <w:p>
      <w:pPr>
        <w:spacing w:after="200" w:before="60"/>
      </w:pPr>
      <w:r>
        <w:rPr>
          <w:rFonts w:ascii="Arial" w:cs="Arial" w:eastAsia="Arial" w:hAnsi="Arial"/>
          <w:i/>
          <w:iCs/>
          <w:color w:val="52514E"/>
          <w:sz w:val="17"/>
          <w:szCs w:val="17"/>
        </w:rPr>
        <w:t xml:space="preserve">Permissions at least two years old.</w:t>
      </w:r>
    </w:p>
    <w:p>
      <w:pPr>
        <w:keepNext/>
        <w:spacing w:after="60" w:before="160"/>
      </w:pPr>
      <w:r>
        <w:rPr>
          <w:rFonts w:ascii="Arial" w:cs="Arial" w:eastAsia="Arial" w:hAnsi="Arial"/>
          <w:b/>
          <w:bCs/>
          <w:color w:val="1F3A5F"/>
          <w:sz w:val="20"/>
          <w:szCs w:val="20"/>
        </w:rPr>
        <w:t xml:space="preserve">Figure 8. Permitted schemes by status, County Limerick</w:t>
      </w:r>
    </w:p>
    <w:p>
      <w:pPr>
        <w:keepNext/>
      </w:pPr>
      <w:r>
        <w:drawing>
          <wp:inline distT="0" distB="0" distL="0" distR="0">
            <wp:extent cx="5760000" cy="4087742"/>
            <wp:effectExtent t="0" r="0" b="0" l="0"/>
            <wp:docPr id="8" name="charts/c6_map_county.png" descr="charts/c6_map_county.png" title="charts/c6_map_coun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000" cy="4087742"/>
                    </a:xfrm>
                    <a:prstGeom prst="rect">
                      <a:avLst/>
                    </a:prstGeom>
                  </pic:spPr>
                </pic:pic>
              </a:graphicData>
            </a:graphic>
          </wp:inline>
        </w:drawing>
      </w:r>
    </w:p>
    <w:p>
      <w:pPr>
        <w:pStyle w:val="Heading2"/>
        <w:spacing w:after="100" w:before="200"/>
      </w:pPr>
      <w:r>
        <w:rPr>
          <w:rFonts w:ascii="Arial" w:cs="Arial" w:eastAsia="Arial" w:hAnsi="Arial"/>
        </w:rPr>
        <w:t xml:space="preserve">8.2 Limerick city neighbourhoods</w:t>
      </w:r>
    </w:p>
    <w:p>
      <w:pPr>
        <w:spacing w:after="120" w:line="290"/>
      </w:pPr>
      <w:r>
        <w:rPr>
          <w:rFonts w:ascii="Arial" w:cs="Arial" w:eastAsia="Arial" w:hAnsi="Arial"/>
          <w:sz w:val="21"/>
          <w:szCs w:val="21"/>
        </w:rPr>
        <w:t xml:space="preserve">The nine city neighbourhoods hold 8,751 permitted units across 156 schemes, 81% of the county total. The boundaries follow the Council’s grouping of 42 Electoral Divisions; King’s Island (coded 1a) is shown separately from the rest of the City Centre. Mungret, Patrickswell and the county towns fall outside the nine neighbourhoods and are reported as outside.</w:t>
      </w:r>
    </w:p>
    <w:p>
      <w:pPr>
        <w:keepNext/>
        <w:spacing w:after="60" w:before="160"/>
      </w:pPr>
      <w:r>
        <w:rPr>
          <w:rFonts w:ascii="Arial" w:cs="Arial" w:eastAsia="Arial" w:hAnsi="Arial"/>
          <w:b/>
          <w:bCs/>
          <w:color w:val="1F3A5F"/>
          <w:sz w:val="20"/>
          <w:szCs w:val="20"/>
        </w:rPr>
        <w:t xml:space="preserve">Figure 9. Status of permitted units by city neighbourhood</w:t>
      </w:r>
    </w:p>
    <w:p>
      <w:pPr>
        <w:keepNext/>
      </w:pPr>
      <w:r>
        <w:drawing>
          <wp:inline distT="0" distB="0" distL="0" distR="0">
            <wp:extent cx="5760000" cy="3121341"/>
            <wp:effectExtent t="0" r="0" b="0" l="0"/>
            <wp:docPr id="9" name="charts/c9_status_by_nbhd.png" descr="charts/c9_status_by_nbhd.png" title="charts/c9_status_by_nb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000" cy="3121341"/>
                    </a:xfrm>
                    <a:prstGeom prst="rect">
                      <a:avLst/>
                    </a:prstGeom>
                  </pic:spPr>
                </pic:pic>
              </a:graphicData>
            </a:graphic>
          </wp:inline>
        </w:drawing>
      </w:r>
    </w:p>
    <w:p>
      <w:pPr>
        <w:spacing w:after="200" w:before="60"/>
      </w:pPr>
      <w:r>
        <w:rPr>
          <w:rFonts w:ascii="Arial" w:cs="Arial" w:eastAsia="Arial" w:hAnsi="Arial"/>
          <w:i/>
          <w:iCs/>
          <w:color w:val="52514E"/>
          <w:sz w:val="17"/>
          <w:szCs w:val="17"/>
        </w:rPr>
        <w:t xml:space="preserve">All permitted schemes. Neighbourhood boundaries: Limerick City and County Council (42 Electoral Divisions).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950"/>
        <w:gridCol w:w="1150"/>
        <w:gridCol w:w="1150"/>
        <w:gridCol w:w="950"/>
        <w:gridCol w:w="1000"/>
        <w:gridCol w:w="1112"/>
      </w:tblGrid>
      <w:tr>
        <w:trPr>
          <w:cantSplit/>
          <w:tblHeader/>
        </w:trPr>
        <w:tc>
          <w:tcPr>
            <w:tcW w:type="dxa" w:w="230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left"/>
            </w:pPr>
            <w:r>
              <w:rPr>
                <w:rFonts w:ascii="Arial" w:cs="Arial" w:eastAsia="Arial" w:hAnsi="Arial"/>
                <w:b/>
                <w:bCs/>
                <w:color w:val="FFFFFF"/>
                <w:sz w:val="15"/>
                <w:szCs w:val="15"/>
              </w:rPr>
              <w:t xml:space="preserve">Neighbourhood</w:t>
            </w:r>
          </w:p>
        </w:tc>
        <w:tc>
          <w:tcPr>
            <w:tcW w:type="dxa" w:w="80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Schemes</w:t>
            </w:r>
          </w:p>
        </w:tc>
        <w:tc>
          <w:tcPr>
            <w:tcW w:type="dxa" w:w="95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Complete</w:t>
            </w:r>
          </w:p>
        </w:tc>
        <w:tc>
          <w:tcPr>
            <w:tcW w:type="dxa" w:w="115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Under construction</w:t>
            </w:r>
          </w:p>
        </w:tc>
        <w:tc>
          <w:tcPr>
            <w:tcW w:type="dxa" w:w="115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Not started (live)</w:t>
            </w:r>
          </w:p>
        </w:tc>
        <w:tc>
          <w:tcPr>
            <w:tcW w:type="dxa" w:w="95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Past expiry</w:t>
            </w:r>
          </w:p>
        </w:tc>
        <w:tc>
          <w:tcPr>
            <w:tcW w:type="dxa" w:w="1000"/>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Total units</w:t>
            </w:r>
          </w:p>
        </w:tc>
        <w:tc>
          <w:tcPr>
            <w:tcW w:type="dxa" w:w="1112"/>
            <w:tcBorders>
              <w:top w:val="single" w:color="D0CFCA" w:sz="4"/>
              <w:left w:val="single" w:color="D0CFCA" w:sz="4"/>
              <w:bottom w:val="single" w:color="D0CFCA" w:sz="4"/>
              <w:right w:val="single" w:color="D0CFCA" w:sz="4"/>
            </w:tcBorders>
            <w:shd w:fill="1F3A5F" w:color="auto" w:val="clear"/>
            <w:tcMar>
              <w:top w:type="dxa" w:w="50"/>
              <w:left w:type="dxa" w:w="50"/>
              <w:bottom w:type="dxa" w:w="50"/>
              <w:right w:type="dxa" w:w="50"/>
            </w:tcMar>
          </w:tcPr>
          <w:p>
            <w:pPr>
              <w:keepNext/>
              <w:jc w:val="right"/>
            </w:pPr>
            <w:r>
              <w:rPr>
                <w:rFonts w:ascii="Arial" w:cs="Arial" w:eastAsia="Arial" w:hAnsi="Arial"/>
                <w:b/>
                <w:bCs/>
                <w:color w:val="FFFFFF"/>
                <w:sz w:val="15"/>
                <w:szCs w:val="15"/>
              </w:rPr>
              <w:t xml:space="preserve">Public share</w:t>
            </w:r>
          </w:p>
        </w:tc>
      </w:tr>
      <w:tr>
        <w:trPr>
          <w:cantSplit/>
          <w:tblHeader w:val="off"/>
        </w:trPr>
        <w:tc>
          <w:tcPr>
            <w:tcW w:type="dxa" w:w="23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City Centre</w:t>
            </w:r>
          </w:p>
        </w:tc>
        <w:tc>
          <w:tcPr>
            <w:tcW w:type="dxa" w:w="8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40</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83</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127</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715</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55</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980</w:t>
            </w:r>
          </w:p>
        </w:tc>
        <w:tc>
          <w:tcPr>
            <w:tcW w:type="dxa" w:w="1112"/>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40%</w:t>
            </w:r>
          </w:p>
        </w:tc>
      </w:tr>
      <w:tr>
        <w:trPr>
          <w:cantSplit/>
          <w:tblHeader w:val="off"/>
        </w:trPr>
        <w:tc>
          <w:tcPr>
            <w:tcW w:type="dxa" w:w="23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Kings Island</w:t>
            </w:r>
          </w:p>
        </w:tc>
        <w:tc>
          <w:tcPr>
            <w:tcW w:type="dxa" w:w="8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50</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50</w:t>
            </w:r>
          </w:p>
        </w:tc>
        <w:tc>
          <w:tcPr>
            <w:tcW w:type="dxa" w:w="1112"/>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100%</w:t>
            </w:r>
          </w:p>
        </w:tc>
      </w:tr>
      <w:tr>
        <w:trPr>
          <w:cantSplit/>
          <w:tblHeader w:val="off"/>
        </w:trPr>
        <w:tc>
          <w:tcPr>
            <w:tcW w:type="dxa" w:w="23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Corbally/Grove Island</w:t>
            </w:r>
          </w:p>
        </w:tc>
        <w:tc>
          <w:tcPr>
            <w:tcW w:type="dxa" w:w="8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4</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24</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26</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40</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90</w:t>
            </w:r>
          </w:p>
        </w:tc>
        <w:tc>
          <w:tcPr>
            <w:tcW w:type="dxa" w:w="1112"/>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r>
      <w:tr>
        <w:trPr>
          <w:cantSplit/>
          <w:tblHeader w:val="off"/>
        </w:trPr>
        <w:tc>
          <w:tcPr>
            <w:tcW w:type="dxa" w:w="23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Singland/Garryowen</w:t>
            </w:r>
          </w:p>
        </w:tc>
        <w:tc>
          <w:tcPr>
            <w:tcW w:type="dxa" w:w="8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16</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22</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146</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132</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4</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304</w:t>
            </w:r>
          </w:p>
        </w:tc>
        <w:tc>
          <w:tcPr>
            <w:tcW w:type="dxa" w:w="1112"/>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19%</w:t>
            </w:r>
          </w:p>
        </w:tc>
      </w:tr>
      <w:tr>
        <w:trPr>
          <w:cantSplit/>
          <w:tblHeader w:val="off"/>
        </w:trPr>
        <w:tc>
          <w:tcPr>
            <w:tcW w:type="dxa" w:w="23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Castletroy/Annacotty</w:t>
            </w:r>
          </w:p>
        </w:tc>
        <w:tc>
          <w:tcPr>
            <w:tcW w:type="dxa" w:w="8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32</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474</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746</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1,590</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149</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2,959</w:t>
            </w:r>
          </w:p>
        </w:tc>
        <w:tc>
          <w:tcPr>
            <w:tcW w:type="dxa" w:w="1112"/>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r>
      <w:tr>
        <w:trPr>
          <w:cantSplit/>
          <w:tblHeader w:val="off"/>
        </w:trPr>
        <w:tc>
          <w:tcPr>
            <w:tcW w:type="dxa" w:w="23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Southhill</w:t>
            </w:r>
          </w:p>
        </w:tc>
        <w:tc>
          <w:tcPr>
            <w:tcW w:type="dxa" w:w="8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12</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284</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21</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418</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723</w:t>
            </w:r>
          </w:p>
        </w:tc>
        <w:tc>
          <w:tcPr>
            <w:tcW w:type="dxa" w:w="1112"/>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14%</w:t>
            </w:r>
          </w:p>
        </w:tc>
      </w:tr>
      <w:tr>
        <w:trPr>
          <w:cantSplit/>
          <w:tblHeader w:val="off"/>
        </w:trPr>
        <w:tc>
          <w:tcPr>
            <w:tcW w:type="dxa" w:w="23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Dooradoyle</w:t>
            </w:r>
          </w:p>
        </w:tc>
        <w:tc>
          <w:tcPr>
            <w:tcW w:type="dxa" w:w="8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22</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98</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1,133</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689</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1,920</w:t>
            </w:r>
          </w:p>
        </w:tc>
        <w:tc>
          <w:tcPr>
            <w:tcW w:type="dxa" w:w="1112"/>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14%</w:t>
            </w:r>
          </w:p>
        </w:tc>
      </w:tr>
      <w:tr>
        <w:trPr>
          <w:cantSplit/>
          <w:tblHeader w:val="off"/>
        </w:trPr>
        <w:tc>
          <w:tcPr>
            <w:tcW w:type="dxa" w:w="23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Ballinacurra</w:t>
            </w:r>
          </w:p>
        </w:tc>
        <w:tc>
          <w:tcPr>
            <w:tcW w:type="dxa" w:w="8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4</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17</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398</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0</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415</w:t>
            </w:r>
          </w:p>
        </w:tc>
        <w:tc>
          <w:tcPr>
            <w:tcW w:type="dxa" w:w="1112"/>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9%</w:t>
            </w:r>
          </w:p>
        </w:tc>
      </w:tr>
      <w:tr>
        <w:trPr>
          <w:cantSplit/>
          <w:tblHeader w:val="off"/>
        </w:trPr>
        <w:tc>
          <w:tcPr>
            <w:tcW w:type="dxa" w:w="23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left"/>
            </w:pPr>
            <w:r>
              <w:rPr>
                <w:rFonts w:ascii="Arial" w:cs="Arial" w:eastAsia="Arial" w:hAnsi="Arial"/>
                <w:color w:val="0B0B0B"/>
                <w:sz w:val="15"/>
                <w:szCs w:val="15"/>
              </w:rPr>
              <w:t xml:space="preserve">Caherdavin</w:t>
            </w:r>
          </w:p>
        </w:tc>
        <w:tc>
          <w:tcPr>
            <w:tcW w:type="dxa" w:w="8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24</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125</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566</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607</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12</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1,310</w:t>
            </w:r>
          </w:p>
        </w:tc>
        <w:tc>
          <w:tcPr>
            <w:tcW w:type="dxa" w:w="1112"/>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jc w:val="right"/>
            </w:pPr>
            <w:r>
              <w:rPr>
                <w:rFonts w:ascii="Arial" w:cs="Arial" w:eastAsia="Arial" w:hAnsi="Arial"/>
                <w:color w:val="0B0B0B"/>
                <w:sz w:val="15"/>
                <w:szCs w:val="15"/>
              </w:rPr>
              <w:t xml:space="preserve">19%</w:t>
            </w:r>
          </w:p>
        </w:tc>
      </w:tr>
      <w:tr>
        <w:trPr>
          <w:cantSplit/>
          <w:tblHeader w:val="off"/>
        </w:trPr>
        <w:tc>
          <w:tcPr>
            <w:tcW w:type="dxa" w:w="23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left"/>
            </w:pPr>
            <w:r>
              <w:rPr>
                <w:rFonts w:ascii="Arial" w:cs="Arial" w:eastAsia="Arial" w:hAnsi="Arial"/>
                <w:color w:val="0B0B0B"/>
                <w:sz w:val="15"/>
                <w:szCs w:val="15"/>
              </w:rPr>
              <w:t xml:space="preserve">Outside city neighbourhoods</w:t>
            </w:r>
          </w:p>
        </w:tc>
        <w:tc>
          <w:tcPr>
            <w:tcW w:type="dxa" w:w="8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93</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148</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901</w:t>
            </w:r>
          </w:p>
        </w:tc>
        <w:tc>
          <w:tcPr>
            <w:tcW w:type="dxa" w:w="11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902</w:t>
            </w:r>
          </w:p>
        </w:tc>
        <w:tc>
          <w:tcPr>
            <w:tcW w:type="dxa" w:w="95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91</w:t>
            </w:r>
          </w:p>
        </w:tc>
        <w:tc>
          <w:tcPr>
            <w:tcW w:type="dxa" w:w="1000"/>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2,042</w:t>
            </w:r>
          </w:p>
        </w:tc>
        <w:tc>
          <w:tcPr>
            <w:tcW w:type="dxa" w:w="1112"/>
            <w:tcBorders>
              <w:top w:val="single" w:color="D0CFCA" w:sz="4"/>
              <w:left w:val="single" w:color="D0CFCA" w:sz="4"/>
              <w:bottom w:val="single" w:color="D0CFCA" w:sz="4"/>
              <w:right w:val="single" w:color="D0CFCA" w:sz="4"/>
            </w:tcBorders>
            <w:tcMar>
              <w:top w:type="dxa" w:w="50"/>
              <w:left w:type="dxa" w:w="50"/>
              <w:bottom w:type="dxa" w:w="50"/>
              <w:right w:type="dxa" w:w="50"/>
            </w:tcMar>
          </w:tcPr>
          <w:p>
            <w:pPr>
              <w:keepNext w:val="false"/>
              <w:jc w:val="right"/>
            </w:pPr>
            <w:r>
              <w:rPr>
                <w:rFonts w:ascii="Arial" w:cs="Arial" w:eastAsia="Arial" w:hAnsi="Arial"/>
                <w:color w:val="0B0B0B"/>
                <w:sz w:val="15"/>
                <w:szCs w:val="15"/>
              </w:rPr>
              <w:t xml:space="preserve">20%</w:t>
            </w:r>
          </w:p>
        </w:tc>
      </w:tr>
    </w:tbl>
    <w:p>
      <w:pPr>
        <w:spacing w:after="200" w:before="60"/>
      </w:pPr>
      <w:r>
        <w:rPr>
          <w:rFonts w:ascii="Arial" w:cs="Arial" w:eastAsia="Arial" w:hAnsi="Arial"/>
          <w:i/>
          <w:iCs/>
          <w:color w:val="52514E"/>
          <w:sz w:val="17"/>
          <w:szCs w:val="17"/>
        </w:rPr>
        <w:t xml:space="preserve">Units with permission by status. Public share = units on local authority, AHB and LDA schemes.</w:t>
      </w:r>
    </w:p>
    <w:p>
      <w:pPr>
        <w:spacing w:after="80"/>
      </w:pPr>
    </w:p>
    <w:p>
      <w:pPr>
        <w:spacing w:after="120" w:line="290"/>
      </w:pPr>
      <w:r>
        <w:rPr>
          <w:rFonts w:ascii="Arial" w:cs="Arial" w:eastAsia="Arial" w:hAnsi="Arial"/>
          <w:sz w:val="21"/>
          <w:szCs w:val="21"/>
        </w:rPr>
        <w:t xml:space="preserve">Castletroy/Annacotty carries the largest volume, mostly large private permissions: 1,590 of its units have not yet started, almost all on permissions granted in 2025 and 2026. Dooradoyle is similar: 689 units not started, most on 2025–26 permissions. In Caherdavin, by contrast, the unstarted units are on older permissions.</w:t>
      </w:r>
    </w:p>
    <w:p>
      <w:pPr>
        <w:spacing w:after="120" w:line="290"/>
      </w:pPr>
      <w:r>
        <w:rPr>
          <w:rFonts w:ascii="Arial" w:cs="Arial" w:eastAsia="Arial" w:hAnsi="Arial"/>
          <w:sz w:val="21"/>
          <w:szCs w:val="21"/>
        </w:rPr>
        <w:t xml:space="preserve">The City Centre is different. Apart from King’s Island (one older scheme, not started), it has the lowest start rate in the city on older permissions: 45% of 409 units. 770 of its 980 permitted units have not started. Its public share (40%) is driven by the LDA’s 285-unit Dock Road scheme. The other unstarted schemes are mostly small private apartment and mixed-use schemes, a median of 13 units, several of them conversions of existing buildings.</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800"/>
        <w:gridCol w:w="1322"/>
        <w:gridCol w:w="1322"/>
        <w:gridCol w:w="1322"/>
        <w:gridCol w:w="1322"/>
        <w:gridCol w:w="1322"/>
      </w:tblGrid>
      <w:tr>
        <w:trPr>
          <w:cantSplit/>
          <w:tblHeader/>
        </w:trPr>
        <w:tc>
          <w:tcPr>
            <w:tcW w:type="dxa" w:w="28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Neighbourhood</w:t>
            </w:r>
          </w:p>
        </w:tc>
        <w:tc>
          <w:tcPr>
            <w:tcW w:type="dxa" w:w="132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Schemes</w:t>
            </w:r>
          </w:p>
        </w:tc>
        <w:tc>
          <w:tcPr>
            <w:tcW w:type="dxa" w:w="132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permitted</w:t>
            </w:r>
          </w:p>
        </w:tc>
        <w:tc>
          <w:tcPr>
            <w:tcW w:type="dxa" w:w="132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started</w:t>
            </w:r>
          </w:p>
        </w:tc>
        <w:tc>
          <w:tcPr>
            <w:tcW w:type="dxa" w:w="132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 units started</w:t>
            </w:r>
          </w:p>
        </w:tc>
        <w:tc>
          <w:tcPr>
            <w:tcW w:type="dxa" w:w="132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Median permission to start (yrs)</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City Centre</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28</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409</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184</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45%</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1.6</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Kings Island</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27</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Corbally/Grove Island</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50</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50</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100%</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0.6</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Singland/Garryowen</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9</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149</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123</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83%</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1.7</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Castletroy/Annacotty</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24</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1,363</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1,214</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89%</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1.5</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Southhill</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7</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288</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288</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100%</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1.6</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Dooradoyle</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16</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1,282</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1,231</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96%</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0.8</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Ballinacurra</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415</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415</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100%</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Caherdavin</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20</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1,130</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663</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59%</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1.1</w:t>
            </w:r>
          </w:p>
        </w:tc>
      </w:tr>
      <w:tr>
        <w:trPr>
          <w:cantSplit/>
          <w:tblHeader w:val="off"/>
        </w:trPr>
        <w:tc>
          <w:tcPr>
            <w:tcW w:type="dxa" w:w="28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Outside city neighbourhoods</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70</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1,472</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856</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58%</w:t>
            </w:r>
          </w:p>
        </w:tc>
        <w:tc>
          <w:tcPr>
            <w:tcW w:type="dxa" w:w="132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1.8</w:t>
            </w:r>
          </w:p>
        </w:tc>
      </w:tr>
    </w:tbl>
    <w:p>
      <w:pPr>
        <w:spacing w:after="200" w:before="60"/>
      </w:pPr>
      <w:r>
        <w:rPr>
          <w:rFonts w:ascii="Arial" w:cs="Arial" w:eastAsia="Arial" w:hAnsi="Arial"/>
          <w:i/>
          <w:iCs/>
          <w:color w:val="52514E"/>
          <w:sz w:val="17"/>
          <w:szCs w:val="17"/>
        </w:rPr>
        <w:t xml:space="preserve">Permissions at least two years old. Small counts in some neighbourhoods make percentages volatile.</w:t>
      </w:r>
    </w:p>
    <w:p>
      <w:pPr>
        <w:keepNext/>
        <w:spacing w:after="60" w:before="160"/>
      </w:pPr>
      <w:r>
        <w:rPr>
          <w:rFonts w:ascii="Arial" w:cs="Arial" w:eastAsia="Arial" w:hAnsi="Arial"/>
          <w:b/>
          <w:bCs/>
          <w:color w:val="1F3A5F"/>
          <w:sz w:val="20"/>
          <w:szCs w:val="20"/>
        </w:rPr>
        <w:t xml:space="preserve">Figure 10. Permitted schemes by status, Limerick city neighbourhoods</w:t>
      </w:r>
    </w:p>
    <w:p>
      <w:pPr>
        <w:keepNext/>
      </w:pPr>
      <w:r>
        <w:drawing>
          <wp:inline distT="0" distB="0" distL="0" distR="0">
            <wp:extent cx="5760000" cy="4155720"/>
            <wp:effectExtent t="0" r="0" b="0" l="0"/>
            <wp:docPr id="10" name="charts/c7_map_city.png" descr="charts/c7_map_city.png" title="charts/c7_map_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000" cy="4155720"/>
                    </a:xfrm>
                    <a:prstGeom prst="rect">
                      <a:avLst/>
                    </a:prstGeom>
                  </pic:spPr>
                </pic:pic>
              </a:graphicData>
            </a:graphic>
          </wp:inline>
        </w:drawing>
      </w:r>
    </w:p>
    <w:p>
      <w:pPr>
        <w:spacing w:after="200" w:before="60"/>
      </w:pPr>
      <w:r>
        <w:rPr>
          <w:rFonts w:ascii="Arial" w:cs="Arial" w:eastAsia="Arial" w:hAnsi="Arial"/>
          <w:i/>
          <w:iCs/>
          <w:color w:val="52514E"/>
          <w:sz w:val="17"/>
          <w:szCs w:val="17"/>
        </w:rPr>
        <w:t xml:space="preserve">Circle area proportional to units.</w:t>
      </w:r>
    </w:p>
    <w:p>
      <w:pPr>
        <w:pStyle w:val="Heading1"/>
        <w:spacing w:after="140" w:before="280"/>
      </w:pPr>
      <w:r>
        <w:rPr>
          <w:rFonts w:ascii="Arial" w:cs="Arial" w:eastAsia="Arial" w:hAnsi="Arial"/>
        </w:rPr>
        <w:t xml:space="preserve">9. Implications for the Council</w:t>
      </w:r>
    </w:p>
    <w:p>
      <w:pPr>
        <w:spacing w:after="120" w:line="290"/>
      </w:pPr>
      <w:r>
        <w:rPr>
          <w:rFonts w:ascii="Arial" w:cs="Arial" w:eastAsia="Arial" w:hAnsi="Arial"/>
          <w:sz w:val="21"/>
          <w:szCs w:val="21"/>
        </w:rPr>
        <w:t xml:space="preserve">The points below are our professional view, drawing on the findings above.</w:t>
      </w:r>
    </w:p>
    <w:p>
      <w:pPr>
        <w:pStyle w:val="ListParagraph"/>
        <w:numPr>
          <w:ilvl w:val="0"/>
          <w:numId w:val="2"/>
        </w:numPr>
        <w:spacing w:after="80" w:line="280"/>
      </w:pPr>
      <w:r>
        <w:rPr>
          <w:rFonts w:ascii="Arial" w:cs="Arial" w:eastAsia="Arial" w:hAnsi="Arial"/>
          <w:b/>
          <w:bCs/>
          <w:sz w:val="21"/>
          <w:szCs w:val="21"/>
        </w:rPr>
        <w:t xml:space="preserve">Focus engagement on the near-expiry list. </w:t>
      </w:r>
      <w:r>
        <w:rPr>
          <w:rFonts w:ascii="Arial" w:cs="Arial" w:eastAsia="Arial" w:hAnsi="Arial"/>
          <w:sz w:val="21"/>
          <w:szCs w:val="21"/>
        </w:rPr>
        <w:t xml:space="preserve">About 890 units are past expiry or will expire within two years without starting. Contacting the owners of the larger schemes on the watchlist would establish which are likely to proceed, which need an extension, and which are unlikely to be built.</w:t>
      </w:r>
    </w:p>
    <w:p>
      <w:pPr>
        <w:pStyle w:val="ListParagraph"/>
        <w:numPr>
          <w:ilvl w:val="0"/>
          <w:numId w:val="2"/>
        </w:numPr>
        <w:spacing w:after="80" w:line="280"/>
      </w:pPr>
      <w:r>
        <w:rPr>
          <w:rFonts w:ascii="Arial" w:cs="Arial" w:eastAsia="Arial" w:hAnsi="Arial"/>
          <w:b/>
          <w:bCs/>
          <w:sz w:val="21"/>
          <w:szCs w:val="21"/>
        </w:rPr>
        <w:t xml:space="preserve">Track the 2025–26 permissions early. </w:t>
      </w:r>
      <w:r>
        <w:rPr>
          <w:rFonts w:ascii="Arial" w:cs="Arial" w:eastAsia="Arial" w:hAnsi="Arial"/>
          <w:sz w:val="21"/>
          <w:szCs w:val="21"/>
        </w:rPr>
        <w:t xml:space="preserve">About 3,858 unstarted units sit on permissions less than two years old, mostly large schemes in Castletroy/Annacotty, Dooradoyle, the City Centre and Mungret. Roughly half of permissions start within two years, so a 12-month check on each is worthwhile.</w:t>
      </w:r>
    </w:p>
    <w:p>
      <w:pPr>
        <w:pStyle w:val="ListParagraph"/>
        <w:numPr>
          <w:ilvl w:val="0"/>
          <w:numId w:val="2"/>
        </w:numPr>
        <w:spacing w:after="80" w:line="280"/>
      </w:pPr>
      <w:r>
        <w:rPr>
          <w:rFonts w:ascii="Arial" w:cs="Arial" w:eastAsia="Arial" w:hAnsi="Arial"/>
          <w:b/>
          <w:bCs/>
          <w:sz w:val="21"/>
          <w:szCs w:val="21"/>
        </w:rPr>
        <w:t xml:space="preserve">Shorten the post-approval stage for public schemes. </w:t>
      </w:r>
      <w:r>
        <w:rPr>
          <w:rFonts w:ascii="Arial" w:cs="Arial" w:eastAsia="Arial" w:hAnsi="Arial"/>
          <w:sz w:val="21"/>
          <w:szCs w:val="21"/>
        </w:rPr>
        <w:t xml:space="preserve">Public schemes clear planning quickly but take longer to reach site. Running tender preparation and funding approval alongside the Part 8 process, where possible, would narrow the gap.</w:t>
      </w:r>
    </w:p>
    <w:p>
      <w:pPr>
        <w:pStyle w:val="ListParagraph"/>
        <w:numPr>
          <w:ilvl w:val="0"/>
          <w:numId w:val="2"/>
        </w:numPr>
        <w:spacing w:after="80" w:line="280"/>
      </w:pPr>
      <w:r>
        <w:rPr>
          <w:rFonts w:ascii="Arial" w:cs="Arial" w:eastAsia="Arial" w:hAnsi="Arial"/>
          <w:b/>
          <w:bCs/>
          <w:sz w:val="21"/>
          <w:szCs w:val="21"/>
        </w:rPr>
        <w:t xml:space="preserve">Look at the City Centre separately. </w:t>
      </w:r>
      <w:r>
        <w:rPr>
          <w:rFonts w:ascii="Arial" w:cs="Arial" w:eastAsia="Arial" w:hAnsi="Arial"/>
          <w:sz w:val="21"/>
          <w:szCs w:val="21"/>
        </w:rPr>
        <w:t xml:space="preserve">Its start rate is among the lowest in the city, and most of its unstarted schemes are small apartment schemes and conversions. The barriers there, such as construction cost on constrained or older buildings, are likely to differ from the suburban pipeline.</w:t>
      </w:r>
    </w:p>
    <w:p>
      <w:pPr>
        <w:pStyle w:val="ListParagraph"/>
        <w:numPr>
          <w:ilvl w:val="0"/>
          <w:numId w:val="2"/>
        </w:numPr>
        <w:spacing w:after="80" w:line="280"/>
      </w:pPr>
      <w:r>
        <w:rPr>
          <w:rFonts w:ascii="Arial" w:cs="Arial" w:eastAsia="Arial" w:hAnsi="Arial"/>
          <w:b/>
          <w:bCs/>
          <w:sz w:val="21"/>
          <w:szCs w:val="21"/>
        </w:rPr>
        <w:t xml:space="preserve">Reduce further information requests where possible. </w:t>
      </w:r>
      <w:r>
        <w:rPr>
          <w:rFonts w:ascii="Arial" w:cs="Arial" w:eastAsia="Arial" w:hAnsi="Arial"/>
          <w:sz w:val="21"/>
          <w:szCs w:val="21"/>
        </w:rPr>
        <w:t xml:space="preserve">They roughly triple the median approval time for private schemes. Better pre-application engagement on the issues that trigger them is likely to shorten the planning stage more than any other change within the Council’s control.</w:t>
      </w:r>
    </w:p>
    <w:p>
      <w:pPr>
        <w:pStyle w:val="ListParagraph"/>
        <w:numPr>
          <w:ilvl w:val="0"/>
          <w:numId w:val="2"/>
        </w:numPr>
        <w:spacing w:after="80" w:line="280"/>
      </w:pPr>
      <w:r>
        <w:rPr>
          <w:rFonts w:ascii="Arial" w:cs="Arial" w:eastAsia="Arial" w:hAnsi="Arial"/>
          <w:b/>
          <w:bCs/>
          <w:sz w:val="21"/>
          <w:szCs w:val="21"/>
        </w:rPr>
        <w:t xml:space="preserve">Fix the completions record. </w:t>
      </w:r>
      <w:r>
        <w:rPr>
          <w:rFonts w:ascii="Arial" w:cs="Arial" w:eastAsia="Arial" w:hAnsi="Arial"/>
          <w:sz w:val="21"/>
          <w:szCs w:val="21"/>
        </w:rPr>
        <w:t xml:space="preserve">Completion certificates under-record units by a wide margin in this sample. Checking unit counts on certificates, or recording completions at site level each quarter, would give the Council reliable delivery figures.</w:t>
      </w:r>
    </w:p>
    <w:p>
      <w:pPr>
        <w:pStyle w:val="ListParagraph"/>
        <w:numPr>
          <w:ilvl w:val="0"/>
          <w:numId w:val="2"/>
        </w:numPr>
        <w:spacing w:after="80" w:line="280"/>
      </w:pPr>
      <w:r>
        <w:rPr>
          <w:rFonts w:ascii="Arial" w:cs="Arial" w:eastAsia="Arial" w:hAnsi="Arial"/>
          <w:b/>
          <w:bCs/>
          <w:sz w:val="21"/>
          <w:szCs w:val="21"/>
        </w:rPr>
        <w:t xml:space="preserve">Ask why schemes stall. </w:t>
      </w:r>
      <w:r>
        <w:rPr>
          <w:rFonts w:ascii="Arial" w:cs="Arial" w:eastAsia="Arial" w:hAnsi="Arial"/>
          <w:sz w:val="21"/>
          <w:szCs w:val="21"/>
        </w:rPr>
        <w:t xml:space="preserve">A short survey of permission holders with unstarted schemes of 10+ units would turn the inferred barriers in Section 6 into stated ones: viability, finance, infrastructure or sale.</w:t>
      </w:r>
    </w:p>
    <w:p>
      <w:pPr>
        <w:pStyle w:val="ListParagraph"/>
        <w:numPr>
          <w:ilvl w:val="0"/>
          <w:numId w:val="2"/>
        </w:numPr>
        <w:spacing w:after="80" w:line="280"/>
      </w:pPr>
      <w:r>
        <w:rPr>
          <w:rFonts w:ascii="Arial" w:cs="Arial" w:eastAsia="Arial" w:hAnsi="Arial"/>
          <w:b/>
          <w:bCs/>
          <w:sz w:val="21"/>
          <w:szCs w:val="21"/>
        </w:rPr>
        <w:t xml:space="preserve">Repeat annually. </w:t>
      </w:r>
      <w:r>
        <w:rPr>
          <w:rFonts w:ascii="Arial" w:cs="Arial" w:eastAsia="Arial" w:hAnsi="Arial"/>
          <w:sz w:val="21"/>
          <w:szCs w:val="21"/>
        </w:rPr>
        <w:t xml:space="preserve">The method uses public data and can be refreshed each year.</w:t>
      </w:r>
    </w:p>
    <w:p>
      <w:pPr>
        <w:pStyle w:val="Heading1"/>
        <w:spacing w:after="140" w:before="280"/>
      </w:pPr>
      <w:r>
        <w:rPr>
          <w:rFonts w:ascii="Arial" w:cs="Arial" w:eastAsia="Arial" w:hAnsi="Arial"/>
        </w:rPr>
        <w:t xml:space="preserve">Appendix A. Data coverage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400"/>
        <w:gridCol w:w="3012"/>
      </w:tblGrid>
      <w:tr>
        <w:trPr>
          <w:cantSplit/>
          <w:tblHeader/>
        </w:trPr>
        <w:tc>
          <w:tcPr>
            <w:tcW w:type="dxa" w:w="64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Item</w:t>
            </w:r>
          </w:p>
        </w:tc>
        <w:tc>
          <w:tcPr>
            <w:tcW w:type="dxa" w:w="301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Value</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Schemes in study (counted applications)</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265</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Schemes with permission</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251</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Start date from building control commencement notice</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132</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Start date from CIS only</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10</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Completed schemes (CIS and Department social housing report)</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47</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Completed schemes with a completion certificate</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44</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Units on completed schemes</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1,275</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Units on completion certificates for those schemes</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340</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Part 8 schemes in study</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55</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Part 8 schemes added from the register (not in CIS)</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10</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Units on Part 8 schemes added from the register</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104</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Public schemes (local authority, AHB, LDA)</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76</w:t>
            </w:r>
          </w:p>
        </w:tc>
      </w:tr>
      <w:tr>
        <w:trPr>
          <w:cantSplit/>
          <w:tblHeader w:val="off"/>
        </w:trPr>
        <w:tc>
          <w:tcPr>
            <w:tcW w:type="dxa" w:w="64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Units on public schemes</w:t>
            </w:r>
          </w:p>
        </w:tc>
        <w:tc>
          <w:tcPr>
            <w:tcW w:type="dxa" w:w="301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1,737</w:t>
            </w:r>
          </w:p>
        </w:tc>
      </w:tr>
    </w:tbl>
    <w:p>
      <w:pPr>
        <w:spacing w:after="80"/>
      </w:pPr>
    </w:p>
    <w:p>
      <w:pPr>
        <w:spacing w:after="120" w:line="290"/>
      </w:pPr>
      <w:r>
        <w:rPr>
          <w:rFonts w:ascii="Arial" w:cs="Arial" w:eastAsia="Arial" w:hAnsi="Arial"/>
          <w:sz w:val="21"/>
          <w:szCs w:val="21"/>
        </w:rPr>
        <w:t xml:space="preserve">Completion certificates are the only official site-level record of completions. For the 47 completed schemes, certificates exist for 44 but record 340 units against 1,275. This could reflect how units are entered on certificates, phased certificates not yet lodged, or schemes certified under a different reference.</w:t>
      </w:r>
    </w:p>
    <w:p>
      <w:pPr>
        <w:pStyle w:val="Heading1"/>
        <w:spacing w:after="140" w:before="280"/>
      </w:pPr>
      <w:r>
        <w:rPr>
          <w:rFonts w:ascii="Arial" w:cs="Arial" w:eastAsia="Arial" w:hAnsi="Arial"/>
        </w:rPr>
        <w:t xml:space="preserve">Appendix B. Start rate by scheme size</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2600"/>
        <w:gridCol w:w="1362"/>
        <w:gridCol w:w="1362"/>
        <w:gridCol w:w="1362"/>
        <w:gridCol w:w="1362"/>
        <w:gridCol w:w="1362"/>
      </w:tblGrid>
      <w:tr>
        <w:trPr>
          <w:cantSplit/>
          <w:tblHeader/>
        </w:trPr>
        <w:tc>
          <w:tcPr>
            <w:tcW w:type="dxa" w:w="2600"/>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left"/>
            </w:pPr>
            <w:r>
              <w:rPr>
                <w:rFonts w:ascii="Arial" w:cs="Arial" w:eastAsia="Arial" w:hAnsi="Arial"/>
                <w:b/>
                <w:bCs/>
                <w:color w:val="FFFFFF"/>
                <w:sz w:val="17"/>
                <w:szCs w:val="17"/>
              </w:rPr>
              <w:t xml:space="preserve">Size band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Schemes</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permitted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Units started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 units started</w:t>
            </w:r>
          </w:p>
        </w:tc>
        <w:tc>
          <w:tcPr>
            <w:tcW w:type="dxa" w:w="1362"/>
            <w:tcBorders>
              <w:top w:val="single" w:color="D0CFCA" w:sz="4"/>
              <w:left w:val="single" w:color="D0CFCA" w:sz="4"/>
              <w:bottom w:val="single" w:color="D0CFCA" w:sz="4"/>
              <w:right w:val="single" w:color="D0CFCA" w:sz="4"/>
            </w:tcBorders>
            <w:shd w:fill="1F3A5F" w:color="auto" w:val="clear"/>
            <w:tcMar>
              <w:top w:type="dxa" w:w="50"/>
              <w:left w:type="dxa" w:w="90"/>
              <w:bottom w:type="dxa" w:w="50"/>
              <w:right w:type="dxa" w:w="90"/>
            </w:tcMar>
          </w:tcPr>
          <w:p>
            <w:pPr>
              <w:keepNext/>
              <w:jc w:val="right"/>
            </w:pPr>
            <w:r>
              <w:rPr>
                <w:rFonts w:ascii="Arial" w:cs="Arial" w:eastAsia="Arial" w:hAnsi="Arial"/>
                <w:b/>
                <w:bCs/>
                <w:color w:val="FFFFFF"/>
                <w:sz w:val="17"/>
                <w:szCs w:val="17"/>
              </w:rPr>
              <w:t xml:space="preserve">Median permission to start (yrs)</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1–9</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55</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297</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216</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73%</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1.4</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10–24</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51</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836</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530</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63%</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1.5</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25–49</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32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1,093</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652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60%</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1.8</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left"/>
            </w:pPr>
            <w:r>
              <w:rPr>
                <w:rFonts w:ascii="Arial" w:cs="Arial" w:eastAsia="Arial" w:hAnsi="Arial"/>
                <w:color w:val="0B0B0B"/>
                <w:sz w:val="17"/>
                <w:szCs w:val="17"/>
              </w:rPr>
              <w:t xml:space="preserve">50–99</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28</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2,109</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1,678</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80%</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jc w:val="right"/>
            </w:pPr>
            <w:r>
              <w:rPr>
                <w:rFonts w:ascii="Arial" w:cs="Arial" w:eastAsia="Arial" w:hAnsi="Arial"/>
                <w:color w:val="0B0B0B"/>
                <w:sz w:val="17"/>
                <w:szCs w:val="17"/>
              </w:rPr>
              <w:t xml:space="preserve">1.2</w:t>
            </w:r>
          </w:p>
        </w:tc>
      </w:tr>
      <w:tr>
        <w:trPr>
          <w:cantSplit/>
          <w:tblHeader w:val="off"/>
        </w:trPr>
        <w:tc>
          <w:tcPr>
            <w:tcW w:type="dxa" w:w="2600"/>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left"/>
            </w:pPr>
            <w:r>
              <w:rPr>
                <w:rFonts w:ascii="Arial" w:cs="Arial" w:eastAsia="Arial" w:hAnsi="Arial"/>
                <w:color w:val="0B0B0B"/>
                <w:sz w:val="17"/>
                <w:szCs w:val="17"/>
              </w:rPr>
              <w:t xml:space="preserve">100+</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12</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2,250</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1,948</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87%</w:t>
            </w:r>
          </w:p>
        </w:tc>
        <w:tc>
          <w:tcPr>
            <w:tcW w:type="dxa" w:w="1362"/>
            <w:tcBorders>
              <w:top w:val="single" w:color="D0CFCA" w:sz="4"/>
              <w:left w:val="single" w:color="D0CFCA" w:sz="4"/>
              <w:bottom w:val="single" w:color="D0CFCA" w:sz="4"/>
              <w:right w:val="single" w:color="D0CFCA" w:sz="4"/>
            </w:tcBorders>
            <w:tcMar>
              <w:top w:type="dxa" w:w="50"/>
              <w:left w:type="dxa" w:w="90"/>
              <w:bottom w:type="dxa" w:w="50"/>
              <w:right w:type="dxa" w:w="90"/>
            </w:tcMar>
          </w:tcPr>
          <w:p>
            <w:pPr>
              <w:keepNext w:val="false"/>
              <w:jc w:val="right"/>
            </w:pPr>
            <w:r>
              <w:rPr>
                <w:rFonts w:ascii="Arial" w:cs="Arial" w:eastAsia="Arial" w:hAnsi="Arial"/>
                <w:color w:val="0B0B0B"/>
                <w:sz w:val="17"/>
                <w:szCs w:val="17"/>
              </w:rPr>
              <w:t xml:space="preserve">1.7</w:t>
            </w:r>
          </w:p>
        </w:tc>
      </w:tr>
    </w:tbl>
    <w:p>
      <w:pPr>
        <w:spacing w:after="200" w:before="60"/>
      </w:pPr>
      <w:r>
        <w:rPr>
          <w:rFonts w:ascii="Arial" w:cs="Arial" w:eastAsia="Arial" w:hAnsi="Arial"/>
          <w:i/>
          <w:iCs/>
          <w:color w:val="52514E"/>
          <w:sz w:val="17"/>
          <w:szCs w:val="17"/>
        </w:rPr>
        <w:t xml:space="preserve">Permissions at least two years old.</w:t>
      </w:r>
    </w:p>
    <w:p>
      <w:pPr>
        <w:pStyle w:val="Heading1"/>
        <w:spacing w:after="140" w:before="280"/>
      </w:pPr>
      <w:r>
        <w:rPr>
          <w:rFonts w:ascii="Arial" w:cs="Arial" w:eastAsia="Arial" w:hAnsi="Arial"/>
        </w:rPr>
        <w:t xml:space="preserve">Appendix C. Companion data</w:t>
      </w:r>
    </w:p>
    <w:p>
      <w:pPr>
        <w:spacing w:after="120" w:line="290"/>
      </w:pPr>
      <w:r>
        <w:rPr>
          <w:rFonts w:ascii="Arial" w:cs="Arial" w:eastAsia="Arial" w:hAnsi="Arial"/>
          <w:sz w:val="21"/>
          <w:szCs w:val="21"/>
        </w:rPr>
        <w:t xml:space="preserve">The accompanying workbook (Limerick_Delivery_Study_Data.xlsx) contains the scheme-level dataset, every table in this report and the full expiry watchlist. Status tables in the workbook update from the scheme sheet.</w:t>
      </w:r>
    </w:p>
    <w:sectPr>
      <w:headerReference w:type="default" r:id="rId6"/>
      <w:footerReference w:type="default" r:id="rId7"/>
      <w:pgSz w:w="11906" w:h="16838" w:orient="portrait"/>
      <w:pgMar w:top="1300" w:right="1247" w:bottom="1300" w:left="1247"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9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984"/>
        <w:sz w:val="16"/>
        <w:szCs w:val="16"/>
      </w:rPr>
      <w:t xml:space="preserve">Residential Delivery in County Limerick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Arial" w:cs="Arial" w:eastAsia="Arial" w:hAnsi="Arial"/>
      <w:b/>
      <w:bCs/>
      <w:color w:val="1F3A5F"/>
      <w:sz w:val="30"/>
      <w:szCs w:val="30"/>
    </w:rPr>
  </w:style>
  <w:style w:type="paragraph" w:styleId="Heading2">
    <w:name w:val="Heading 2"/>
    <w:basedOn w:val="Normal"/>
    <w:next w:val="Normal"/>
    <w:qFormat/>
    <w:pPr>
      <w:keepNext/>
      <w:outlineLvl w:val="1"/>
    </w:pPr>
    <w:rPr>
      <w:rFonts w:ascii="Arial" w:cs="Arial" w:eastAsia="Arial" w:hAnsi="Arial"/>
      <w:b/>
      <w:bCs/>
      <w:color w:val="1F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213e164765945f08bca7d1b7161b156d2112be8.png"/><Relationship Id="rId10" Type="http://schemas.openxmlformats.org/officeDocument/2006/relationships/image" Target="media/86edea61856f1793765107253ec641a0f93c11eb.png"/><Relationship Id="rId11" Type="http://schemas.openxmlformats.org/officeDocument/2006/relationships/image" Target="media/f1b3a1b6bf8a6ec791ab9950b22287459ac9cc19.png"/><Relationship Id="rId12" Type="http://schemas.openxmlformats.org/officeDocument/2006/relationships/image" Target="media/88bf5c357e928c2a3b5804a56cbd033a7b989317.png"/><Relationship Id="rId13" Type="http://schemas.openxmlformats.org/officeDocument/2006/relationships/image" Target="media/b23c3ae19d4f3a68b098ae34238b0325a237c0bf.png"/><Relationship Id="rId14" Type="http://schemas.openxmlformats.org/officeDocument/2006/relationships/image" Target="media/cbbe757fd400e9dd741b6f3263e38ed21b76d13f.png"/><Relationship Id="rId15" Type="http://schemas.openxmlformats.org/officeDocument/2006/relationships/image" Target="media/f7a795f7bd5efd053a6413d77bcbb0a5147de7fa.png"/><Relationship Id="rId16" Type="http://schemas.openxmlformats.org/officeDocument/2006/relationships/image" Target="media/3a0ad7f9ecc87371d0a527098a5cb31ca7ff5fc3.png"/><Relationship Id="rId17" Type="http://schemas.openxmlformats.org/officeDocument/2006/relationships/image" Target="media/ee7ac03c52c08958eb3e76f0b640953384f448db.png"/><Relationship Id="rId18" Type="http://schemas.openxmlformats.org/officeDocument/2006/relationships/image" Target="media/ac547fb437fada927e5913b75ad284a7986ff40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Delivery in County Limerick</dc:title>
  <dc:creator>[Consultancy name]</dc:creator>
  <cp:lastModifiedBy>Un-named</cp:lastModifiedBy>
  <cp:revision>1</cp:revision>
  <dcterms:created xsi:type="dcterms:W3CDTF">2026-10-15T16:03:28.355Z</dcterms:created>
  <dcterms:modified xsi:type="dcterms:W3CDTF">2026-10-15T16:03:28.362Z</dcterms:modified>
</cp:coreProperties>
</file>

<file path=docProps/custom.xml><?xml version="1.0" encoding="utf-8"?>
<Properties xmlns="http://schemas.openxmlformats.org/officeDocument/2006/custom-properties" xmlns:vt="http://schemas.openxmlformats.org/officeDocument/2006/docPropsVTypes"/>
</file>