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Deep Learning for Autonomous Vehicles</w:t>
      </w:r>
    </w:p>
    <w:p>
      <w:pPr>
        <w:jc w:val="both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Abstract: </w:t>
      </w:r>
      <w:r>
        <w:rPr>
          <w:rFonts w:ascii="Calibri" w:cs="Calibri" w:eastAsia="Calibri" w:hAnsi="Calibri"/>
          <w:sz w:val="24"/>
          <w:szCs w:val="24"/>
        </w:rPr>
        <w:t xml:space="preserve">This paper investigates real-time sensor fusion algorithms in edge computing environments.</w:t>
      </w:r>
    </w:p>
    <w:p>
      <w:r>
        <w:rPr>
          <w:b/>
          <w:bCs/>
          <w:color w:val="1F497D"/>
          <w:u w:val="single"/>
        </w:rPr>
        <w:t xml:space="preserve">Key Performance Metrics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E2E8F0" w:val="clear"/>
          </w:tcPr>
          <w:p>
            <w:r>
              <w:rPr>
                <w:b/>
                <w:bCs/>
              </w:rPr>
              <w:t xml:space="preserve">Model</w:t>
            </w:r>
          </w:p>
        </w:tc>
        <w:tc>
          <w:tcPr>
            <w:shd w:fill="E2E8F0" w:val="clear"/>
          </w:tcPr>
          <w:p>
            <w:r>
              <w:rPr>
                <w:b/>
                <w:bCs/>
              </w:rPr>
              <w:t xml:space="preserve">Inference (ms)</w:t>
            </w:r>
          </w:p>
        </w:tc>
        <w:tc>
          <w:tcPr>
            <w:shd w:fill="E2E8F0" w:val="clear"/>
          </w:tcPr>
          <w:p>
            <w:r>
              <w:rPr>
                <w:b/>
                <w:bCs/>
              </w:rPr>
              <w:t xml:space="preserve">Accuracy (%)</w:t>
            </w:r>
          </w:p>
        </w:tc>
      </w:tr>
      <w:tr>
        <w:tc>
          <w:p>
            <w:r>
              <w:t xml:space="preserve">YOLOv8-Nano</w:t>
            </w:r>
          </w:p>
        </w:tc>
        <w:tc>
          <w:p>
            <w:r>
              <w:t xml:space="preserve">12.4</w:t>
            </w:r>
          </w:p>
        </w:tc>
        <w:tc>
          <w:p>
            <w:r>
              <w:t xml:space="preserve">94.2%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Chapter 2: Methodology &amp; System Architecture</w:t>
      </w:r>
    </w:p>
    <w:p>
      <w:r>
        <w:t xml:space="preserve">The architecture utilizes hardware-accelerated tensor pipelines.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2026-08-20T15:52:51.662Z</dcterms:created>
  <dcterms:modified xsi:type="dcterms:W3CDTF">2026-08-20T15:52:51.664Z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