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66550" w:rsidRDefault="005F5ECF"/>
    <w:p w:rsidR="00566550" w:rsidRDefault="005F5ECF">
      <w:pPr>
        <w:pBdr>
          <w:top w:val="single" w:sz="4" w:space="1" w:color="auto"/>
          <w:left w:val="single" w:sz="4" w:space="4" w:color="auto"/>
          <w:bottom w:val="single" w:sz="4" w:space="1" w:color="auto"/>
          <w:right w:val="single" w:sz="4" w:space="4" w:color="auto"/>
        </w:pBdr>
        <w:rPr>
          <w:rFonts w:ascii="Comic Sans MS" w:hAnsi="Comic Sans MS"/>
          <w:sz w:val="20"/>
        </w:rPr>
      </w:pPr>
      <w:r>
        <w:rPr>
          <w:rFonts w:ascii="Comic Sans MS" w:hAnsi="Comic Sans MS"/>
          <w:sz w:val="20"/>
        </w:rPr>
        <w:t>Le skateboard / La planche à roulettes - Aide/vocabulaire  http://www.mission-skateboard.com/</w:t>
      </w:r>
    </w:p>
    <w:p w:rsidR="00566550" w:rsidRDefault="005F5E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8"/>
        <w:gridCol w:w="7920"/>
      </w:tblGrid>
      <w:tr w:rsidR="00566550">
        <w:tblPrEx>
          <w:tblCellMar>
            <w:top w:w="0" w:type="dxa"/>
            <w:bottom w:w="0" w:type="dxa"/>
          </w:tblCellMar>
        </w:tblPrEx>
        <w:tc>
          <w:tcPr>
            <w:tcW w:w="1638" w:type="dxa"/>
          </w:tcPr>
          <w:p w:rsidR="00566550" w:rsidRDefault="005F5ECF">
            <w:pPr>
              <w:tabs>
                <w:tab w:val="left" w:pos="1995"/>
                <w:tab w:val="left" w:pos="10500"/>
              </w:tabs>
              <w:spacing w:before="40" w:after="40"/>
              <w:rPr>
                <w:b/>
              </w:rPr>
            </w:pPr>
            <w:r>
              <w:rPr>
                <w:b/>
              </w:rPr>
              <w:t>GOOFY</w:t>
            </w:r>
          </w:p>
        </w:tc>
        <w:tc>
          <w:tcPr>
            <w:tcW w:w="7920" w:type="dxa"/>
          </w:tcPr>
          <w:p w:rsidR="00566550" w:rsidRDefault="005F5ECF">
            <w:pPr>
              <w:tabs>
                <w:tab w:val="left" w:pos="1995"/>
                <w:tab w:val="left" w:pos="10500"/>
              </w:tabs>
              <w:spacing w:before="40" w:after="40"/>
            </w:pPr>
            <w:r>
              <w:t>La position goofy signifie que le pied droit est situé à l’avant de la planche, c'est à dire dans la direction où l'on roule, et le pied gauche à l’arrièr</w:t>
            </w:r>
            <w:r>
              <w:t>e.</w:t>
            </w:r>
          </w:p>
        </w:tc>
      </w:tr>
      <w:tr w:rsidR="00566550">
        <w:tblPrEx>
          <w:tblCellMar>
            <w:top w:w="0" w:type="dxa"/>
            <w:bottom w:w="0" w:type="dxa"/>
          </w:tblCellMar>
        </w:tblPrEx>
        <w:tc>
          <w:tcPr>
            <w:tcW w:w="1638" w:type="dxa"/>
          </w:tcPr>
          <w:p w:rsidR="00566550" w:rsidRDefault="005F5ECF">
            <w:pPr>
              <w:tabs>
                <w:tab w:val="left" w:pos="1995"/>
                <w:tab w:val="left" w:pos="10500"/>
              </w:tabs>
              <w:spacing w:before="40" w:after="40"/>
              <w:rPr>
                <w:b/>
              </w:rPr>
            </w:pPr>
            <w:r>
              <w:rPr>
                <w:b/>
              </w:rPr>
              <w:t>REGULAR</w:t>
            </w:r>
          </w:p>
        </w:tc>
        <w:tc>
          <w:tcPr>
            <w:tcW w:w="7920" w:type="dxa"/>
          </w:tcPr>
          <w:p w:rsidR="00566550" w:rsidRDefault="005F5ECF">
            <w:pPr>
              <w:tabs>
                <w:tab w:val="left" w:pos="1995"/>
                <w:tab w:val="left" w:pos="10500"/>
              </w:tabs>
              <w:spacing w:before="40" w:after="40"/>
            </w:pPr>
            <w:r>
              <w:t>La position regular signifie que le pied gauche est situé à l’avant de la planche, c'est à dire dans la direction où l'on roule, et le pied droit à l’arrière.</w:t>
            </w:r>
          </w:p>
        </w:tc>
      </w:tr>
      <w:tr w:rsidR="00566550">
        <w:tblPrEx>
          <w:tblCellMar>
            <w:top w:w="0" w:type="dxa"/>
            <w:bottom w:w="0" w:type="dxa"/>
          </w:tblCellMar>
        </w:tblPrEx>
        <w:tc>
          <w:tcPr>
            <w:tcW w:w="1638" w:type="dxa"/>
          </w:tcPr>
          <w:p w:rsidR="00566550" w:rsidRDefault="005F5ECF">
            <w:pPr>
              <w:tabs>
                <w:tab w:val="left" w:pos="1995"/>
                <w:tab w:val="left" w:pos="10500"/>
              </w:tabs>
              <w:spacing w:before="40" w:after="40"/>
              <w:rPr>
                <w:b/>
              </w:rPr>
            </w:pPr>
            <w:r>
              <w:rPr>
                <w:b/>
              </w:rPr>
              <w:t>CLAQUER</w:t>
            </w:r>
          </w:p>
        </w:tc>
        <w:tc>
          <w:tcPr>
            <w:tcW w:w="7920" w:type="dxa"/>
          </w:tcPr>
          <w:p w:rsidR="00566550" w:rsidRDefault="005F5ECF">
            <w:pPr>
              <w:tabs>
                <w:tab w:val="left" w:pos="1995"/>
                <w:tab w:val="left" w:pos="10500"/>
              </w:tabs>
              <w:spacing w:before="40" w:after="40"/>
            </w:pPr>
            <w:r>
              <w:t>Mouvement consistant à frapper une extrémité de la planche sur le sol afin d</w:t>
            </w:r>
            <w:r>
              <w:t>e la faire décoller. Terme très courant chez les skaters.</w:t>
            </w:r>
          </w:p>
        </w:tc>
      </w:tr>
    </w:tbl>
    <w:p w:rsidR="00566550" w:rsidRDefault="005F5ECF">
      <w:pPr>
        <w:tabs>
          <w:tab w:val="left" w:pos="1995"/>
          <w:tab w:val="left" w:pos="10500"/>
        </w:tabs>
      </w:pPr>
      <w:r>
        <w:rPr>
          <w:noProof/>
          <w:lang w:val="en-US"/>
        </w:rPr>
        <w:drawing>
          <wp:inline distT="0" distB="0" distL="0" distR="0">
            <wp:extent cx="5713730" cy="2856865"/>
            <wp:effectExtent l="25400" t="0" r="1270" b="0"/>
            <wp:docPr id="1" name="Picture 1" descr="schema1 goo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1 goofy"/>
                    <pic:cNvPicPr>
                      <a:picLocks noChangeAspect="1" noChangeArrowheads="1"/>
                    </pic:cNvPicPr>
                  </pic:nvPicPr>
                  <pic:blipFill>
                    <a:blip r:embed="rId4"/>
                    <a:srcRect/>
                    <a:stretch>
                      <a:fillRect/>
                    </a:stretch>
                  </pic:blipFill>
                  <pic:spPr bwMode="auto">
                    <a:xfrm>
                      <a:off x="0" y="0"/>
                      <a:ext cx="5713730" cy="2856865"/>
                    </a:xfrm>
                    <a:prstGeom prst="rect">
                      <a:avLst/>
                    </a:prstGeom>
                    <a:noFill/>
                    <a:ln w="9525">
                      <a:noFill/>
                      <a:miter lim="800000"/>
                      <a:headEnd/>
                      <a:tailEnd/>
                    </a:ln>
                  </pic:spPr>
                </pic:pic>
              </a:graphicData>
            </a:graphic>
          </wp:inline>
        </w:drawing>
      </w:r>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tblPr>
      <w:tblGrid>
        <w:gridCol w:w="1350"/>
        <w:gridCol w:w="7920"/>
      </w:tblGrid>
      <w:tr w:rsidR="00566550">
        <w:tblPrEx>
          <w:tblCellMar>
            <w:top w:w="0" w:type="dxa"/>
            <w:left w:w="0" w:type="dxa"/>
            <w:bottom w:w="0" w:type="dxa"/>
            <w:right w:w="0" w:type="dxa"/>
          </w:tblCellMar>
        </w:tblPrEx>
        <w:tc>
          <w:tcPr>
            <w:tcW w:w="1350" w:type="dxa"/>
            <w:vAlign w:val="center"/>
          </w:tcPr>
          <w:p w:rsidR="00566550" w:rsidRDefault="005F5ECF">
            <w:pPr>
              <w:spacing w:before="40" w:after="40"/>
              <w:rPr>
                <w:sz w:val="20"/>
              </w:rPr>
            </w:pPr>
            <w:r>
              <w:rPr>
                <w:b/>
                <w:sz w:val="20"/>
              </w:rPr>
              <w:t>NOLLIE</w:t>
            </w:r>
          </w:p>
        </w:tc>
        <w:tc>
          <w:tcPr>
            <w:tcW w:w="7920" w:type="dxa"/>
            <w:vAlign w:val="center"/>
          </w:tcPr>
          <w:p w:rsidR="00566550" w:rsidRDefault="005F5ECF">
            <w:pPr>
              <w:spacing w:before="40" w:after="40"/>
              <w:rPr>
                <w:sz w:val="20"/>
              </w:rPr>
            </w:pPr>
            <w:r>
              <w:rPr>
                <w:sz w:val="20"/>
              </w:rPr>
              <w:br/>
              <w:t>La position nollie signifie que les pieds sont placés vers l’avant de la planche. Au lieu d’être au milieu, le pied avant est situé sur le nos</w:t>
            </w:r>
            <w:r>
              <w:rPr>
                <w:sz w:val="20"/>
              </w:rPr>
              <w:t>e. Au lieu d’être sur le tail, le pied arrière est situé au milieu. On claque sur l'avant de la planche, en utilisant donc l'autre pied que le pied habituel.</w:t>
            </w:r>
          </w:p>
        </w:tc>
      </w:tr>
      <w:tr w:rsidR="00566550">
        <w:tblPrEx>
          <w:tblCellMar>
            <w:top w:w="0" w:type="dxa"/>
            <w:left w:w="0" w:type="dxa"/>
            <w:bottom w:w="0" w:type="dxa"/>
            <w:right w:w="0" w:type="dxa"/>
          </w:tblCellMar>
        </w:tblPrEx>
        <w:tc>
          <w:tcPr>
            <w:tcW w:w="1350" w:type="dxa"/>
            <w:vAlign w:val="center"/>
          </w:tcPr>
          <w:p w:rsidR="00566550" w:rsidRDefault="005F5ECF">
            <w:pPr>
              <w:spacing w:before="40" w:after="40"/>
              <w:rPr>
                <w:sz w:val="20"/>
              </w:rPr>
            </w:pPr>
            <w:r>
              <w:rPr>
                <w:b/>
                <w:sz w:val="20"/>
              </w:rPr>
              <w:t>FAKIE</w:t>
            </w:r>
          </w:p>
        </w:tc>
        <w:tc>
          <w:tcPr>
            <w:tcW w:w="7920" w:type="dxa"/>
            <w:vAlign w:val="center"/>
          </w:tcPr>
          <w:p w:rsidR="00566550" w:rsidRDefault="005F5ECF">
            <w:pPr>
              <w:spacing w:before="40" w:after="40"/>
              <w:rPr>
                <w:sz w:val="20"/>
              </w:rPr>
            </w:pPr>
            <w:r>
              <w:rPr>
                <w:sz w:val="20"/>
              </w:rPr>
              <w:t>La position fakie correspond à l'inverse de la position nollie. On claque toujours sur l'av</w:t>
            </w:r>
            <w:r>
              <w:rPr>
                <w:sz w:val="20"/>
              </w:rPr>
              <w:t>ant, mais cette fois c'est le pied habituel qui est sur l'avant de la planche.</w:t>
            </w:r>
          </w:p>
        </w:tc>
      </w:tr>
      <w:tr w:rsidR="00566550">
        <w:tblPrEx>
          <w:tblCellMar>
            <w:top w:w="0" w:type="dxa"/>
            <w:left w:w="0" w:type="dxa"/>
            <w:bottom w:w="0" w:type="dxa"/>
            <w:right w:w="0" w:type="dxa"/>
          </w:tblCellMar>
        </w:tblPrEx>
        <w:tc>
          <w:tcPr>
            <w:tcW w:w="1350" w:type="dxa"/>
            <w:vAlign w:val="center"/>
          </w:tcPr>
          <w:p w:rsidR="00566550" w:rsidRDefault="005F5ECF">
            <w:pPr>
              <w:spacing w:before="40" w:after="40"/>
              <w:rPr>
                <w:sz w:val="20"/>
              </w:rPr>
            </w:pPr>
            <w:r>
              <w:rPr>
                <w:b/>
                <w:sz w:val="20"/>
              </w:rPr>
              <w:t>SWITCH</w:t>
            </w:r>
          </w:p>
        </w:tc>
        <w:tc>
          <w:tcPr>
            <w:tcW w:w="7920" w:type="dxa"/>
            <w:vAlign w:val="center"/>
          </w:tcPr>
          <w:p w:rsidR="00566550" w:rsidRDefault="005F5ECF">
            <w:pPr>
              <w:spacing w:before="40" w:after="40"/>
              <w:rPr>
                <w:sz w:val="20"/>
              </w:rPr>
            </w:pPr>
            <w:r>
              <w:rPr>
                <w:sz w:val="20"/>
              </w:rPr>
              <w:t>La position switch correspond à l'inverse de la position normal. Si on est goofy, la position switch correspond à la position regular. Si on est regular, la position swi</w:t>
            </w:r>
            <w:r>
              <w:rPr>
                <w:sz w:val="20"/>
              </w:rPr>
              <w:t>tch correspond à la position goofy. On claque donc avec l'autre pied que le pied habituel.</w:t>
            </w:r>
          </w:p>
        </w:tc>
      </w:tr>
    </w:tbl>
    <w:p w:rsidR="00566550" w:rsidRDefault="005F5ECF">
      <w:r>
        <w:rPr>
          <w:noProof/>
          <w:lang w:val="en-US"/>
        </w:rPr>
        <w:drawing>
          <wp:inline distT="0" distB="0" distL="0" distR="0">
            <wp:extent cx="5713730" cy="2856865"/>
            <wp:effectExtent l="25400" t="0" r="1270" b="0"/>
            <wp:docPr id="2" name="Picture 2" descr="schema2goo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2goofy"/>
                    <pic:cNvPicPr>
                      <a:picLocks noChangeAspect="1" noChangeArrowheads="1"/>
                    </pic:cNvPicPr>
                  </pic:nvPicPr>
                  <pic:blipFill>
                    <a:blip r:embed="rId5"/>
                    <a:srcRect/>
                    <a:stretch>
                      <a:fillRect/>
                    </a:stretch>
                  </pic:blipFill>
                  <pic:spPr bwMode="auto">
                    <a:xfrm>
                      <a:off x="0" y="0"/>
                      <a:ext cx="5713730" cy="2856865"/>
                    </a:xfrm>
                    <a:prstGeom prst="rect">
                      <a:avLst/>
                    </a:prstGeom>
                    <a:noFill/>
                    <a:ln w="9525">
                      <a:noFill/>
                      <a:miter lim="800000"/>
                      <a:headEnd/>
                      <a:tailEnd/>
                    </a:ln>
                  </pic:spPr>
                </pic:pic>
              </a:graphicData>
            </a:graphic>
          </wp:inline>
        </w:drawing>
      </w:r>
    </w:p>
    <w:p w:rsidR="00566550" w:rsidRDefault="005F5ECF"/>
    <w:p w:rsidR="00566550" w:rsidRDefault="005F5ECF">
      <w:r>
        <w:br w:type="page"/>
      </w:r>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tblPr>
      <w:tblGrid>
        <w:gridCol w:w="1530"/>
        <w:gridCol w:w="7920"/>
      </w:tblGrid>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FRONTSIDE</w:t>
            </w:r>
          </w:p>
        </w:tc>
        <w:tc>
          <w:tcPr>
            <w:tcW w:w="7920" w:type="dxa"/>
            <w:vAlign w:val="center"/>
          </w:tcPr>
          <w:p w:rsidR="00566550" w:rsidRDefault="005F5ECF">
            <w:pPr>
              <w:spacing w:before="40" w:after="40"/>
            </w:pPr>
            <w:r>
              <w:t>Désigne la direction vers laquelle on tourne pour exécuter une figure lorsqu'on est face à l'obstacle.</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BACKSIDE</w:t>
            </w:r>
          </w:p>
        </w:tc>
        <w:tc>
          <w:tcPr>
            <w:tcW w:w="7920" w:type="dxa"/>
            <w:vAlign w:val="center"/>
          </w:tcPr>
          <w:p w:rsidR="00566550" w:rsidRDefault="005F5ECF">
            <w:pPr>
              <w:spacing w:before="40" w:after="40"/>
            </w:pPr>
            <w:r>
              <w:t>Désigne la direction vers laquelle o</w:t>
            </w:r>
            <w:r>
              <w:t>n tourne pour exécuter une figure lorsqu'on est dos à l'obstacle.</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INTERIEUR</w:t>
            </w:r>
          </w:p>
        </w:tc>
        <w:tc>
          <w:tcPr>
            <w:tcW w:w="7920" w:type="dxa"/>
            <w:vAlign w:val="center"/>
          </w:tcPr>
          <w:p w:rsidR="00566550" w:rsidRDefault="005F5ECF">
            <w:pPr>
              <w:spacing w:before="40" w:after="40"/>
            </w:pPr>
            <w:r>
              <w:t>Désigne le coté qui est face au skater lorsqu’il est sur la planche.</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EXTERIEUR</w:t>
            </w:r>
          </w:p>
        </w:tc>
        <w:tc>
          <w:tcPr>
            <w:tcW w:w="7920" w:type="dxa"/>
            <w:vAlign w:val="center"/>
          </w:tcPr>
          <w:p w:rsidR="00566550" w:rsidRDefault="005F5ECF">
            <w:pPr>
              <w:spacing w:before="40" w:after="40"/>
            </w:pPr>
            <w:r>
              <w:t>Désigne le côté qui est dans le dos du skater lorsqu’il est sur la planche.</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TRICK</w:t>
            </w:r>
          </w:p>
        </w:tc>
        <w:tc>
          <w:tcPr>
            <w:tcW w:w="7920" w:type="dxa"/>
            <w:vAlign w:val="center"/>
          </w:tcPr>
          <w:p w:rsidR="00566550" w:rsidRDefault="005F5ECF">
            <w:pPr>
              <w:spacing w:before="40" w:after="40"/>
            </w:pPr>
            <w:r>
              <w:t>Terme anglais qu</w:t>
            </w:r>
            <w:r>
              <w:t>i désigne une figure.</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BOARD/</w:t>
            </w:r>
            <w:r>
              <w:rPr>
                <w:b/>
              </w:rPr>
              <w:br/>
              <w:t>PLANCHE/</w:t>
            </w:r>
            <w:r>
              <w:rPr>
                <w:b/>
              </w:rPr>
              <w:br/>
              <w:t>DECK</w:t>
            </w:r>
          </w:p>
        </w:tc>
        <w:tc>
          <w:tcPr>
            <w:tcW w:w="7920" w:type="dxa"/>
            <w:vAlign w:val="center"/>
          </w:tcPr>
          <w:p w:rsidR="00566550" w:rsidRDefault="005F5ECF">
            <w:pPr>
              <w:spacing w:before="40" w:after="40"/>
            </w:pPr>
            <w:r>
              <w:t>Désigne le plateau de bois sur lequel reposent les pieds, constitué la plupart du temps de sept couches de bois.</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NOSE</w:t>
            </w:r>
          </w:p>
        </w:tc>
        <w:tc>
          <w:tcPr>
            <w:tcW w:w="7920" w:type="dxa"/>
            <w:vAlign w:val="center"/>
          </w:tcPr>
          <w:p w:rsidR="00566550" w:rsidRDefault="005F5ECF">
            <w:pPr>
              <w:spacing w:before="40" w:after="40"/>
            </w:pPr>
            <w:r>
              <w:t>Désigne la partie avant de la planche. Le nose est plus long et plus relevé que le tail, afin</w:t>
            </w:r>
            <w:r>
              <w:t xml:space="preserve"> de mieux stopper le pied avant.</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TAIL</w:t>
            </w:r>
          </w:p>
        </w:tc>
        <w:tc>
          <w:tcPr>
            <w:tcW w:w="7920" w:type="dxa"/>
            <w:vAlign w:val="center"/>
          </w:tcPr>
          <w:p w:rsidR="00566550" w:rsidRDefault="005F5ECF">
            <w:pPr>
              <w:spacing w:before="40" w:after="40"/>
            </w:pPr>
            <w:r>
              <w:t>Désigne la partie arrière de la planche. Le tail est plus court et moins relevé que le nose, afin de permettre au pied arrière de mieux le claquer sur le sol.</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GRIP</w:t>
            </w:r>
          </w:p>
        </w:tc>
        <w:tc>
          <w:tcPr>
            <w:tcW w:w="7920" w:type="dxa"/>
            <w:vAlign w:val="center"/>
          </w:tcPr>
          <w:p w:rsidR="00566550" w:rsidRDefault="005F5ECF">
            <w:pPr>
              <w:spacing w:before="40" w:after="40"/>
            </w:pPr>
            <w:r>
              <w:t>Désigne le papier de verre collé sur la planche, qui</w:t>
            </w:r>
            <w:r>
              <w:t xml:space="preserve"> permet d’avoir l’adhérence nécessaire sur la board pour exécuter des figures.</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TRUCKS</w:t>
            </w:r>
          </w:p>
        </w:tc>
        <w:tc>
          <w:tcPr>
            <w:tcW w:w="7920" w:type="dxa"/>
            <w:vAlign w:val="center"/>
          </w:tcPr>
          <w:p w:rsidR="00566550" w:rsidRDefault="005F5ECF">
            <w:pPr>
              <w:spacing w:before="40" w:after="40"/>
            </w:pPr>
            <w:r>
              <w:t>Essieux situés sous la planche sur lequels sont fixées les roues. Ils permettent de diriger la planche.</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REPLAQUER</w:t>
            </w:r>
          </w:p>
        </w:tc>
        <w:tc>
          <w:tcPr>
            <w:tcW w:w="7920" w:type="dxa"/>
            <w:vAlign w:val="center"/>
          </w:tcPr>
          <w:p w:rsidR="00566550" w:rsidRDefault="005F5ECF">
            <w:pPr>
              <w:spacing w:before="40" w:after="40"/>
            </w:pPr>
            <w:r>
              <w:t xml:space="preserve">« Replaquer un trick » signifie atterrir correctement </w:t>
            </w:r>
            <w:r>
              <w:t>sur la planche après avoir exécuté le trick. Lorsqu’il est réussi, on dit qu’un trick est « bien replaqué ».</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RENTRER</w:t>
            </w:r>
          </w:p>
        </w:tc>
        <w:tc>
          <w:tcPr>
            <w:tcW w:w="7920" w:type="dxa"/>
            <w:vAlign w:val="center"/>
          </w:tcPr>
          <w:p w:rsidR="00566550" w:rsidRDefault="005F5ECF">
            <w:pPr>
              <w:spacing w:before="40" w:after="40"/>
            </w:pPr>
            <w:r>
              <w:t>« Rentrer un trick » signifie « réussir un trick ». Ce terme est plus communs chez les skaters.</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FLIPER</w:t>
            </w:r>
          </w:p>
        </w:tc>
        <w:tc>
          <w:tcPr>
            <w:tcW w:w="7920" w:type="dxa"/>
            <w:vAlign w:val="center"/>
          </w:tcPr>
          <w:p w:rsidR="00566550" w:rsidRDefault="005F5ECF">
            <w:pPr>
              <w:spacing w:before="40" w:after="40"/>
            </w:pPr>
            <w:r>
              <w:t>Mouvement consistant à faire tourn</w:t>
            </w:r>
            <w:r>
              <w:t>er la planche sur elle même sur l'axe horizontal par rapport au sol.</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180°</w:t>
            </w:r>
          </w:p>
        </w:tc>
        <w:tc>
          <w:tcPr>
            <w:tcW w:w="7920" w:type="dxa"/>
            <w:vAlign w:val="center"/>
          </w:tcPr>
          <w:p w:rsidR="00566550" w:rsidRDefault="005F5ECF">
            <w:pPr>
              <w:spacing w:before="40" w:after="40"/>
            </w:pPr>
            <w:r>
              <w:t>Action de faire un demi-tour.</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360°</w:t>
            </w:r>
          </w:p>
        </w:tc>
        <w:tc>
          <w:tcPr>
            <w:tcW w:w="7920" w:type="dxa"/>
            <w:vAlign w:val="center"/>
          </w:tcPr>
          <w:p w:rsidR="00566550" w:rsidRDefault="005F5ECF">
            <w:pPr>
              <w:spacing w:before="40" w:after="40"/>
            </w:pPr>
            <w:r>
              <w:t>Action de faire un tour complet.</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LEVER</w:t>
            </w:r>
          </w:p>
        </w:tc>
        <w:tc>
          <w:tcPr>
            <w:tcW w:w="7920" w:type="dxa"/>
            <w:vAlign w:val="center"/>
          </w:tcPr>
          <w:p w:rsidR="00566550" w:rsidRDefault="005F5ECF">
            <w:pPr>
              <w:spacing w:before="40" w:after="40"/>
            </w:pPr>
            <w:r>
              <w:t xml:space="preserve">Action de faire monter la planche en l’air pour sauter un obstacle en appuyant sur le tail. </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GRINDER</w:t>
            </w:r>
          </w:p>
        </w:tc>
        <w:tc>
          <w:tcPr>
            <w:tcW w:w="7920" w:type="dxa"/>
            <w:vAlign w:val="center"/>
          </w:tcPr>
          <w:p w:rsidR="00566550" w:rsidRDefault="005F5ECF">
            <w:pPr>
              <w:spacing w:before="40" w:after="40"/>
            </w:pPr>
            <w:r>
              <w:t>Act</w:t>
            </w:r>
            <w:r>
              <w:t>ion de glisser sur les trucks.</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SLIDER</w:t>
            </w:r>
          </w:p>
        </w:tc>
        <w:tc>
          <w:tcPr>
            <w:tcW w:w="7920" w:type="dxa"/>
            <w:vAlign w:val="center"/>
          </w:tcPr>
          <w:p w:rsidR="00566550" w:rsidRDefault="005F5ECF">
            <w:pPr>
              <w:spacing w:before="40" w:after="40"/>
            </w:pPr>
            <w:r>
              <w:t>Action de glisser sur le milieu, le nose ou le tail de la board.</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CURB</w:t>
            </w:r>
          </w:p>
        </w:tc>
        <w:tc>
          <w:tcPr>
            <w:tcW w:w="7920" w:type="dxa"/>
            <w:vAlign w:val="center"/>
          </w:tcPr>
          <w:p w:rsidR="00566550" w:rsidRDefault="005F5ECF">
            <w:pPr>
              <w:spacing w:before="40" w:after="40"/>
            </w:pPr>
            <w:r>
              <w:t>Bloc de béton, muret, etc ... pouvant être monté, grindé ou slidé en skate.</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GAP</w:t>
            </w:r>
          </w:p>
        </w:tc>
        <w:tc>
          <w:tcPr>
            <w:tcW w:w="7920" w:type="dxa"/>
            <w:vAlign w:val="center"/>
          </w:tcPr>
          <w:p w:rsidR="00566550" w:rsidRDefault="005F5ECF">
            <w:pPr>
              <w:spacing w:before="40" w:after="40"/>
            </w:pPr>
            <w:r>
              <w:t>Longueur ou hauteur que l’on peut sauter en skateboard. Par exemp</w:t>
            </w:r>
            <w:r>
              <w:t>le, la distance entre deux curbs, constitue un gap.</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POP</w:t>
            </w:r>
          </w:p>
        </w:tc>
        <w:tc>
          <w:tcPr>
            <w:tcW w:w="7920" w:type="dxa"/>
            <w:vAlign w:val="center"/>
          </w:tcPr>
          <w:p w:rsidR="00566550" w:rsidRDefault="005F5ECF">
            <w:pPr>
              <w:spacing w:before="40" w:after="40"/>
            </w:pPr>
            <w:r>
              <w:t xml:space="preserve">Propriété de la planche à se lever plus ou moins lorsqu’elle est claquée. Lorsqu’une planche monte haut, on dit qu’elle a un gros pop. Ce terme s’applique aussi au skater, selon qu’il arrive à lever </w:t>
            </w:r>
            <w:r>
              <w:t>plus ou moins haut ses tricks.</w:t>
            </w:r>
          </w:p>
        </w:tc>
      </w:tr>
      <w:tr w:rsidR="00566550">
        <w:tblPrEx>
          <w:tblCellMar>
            <w:top w:w="0" w:type="dxa"/>
            <w:left w:w="0" w:type="dxa"/>
            <w:bottom w:w="0" w:type="dxa"/>
            <w:right w:w="0" w:type="dxa"/>
          </w:tblCellMar>
        </w:tblPrEx>
        <w:tc>
          <w:tcPr>
            <w:tcW w:w="1530" w:type="dxa"/>
            <w:vAlign w:val="center"/>
          </w:tcPr>
          <w:p w:rsidR="00566550" w:rsidRDefault="005F5ECF">
            <w:pPr>
              <w:spacing w:before="40" w:after="40"/>
            </w:pPr>
            <w:r>
              <w:rPr>
                <w:b/>
              </w:rPr>
              <w:t>WHEELING/MANUAL</w:t>
            </w:r>
          </w:p>
        </w:tc>
        <w:tc>
          <w:tcPr>
            <w:tcW w:w="7920" w:type="dxa"/>
            <w:vAlign w:val="center"/>
          </w:tcPr>
          <w:p w:rsidR="00566550" w:rsidRDefault="005F5ECF">
            <w:pPr>
              <w:spacing w:before="40" w:after="40"/>
            </w:pPr>
            <w:r>
              <w:t>Action de rouler seulement sur deux roues.  Si l’on roule sur les deux roules avant on parle de ‘nose wheeling’ ou ‘nose manual’</w:t>
            </w:r>
          </w:p>
        </w:tc>
      </w:tr>
    </w:tbl>
    <w:p w:rsidR="00566550" w:rsidRDefault="005F5ECF"/>
    <w:p w:rsidR="00566550" w:rsidRDefault="005F5ECF"/>
    <w:sectPr w:rsidR="00566550">
      <w:footerReference w:type="default" r:id="rId6"/>
      <w:footerReference w:type="first" r:id="rId7"/>
      <w:type w:val="continuous"/>
      <w:pgSz w:w="11906" w:h="16838" w:code="9"/>
      <w:pgMar w:top="720" w:right="1109" w:bottom="1440" w:left="1440" w:header="432" w:footer="576"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66550" w:rsidRDefault="005F5ECF">
    <w:pPr>
      <w:pStyle w:val="Footer"/>
      <w:jc w:val="center"/>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2</w:t>
    </w:r>
    <w:r>
      <w:rPr>
        <w:rStyle w:val="PageNumber"/>
        <w:sz w:val="20"/>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66550" w:rsidRDefault="005F5ECF">
    <w:pPr>
      <w:pStyle w:val="Footer"/>
      <w:rPr>
        <w:sz w:val="16"/>
      </w:rPr>
    </w:pPr>
    <w:r>
      <w:rPr>
        <w:snapToGrid w:val="0"/>
        <w:sz w:val="16"/>
      </w:rPr>
      <w:fldChar w:fldCharType="begin"/>
    </w:r>
    <w:r>
      <w:rPr>
        <w:snapToGrid w:val="0"/>
        <w:sz w:val="16"/>
      </w:rPr>
      <w:instrText xml:space="preserve"> FILENAME \p </w:instrText>
    </w:r>
    <w:r>
      <w:rPr>
        <w:snapToGrid w:val="0"/>
        <w:sz w:val="16"/>
      </w:rPr>
      <w:fldChar w:fldCharType="separate"/>
    </w:r>
    <w:r>
      <w:rPr>
        <w:snapToGrid w:val="0"/>
        <w:sz w:val="16"/>
      </w:rPr>
      <w:t xml:space="preserve">C:\Documents and Settings\Helen\My Documents\MFL </w:t>
    </w:r>
    <w:r>
      <w:rPr>
        <w:snapToGrid w:val="0"/>
        <w:sz w:val="16"/>
      </w:rPr>
      <w:t>Resources\French\Topics\Leisure&amp;interests\skateboarding vocabulaire.doc</w:t>
    </w:r>
    <w:r>
      <w:rPr>
        <w:snapToGrid w:val="0"/>
        <w:sz w:val="16"/>
      </w:rPr>
      <w:fldChar w:fldCharType="end"/>
    </w:r>
    <w:r>
      <w:rPr>
        <w:snapToGrid w:val="0"/>
        <w:sz w:val="16"/>
      </w:rPr>
      <w:t xml:space="preserve">      </w:t>
    </w:r>
    <w:fldSimple w:instr=" USERINITIALS  \* MERGEFORMAT ">
      <w:r>
        <w:rPr>
          <w:snapToGrid w:val="0"/>
          <w:sz w:val="16"/>
        </w:rPr>
        <w:t>HEM</w:t>
      </w:r>
    </w:fldSimple>
    <w:r>
      <w:rPr>
        <w:snapToGrid w:val="0"/>
        <w:sz w:val="16"/>
      </w:rPr>
      <w:t xml:space="preserve">      </w:t>
    </w:r>
    <w:r>
      <w:rPr>
        <w:snapToGrid w:val="0"/>
        <w:sz w:val="16"/>
      </w:rPr>
      <w:fldChar w:fldCharType="begin"/>
    </w:r>
    <w:r>
      <w:rPr>
        <w:snapToGrid w:val="0"/>
        <w:sz w:val="16"/>
      </w:rPr>
      <w:instrText xml:space="preserve"> SAVEDATE \@ "d-MMM-yy" \* MERGEFORMAT </w:instrText>
    </w:r>
    <w:r>
      <w:rPr>
        <w:snapToGrid w:val="0"/>
        <w:sz w:val="16"/>
      </w:rPr>
      <w:fldChar w:fldCharType="separate"/>
    </w:r>
    <w:r>
      <w:rPr>
        <w:snapToGrid w:val="0"/>
        <w:sz w:val="16"/>
      </w:rPr>
      <w:t>19-Nov-06</w:t>
    </w:r>
    <w:r>
      <w:rPr>
        <w:snapToGrid w:val="0"/>
        <w:sz w:val="16"/>
      </w:rPr>
      <w:fldChar w:fldCharType="end"/>
    </w:r>
    <w:r>
      <w:rPr>
        <w:snapToGrid w:val="0"/>
        <w:sz w:val="16"/>
      </w:rPr>
      <w:t xml:space="preserve">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257"/>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A3081A"/>
    <w:rsid w:val="005F5EC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GB"/>
    </w:rPr>
  </w:style>
  <w:style w:type="paragraph" w:styleId="Heading1">
    <w:name w:val="heading 1"/>
    <w:basedOn w:val="Normal"/>
    <w:next w:val="Normal"/>
    <w:qFormat/>
    <w:pPr>
      <w:keepNext/>
      <w:spacing w:after="120"/>
      <w:jc w:val="center"/>
      <w:outlineLvl w:val="0"/>
    </w:pPr>
    <w:rPr>
      <w:rFonts w:ascii="Arial" w:hAnsi="Arial"/>
      <w:b/>
      <w:kern w:val="30"/>
      <w:sz w:val="30"/>
    </w:rPr>
  </w:style>
  <w:style w:type="paragraph" w:styleId="Heading2">
    <w:name w:val="heading 2"/>
    <w:basedOn w:val="Heading1"/>
    <w:next w:val="Normal"/>
    <w:qFormat/>
    <w:pPr>
      <w:jc w:val="left"/>
      <w:outlineLvl w:val="1"/>
    </w:pPr>
    <w:rPr>
      <w:sz w:val="24"/>
    </w:rPr>
  </w:style>
  <w:style w:type="paragraph" w:styleId="Heading3">
    <w:name w:val="heading 3"/>
    <w:basedOn w:val="Heading2"/>
    <w:next w:val="Normal"/>
    <w:qFormat/>
    <w:pPr>
      <w:outlineLvl w:val="2"/>
    </w:pPr>
    <w:rPr>
      <w:rFonts w:ascii="Times New Roman" w:hAnsi="Times New Roman"/>
    </w:rPr>
  </w:style>
  <w:style w:type="character" w:default="1" w:styleId="DefaultParagraphFont">
    <w:name w:val="Default Paragraph Font"/>
  </w:style>
  <w:style w:type="table" w:default="1" w:styleId="TableNormal">
    <w:name w:val="Normal Table"/>
    <w:semiHidden/>
    <w:rPr>
      <w:lang/>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image" Target="media/image1.png"/><Relationship Id="rId5" Type="http://schemas.openxmlformats.org/officeDocument/2006/relationships/image" Target="media/image2.png"/><Relationship Id="rId7" Type="http://schemas.openxmlformats.org/officeDocument/2006/relationships/footer" Target="footer2.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3066</Characters>
  <Application>Microsoft Word 12.1.0</Application>
  <DocSecurity>0</DocSecurity>
  <Lines>25</Lines>
  <Paragraphs>6</Paragraphs>
  <ScaleCrop>false</ScaleCrop>
  <Company>The Ashcombe School</Company>
  <LinksUpToDate>false</LinksUpToDate>
  <CharactersWithSpaces>3765</CharactersWithSpaces>
  <SharedDoc>false</SharedDoc>
  <HLinks>
    <vt:vector size="12" baseType="variant">
      <vt:variant>
        <vt:i4>3539022</vt:i4>
      </vt:variant>
      <vt:variant>
        <vt:i4>2151</vt:i4>
      </vt:variant>
      <vt:variant>
        <vt:i4>1025</vt:i4>
      </vt:variant>
      <vt:variant>
        <vt:i4>1</vt:i4>
      </vt:variant>
      <vt:variant>
        <vt:lpwstr>schema1 goofy</vt:lpwstr>
      </vt:variant>
      <vt:variant>
        <vt:lpwstr/>
      </vt:variant>
      <vt:variant>
        <vt:i4>5046294</vt:i4>
      </vt:variant>
      <vt:variant>
        <vt:i4>2908</vt:i4>
      </vt:variant>
      <vt:variant>
        <vt:i4>1026</vt:i4>
      </vt:variant>
      <vt:variant>
        <vt:i4>1</vt:i4>
      </vt:variant>
      <vt:variant>
        <vt:lpwstr>schema2goofy</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Aide/vocabulaire</dc:title>
  <dc:subject/>
  <dc:creator>Jayne Pritzlaff</dc:creator>
  <cp:keywords/>
  <dc:description/>
  <cp:lastModifiedBy>Jayne Pritzlaff</cp:lastModifiedBy>
  <cp:revision>1</cp:revision>
  <cp:lastPrinted>2006-11-19T18:12:00Z</cp:lastPrinted>
  <dcterms:created xsi:type="dcterms:W3CDTF">2008-10-21T10:14:00Z</dcterms:created>
  <dcterms:modified xsi:type="dcterms:W3CDTF">2008-10-21T10:14:00Z</dcterms:modified>
</cp:coreProperties>
</file>