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1558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1. 数据集构建背景</w:t>
      </w:r>
    </w:p>
    <w:p w14:paraId="4E78967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1" w:after="135" w:afterAutospacing="0" w:line="158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创意玻璃杯属于典型的视觉驱动型（Visual-Driven）消费品。用户在浏览此类商品时，点击决策受品牌影响极小，主要取决于主图表现出的透明感、光影质感、构图比例及场景氛围。本数据集旨在通过量化视觉特征，建立一套可解释的点击潜力预测基准。</w:t>
      </w:r>
    </w:p>
    <w:p w14:paraId="5D974A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处理流水线与工程标准 (Pipeline)</w:t>
      </w:r>
    </w:p>
    <w:p w14:paraId="18878160">
      <w:pPr>
        <w:keepNext w:val="0"/>
        <w:keepLines w:val="0"/>
        <w:widowControl/>
        <w:numPr>
          <w:numId w:val="0"/>
        </w:numPr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Chars="0" w:right="0" w:right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为了确保算法训练的科学性，本数据集在原始抓取数据的基础上执行了四层“漏斗式”清洗：</w:t>
      </w:r>
    </w:p>
    <w:p w14:paraId="6D6DCCF3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2.1 多维严苛清洗</w:t>
      </w:r>
    </w:p>
    <w:p w14:paraId="3BED3159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空值剔除：自动过滤掉缺失“主图链接”、“价格”或“销量”的残缺样本，确保特征矩阵的完整性。</w:t>
      </w:r>
    </w:p>
    <w:p w14:paraId="47100EDD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广告过滤：通过正则匹配排除了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click.simba.taobao.com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等广告追踪链接。此类链接非图片源地址，无法用于认知分析。</w:t>
      </w:r>
    </w:p>
    <w:p w14:paraId="59B41C6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2.2 视觉去重（型号对齐）</w:t>
      </w:r>
    </w:p>
    <w:p w14:paraId="5FC8B150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策略：针对玻璃杯“一图多规格”（如 300ml/500ml 共享主图）导致的样本倾斜，执行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drop_duplicates(subset=['商品主图'])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。</w:t>
      </w:r>
    </w:p>
    <w:p w14:paraId="239979C4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价值：确保每种视觉方案在模型中仅作为唯一实例存在，有效防止了 CTR 预测模型产生过拟合偏见。</w:t>
      </w:r>
    </w:p>
    <w:p w14:paraId="1F94D4B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2.3 图像标准化协议</w:t>
      </w:r>
    </w:p>
    <w:p w14:paraId="20C7214A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空间对齐：采用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LANCZOS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采样将所有图像统一重缩放为深度学习标准尺寸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224x224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。</w:t>
      </w:r>
    </w:p>
    <w:p w14:paraId="08AEA1A7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质量筛查：引入视觉方差（Variance）校验。剔除方差值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&lt;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25的低质量样本（如过度曝光的白图或纯色背景死图），本环节共优化掉 6 枚无效样本。</w:t>
      </w:r>
    </w:p>
    <w:p w14:paraId="3E6DDBF9">
      <w:pPr>
        <w:keepNext w:val="0"/>
        <w:keepLines w:val="0"/>
        <w:widowControl/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3. 交付物结构说明</w:t>
      </w:r>
    </w:p>
    <w:p w14:paraId="61A1D57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特征字段定义 (Ground Truth)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5"/>
        <w:gridCol w:w="2970"/>
        <w:gridCol w:w="3597"/>
      </w:tblGrid>
      <w:tr w14:paraId="555F2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5E84A25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字段名称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0A531F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示例数据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E27663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技术定义与业务逻辑</w:t>
            </w:r>
          </w:p>
        </w:tc>
      </w:tr>
      <w:tr w14:paraId="2C687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342227A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std_img_name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280F331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B2D3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glass_0001.jpg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A6ECBC1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唯一视觉键。建立图像与数值特征的 1:1 映射。</w:t>
            </w:r>
          </w:p>
        </w:tc>
      </w:tr>
      <w:tr w14:paraId="35147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CAFC9C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价格_清洗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5EE437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B2D3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79.0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0EE0E72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提取出的纯浮点数单价，用于分析“美感溢价”。</w:t>
            </w:r>
          </w:p>
        </w:tc>
      </w:tr>
      <w:tr w14:paraId="56EF7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69543A4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价格/销量_标准化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0F47B6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B2D3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0.522...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34E8407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Z-Score 归一化特征。消除量纲影响，直接输入神经网络。</w:t>
            </w:r>
          </w:p>
        </w:tc>
      </w:tr>
      <w:tr w14:paraId="08F06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DECB9D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relative_ctr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9F7F5AD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300.0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61E2C2C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核心标签（Label）。基于销量反推的相对点击潜力。100代表行业平均水平，最高截断至300，代表爆款潜力。</w:t>
            </w:r>
          </w:p>
        </w:tc>
      </w:tr>
      <w:tr w14:paraId="4331D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3BA8249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preprocessed_img_path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E89E23D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2B2D31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images_preprocessed\...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2C7D0EB">
            <w:pPr>
              <w:keepNext w:val="0"/>
              <w:keepLines w:val="0"/>
              <w:widowControl/>
              <w:suppressLineNumbers w:val="0"/>
              <w:spacing w:line="158" w:lineRule="atLeast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认知预处理路径。用于后续算法计算视觉熵与颜色分布。</w:t>
            </w:r>
          </w:p>
        </w:tc>
      </w:tr>
    </w:tbl>
    <w:p w14:paraId="390DB556">
      <w:pPr>
        <w:keepNext w:val="0"/>
        <w:keepLines w:val="0"/>
        <w:widowControl/>
        <w:suppressLineNumbers w:val="0"/>
        <w:pBdr>
          <w:top w:val="single" w:color="E2E3E4" w:sz="2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pict>
          <v:rect id="_x0000_i1027" o:spt="1" style="height:1.5pt;width:317.25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DEC5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4. 关键统计指标 (Data Insights)</w:t>
      </w:r>
    </w:p>
    <w:p w14:paraId="767A8AF0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有效样本数：570 条</w:t>
      </w:r>
    </w:p>
    <w:p w14:paraId="768380CD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成功率：98.9% (570/576)，证明了 URL 协议补全和 SSL 忽略策略的有效性。</w:t>
      </w:r>
    </w:p>
    <w:p w14:paraId="22F397F4">
      <w:pPr>
        <w:pStyle w:val="5"/>
        <w:keepNext w:val="0"/>
        <w:keepLines w:val="0"/>
        <w:widowControl/>
        <w:suppressLineNumbers w:val="0"/>
        <w:spacing w:before="0" w:beforeAutospacing="0" w:after="53" w:afterAutospacing="0" w:line="158" w:lineRule="atLeast"/>
        <w:ind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标签分布：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bdr w:val="none" w:color="auto" w:sz="0" w:space="0"/>
          <w:shd w:val="clear" w:fill="FFFFFF"/>
        </w:rPr>
        <w:t>relative_ctr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B2D31"/>
          <w:spacing w:val="0"/>
          <w:sz w:val="24"/>
          <w:szCs w:val="24"/>
          <w:shd w:val="clear" w:fill="FFFFFF"/>
        </w:rPr>
        <w:t> 涵盖了从 0.43%（低点击组）到 300%（超高点击组）的完整梯度。这为回归模型提供了极佳的连续分布样本。</w:t>
      </w:r>
    </w:p>
    <w:sectPr>
      <w:pgSz w:w="11906" w:h="16838"/>
      <w:pgMar w:top="1417" w:right="1417" w:bottom="1417" w:left="141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CC909D"/>
    <w:multiLevelType w:val="singleLevel"/>
    <w:tmpl w:val="71CC909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F44A6C"/>
    <w:rsid w:val="5CE2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cp:lastModifiedBy>刘铸</cp:lastModifiedBy>
  <dcterms:modified xsi:type="dcterms:W3CDTF">2026-04-01T12:46:51Z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6F213B61FE6E49CFBC4AD8F69B16AD0C_12</vt:lpwstr>
  </property>
  <property fmtid="{D5CDD505-2E9C-101B-9397-08002B2CF9AE}" pid="4" name="KSOTemplateDocerSaveRecord">
    <vt:lpwstr>eyJoZGlkIjoiYjkyZmNhZmMwYTRkMzdjNDc0ZDBiODA4ZTNmNjg2YzYiLCJ1c2VySWQiOiIxNzEwNTAxMDk2In0=</vt:lpwstr>
  </property>
</Properties>
</file>