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CA49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1. 数据集构建逻辑</w:t>
      </w:r>
    </w:p>
    <w:p w14:paraId="3397B00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135" w:afterAutospacing="0" w:line="158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印花丝巾属于典型的**审美导向型（Aesthetic-Driven）**消费品。用户点击行为高度受图案复杂度、构图方式（平铺vs模特）以及色彩饱和度的影响。品牌在此类白牌/原创设计商品中的决策权重较低，非常适合用于训练可解释性视觉预测模型。</w:t>
      </w:r>
    </w:p>
    <w:p w14:paraId="73F5037B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原始条数：652 条</w:t>
      </w:r>
    </w:p>
    <w:p w14:paraId="750911E7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有效样本：651 条（执行主图URL唯一性去重后的结果）</w:t>
      </w:r>
    </w:p>
    <w:p w14:paraId="21636C4F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标准化尺寸：224x224（适配主流 Vision Transformer 与 CNN 架构）</w:t>
      </w:r>
    </w:p>
    <w:p w14:paraId="0FD1B950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目标变量：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relative_ctr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（相对点击潜力）</w:t>
      </w:r>
    </w:p>
    <w:p w14:paraId="1AB40ABD">
      <w:pPr>
        <w:keepNext w:val="0"/>
        <w:keepLines w:val="0"/>
        <w:widowControl/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2. 数据治理流水线 (Pipeline)</w:t>
      </w:r>
    </w:p>
    <w:p w14:paraId="55E9375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135" w:afterAutospacing="0" w:line="158" w:lineRule="atLeast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针对丝巾品类图案复杂的特性，本数据集通过 Python 自动化脚本执行了以下工程标准：</w:t>
      </w:r>
    </w:p>
    <w:p w14:paraId="79CBCA06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严苛清洗 (Rigorous Cleaning)：</w:t>
      </w:r>
    </w:p>
    <w:p w14:paraId="70344870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字段对齐：自动剔除缺失“价格”、“销量”或“主图链接”的离群样本。</w:t>
      </w:r>
    </w:p>
    <w:p w14:paraId="3DD543E1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协议纠错：针对淘宝/天猫 CDN 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//img...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链接格式，自动补全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https: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协议头。</w:t>
      </w:r>
    </w:p>
    <w:p w14:paraId="13D26E77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无效链接阻断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过滤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click.simba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 等广告追踪地址，确保下载内容均为原始主图。</w:t>
      </w:r>
    </w:p>
    <w:p w14:paraId="61E7E4FA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视觉层级去重 (Visual Deduplication)：</w:t>
      </w:r>
    </w:p>
    <w:p w14:paraId="382BF9DC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逻辑：丝巾品类存在严重的“一图多规格”现象（如同款花色分53cm和90cm两个链接）。</w:t>
      </w:r>
    </w:p>
    <w:p w14:paraId="45522E6E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处理：脚本基于主图 URL 进行全局唯一性校验，确保 C同学 在建模时，模型不会因为同一张图反复出现而产生严重的数据偏见（Bias）。</w:t>
      </w:r>
    </w:p>
    <w:p w14:paraId="49878A98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高熵特征保护：</w:t>
      </w:r>
    </w:p>
    <w:p w14:paraId="23F1F322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方差校验：设定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EMPTY_VAR_THRESHOLD = 35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。由于丝巾图案丰富，视觉方差通常高于杯子或台灯。该阈值有效过滤了低对比度、光线极差的“死图”。</w:t>
      </w:r>
    </w:p>
    <w:p w14:paraId="3C5E0D5A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特征归一化工程：</w:t>
      </w:r>
    </w:p>
    <w:p w14:paraId="35302B62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数值提取：将“已售20万+”等业务文本转化为可计算的浮点型数值。</w:t>
      </w:r>
    </w:p>
    <w:p w14:paraId="0296B189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标准化：对价格与销量执行 Z-Score 标准化，消除不同量纲对算法收敛速度的影响。</w:t>
      </w:r>
    </w:p>
    <w:p w14:paraId="11D4EA92">
      <w:pPr>
        <w:keepNext w:val="0"/>
        <w:keepLines w:val="0"/>
        <w:widowControl/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3. 物理存储与字段释义</w:t>
      </w:r>
    </w:p>
    <w:p w14:paraId="237868D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Excel 索引表关键列名定义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5"/>
        <w:gridCol w:w="1879"/>
        <w:gridCol w:w="4688"/>
      </w:tblGrid>
      <w:tr w14:paraId="56176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95F5B72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6E507A9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F8436F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在建模中的价值</w:t>
            </w:r>
          </w:p>
        </w:tc>
      </w:tr>
      <w:tr w14:paraId="0429A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CC3B5CA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std_img_name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1AE3703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图像唯一主键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381397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算法组调用图片的唯一索引。</w:t>
            </w:r>
          </w:p>
        </w:tc>
      </w:tr>
      <w:tr w14:paraId="0AD28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74AD1B2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价格_标准化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E63A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8" w:lineRule="atLeas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bdr w:val="none" w:color="auto" w:sz="0" w:space="0"/>
              </w:rPr>
              <w:t>Z</w:t>
            </w:r>
            <w:r>
              <w:rPr>
                <w:rFonts w:hint="eastAsia" w:asciiTheme="minorEastAsia" w:hAnsiTheme="minorEastAsia" w:eastAsiaTheme="minorEastAsia" w:cstheme="minorEastAsia"/>
                <w:i/>
                <w:iCs/>
                <w:sz w:val="24"/>
                <w:szCs w:val="24"/>
                <w:bdr w:val="none" w:color="auto" w:sz="0" w:space="0"/>
              </w:rPr>
              <w:t>Z</w:t>
            </w:r>
          </w:p>
          <w:p w14:paraId="25BA627E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-Score 归一化价格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C8ECCDE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作为外部辅助特征（Auxiliary Feature）输入模型。</w:t>
            </w:r>
          </w:p>
        </w:tc>
      </w:tr>
      <w:tr w14:paraId="78E50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019F31D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relative_ctr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A23AF7B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相对点击潜力 (Target)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04F053D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核心训练标签。基于销量反推，100分为及格，300分为超级爆款。</w:t>
            </w:r>
          </w:p>
        </w:tc>
      </w:tr>
      <w:tr w14:paraId="06CF1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210031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click_volume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6793CB5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预测点击量规模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63548C2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衡量主图市场竞争力的中间指标。</w:t>
            </w:r>
          </w:p>
        </w:tc>
      </w:tr>
      <w:tr w14:paraId="4C081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5F410EC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preprocessed_img_path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D5C737F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预处理路径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F12233C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系统组调用 images_preprocessed 下的图进行对比分析。</w:t>
            </w:r>
          </w:p>
        </w:tc>
      </w:tr>
    </w:tbl>
    <w:p w14:paraId="7366B2DE">
      <w:pPr>
        <w:keepNext w:val="0"/>
        <w:keepLines w:val="0"/>
        <w:widowControl/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4. 关键统计发现 (Data Insights)</w:t>
      </w:r>
    </w:p>
    <w:p w14:paraId="56ED9353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标签梯度明显：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relative_ctr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 分布广泛（从 0 到 300 均有分布），这为回归算法提供了高质量的学习样本，能够有效区分“低质随手拍”与“高级视觉设计”之间的差异。</w:t>
      </w:r>
    </w:p>
    <w:p w14:paraId="6609ED00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价格区间稳定：大部分丝巾单价分布在 10-100 元区间，消除了极端价格（如奢侈品真丝）对销量的过度干扰。</w:t>
      </w:r>
    </w:p>
    <w:p w14:paraId="3057B025">
      <w:pPr>
        <w:pStyle w:val="6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视觉信息丰富：该数据集的图像平均方差明显高于此前处理的玻璃杯类目，适合进行视觉熵（Visual Entropy）的高阶实验。</w:t>
      </w:r>
    </w:p>
    <w:p w14:paraId="22F397F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17" w:right="1417" w:bottom="1417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746D0B"/>
    <w:rsid w:val="5CE2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cp:lastModifiedBy>刘铸</cp:lastModifiedBy>
  <dcterms:modified xsi:type="dcterms:W3CDTF">2026-04-01T14:53:46Z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6F213B61FE6E49CFBC4AD8F69B16AD0C_12</vt:lpwstr>
  </property>
  <property fmtid="{D5CDD505-2E9C-101B-9397-08002B2CF9AE}" pid="4" name="KSOTemplateDocerSaveRecord">
    <vt:lpwstr>eyJoZGlkIjoiYjkyZmNhZmMwYTRkMzdjNDc0ZDBiODA4ZTNmNjg2YzYiLCJ1c2VySWQiOiIxNzEwNTAxMDk2In0=</vt:lpwstr>
  </property>
</Properties>
</file>