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png" ContentType="image/png"/>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E2AE7" w14:textId="6C92FC55" w:rsidR="006F56DB" w:rsidRDefault="006F56DB" w:rsidP="006F56DB">
      <w:pPr>
        <w:pStyle w:val="Title"/>
      </w:pPr>
      <w:r w:rsidRPr="006F56DB">
        <w:t>Prov - Azure APIM Briefing</w:t>
      </w:r>
    </w:p>
    <w:p w14:paraId="6BD44A3C" w14:textId="5BA55922" w:rsidR="006F56DB" w:rsidRDefault="006F56DB" w:rsidP="006F56DB">
      <w:pPr>
        <w:spacing w:after="280"/>
        <w:rPr>
          <w:i/>
        </w:rPr>
      </w:pPr>
      <w:r w:rsidRPr="006F56DB">
        <w:rPr>
          <w:i/>
        </w:rPr>
        <w:t>Presenter Runbook: hands-on demo script, portal walkthrough, and narration</w:t>
      </w:r>
    </w:p>
    <w:tbl>
      <w:tblPr>
        <w:tblStyle w:val="TableGrid"/>
        <w:tblW w:w="5000" w:type="pct"/>
        <w:tblLook w:val="04A0" w:firstRow="1" w:lastRow="0" w:firstColumn="1" w:lastColumn="0" w:noHBand="0" w:noVBand="1"/>
      </w:tblPr>
      <w:tblGrid>
        <w:gridCol w:w="4855"/>
        <w:gridCol w:w="4855"/>
      </w:tblGrid>
      <w:tr w:rsidR="006F56DB" w:rsidRPr="006F56DB" w14:paraId="05262511" w14:textId="77777777" w:rsidTr="006F56DB">
        <w:trPr>
          <w:tblHeader/>
        </w:trPr>
        <w:tc>
          <w:tcPr>
            <w:tcW w:w="2500" w:type="pct"/>
          </w:tcPr>
          <w:p w14:paraId="0DD8BF67" w14:textId="298DB9AE" w:rsidR="006F56DB" w:rsidRPr="006F56DB" w:rsidRDefault="006F56DB" w:rsidP="006F56DB">
            <w:pPr>
              <w:spacing w:after="280"/>
              <w:rPr>
                <w:rFonts w:ascii="Arial" w:hAnsi="Arial" w:cs="Arial"/>
                <w:b/>
                <w:i/>
                <w:sz w:val="18"/>
              </w:rPr>
            </w:pPr>
            <w:r>
              <w:rPr>
                <w:rFonts w:ascii="Arial" w:hAnsi="Arial" w:cs="Arial"/>
                <w:b/>
                <w:i/>
                <w:sz w:val="18"/>
              </w:rPr>
              <w:t>Field</w:t>
            </w:r>
          </w:p>
        </w:tc>
        <w:tc>
          <w:tcPr>
            <w:tcW w:w="2500" w:type="pct"/>
          </w:tcPr>
          <w:p w14:paraId="4F337BED" w14:textId="3D19207A" w:rsidR="006F56DB" w:rsidRPr="006F56DB" w:rsidRDefault="006F56DB" w:rsidP="006F56DB">
            <w:pPr>
              <w:spacing w:after="280"/>
              <w:rPr>
                <w:rFonts w:ascii="Arial" w:hAnsi="Arial" w:cs="Arial"/>
                <w:b/>
                <w:i/>
                <w:sz w:val="18"/>
              </w:rPr>
            </w:pPr>
            <w:r>
              <w:rPr>
                <w:rFonts w:ascii="Arial" w:hAnsi="Arial" w:cs="Arial"/>
                <w:b/>
                <w:i/>
                <w:sz w:val="18"/>
              </w:rPr>
              <w:t>Value</w:t>
            </w:r>
          </w:p>
        </w:tc>
      </w:tr>
      <w:tr w:rsidR="006F56DB" w:rsidRPr="006F56DB" w14:paraId="39D3DD94" w14:textId="77777777" w:rsidTr="006F56DB">
        <w:tc>
          <w:tcPr>
            <w:tcW w:w="2500" w:type="pct"/>
          </w:tcPr>
          <w:p w14:paraId="2368BB38" w14:textId="07FFC11D" w:rsidR="006F56DB" w:rsidRPr="006F56DB" w:rsidRDefault="006F56DB" w:rsidP="006F56DB">
            <w:pPr>
              <w:spacing w:after="280"/>
              <w:rPr>
                <w:rFonts w:ascii="Arial" w:hAnsi="Arial" w:cs="Arial"/>
                <w:i/>
                <w:sz w:val="18"/>
              </w:rPr>
            </w:pPr>
            <w:r>
              <w:rPr>
                <w:rFonts w:ascii="Arial" w:hAnsi="Arial" w:cs="Arial"/>
                <w:i/>
                <w:sz w:val="18"/>
              </w:rPr>
              <w:t>Session</w:t>
            </w:r>
          </w:p>
        </w:tc>
        <w:tc>
          <w:tcPr>
            <w:tcW w:w="2500" w:type="pct"/>
          </w:tcPr>
          <w:p w14:paraId="03E3161C" w14:textId="79A03260" w:rsidR="006F56DB" w:rsidRPr="006F56DB" w:rsidRDefault="006F56DB" w:rsidP="006F56DB">
            <w:pPr>
              <w:spacing w:after="280"/>
              <w:rPr>
                <w:rFonts w:ascii="Arial" w:hAnsi="Arial" w:cs="Arial"/>
                <w:i/>
                <w:sz w:val="18"/>
              </w:rPr>
            </w:pPr>
            <w:r>
              <w:rPr>
                <w:rFonts w:ascii="Arial" w:hAnsi="Arial" w:cs="Arial"/>
                <w:i/>
                <w:sz w:val="18"/>
              </w:rPr>
              <w:t>Prov - Azure APIM Briefing (60 minutes)</w:t>
            </w:r>
          </w:p>
        </w:tc>
      </w:tr>
      <w:tr w:rsidR="006F56DB" w:rsidRPr="006F56DB" w14:paraId="5FD6FD6B" w14:textId="77777777" w:rsidTr="006F56DB">
        <w:tc>
          <w:tcPr>
            <w:tcW w:w="2500" w:type="pct"/>
          </w:tcPr>
          <w:p w14:paraId="0FE85375" w14:textId="11B97999" w:rsidR="006F56DB" w:rsidRPr="006F56DB" w:rsidRDefault="006F56DB" w:rsidP="006F56DB">
            <w:pPr>
              <w:spacing w:after="280"/>
              <w:rPr>
                <w:rFonts w:ascii="Arial" w:hAnsi="Arial" w:cs="Arial"/>
                <w:i/>
                <w:sz w:val="18"/>
              </w:rPr>
            </w:pPr>
            <w:r>
              <w:rPr>
                <w:rFonts w:ascii="Arial" w:hAnsi="Arial" w:cs="Arial"/>
                <w:i/>
                <w:sz w:val="18"/>
              </w:rPr>
              <w:t>Audience</w:t>
            </w:r>
          </w:p>
        </w:tc>
        <w:tc>
          <w:tcPr>
            <w:tcW w:w="2500" w:type="pct"/>
          </w:tcPr>
          <w:p w14:paraId="5ED65711" w14:textId="137AABA4" w:rsidR="006F56DB" w:rsidRPr="006F56DB" w:rsidRDefault="006F56DB" w:rsidP="006F56DB">
            <w:pPr>
              <w:spacing w:after="280"/>
              <w:rPr>
                <w:rFonts w:ascii="Arial" w:hAnsi="Arial" w:cs="Arial"/>
                <w:i/>
                <w:sz w:val="18"/>
              </w:rPr>
            </w:pPr>
            <w:r>
              <w:rPr>
                <w:rFonts w:ascii="Arial" w:hAnsi="Arial" w:cs="Arial"/>
                <w:i/>
                <w:sz w:val="18"/>
              </w:rPr>
              <w:t>Northwind Health: Enterprise Architecture, Integration Engineering, Platform Engineering, Program Management, Security</w:t>
            </w:r>
          </w:p>
        </w:tc>
      </w:tr>
      <w:tr w:rsidR="006F56DB" w:rsidRPr="006F56DB" w14:paraId="162856F3" w14:textId="77777777" w:rsidTr="006F56DB">
        <w:tc>
          <w:tcPr>
            <w:tcW w:w="2500" w:type="pct"/>
          </w:tcPr>
          <w:p w14:paraId="55C4CE55" w14:textId="641769E0" w:rsidR="006F56DB" w:rsidRPr="006F56DB" w:rsidRDefault="006F56DB" w:rsidP="006F56DB">
            <w:pPr>
              <w:spacing w:after="280"/>
              <w:rPr>
                <w:rFonts w:ascii="Arial" w:hAnsi="Arial" w:cs="Arial"/>
                <w:i/>
                <w:sz w:val="18"/>
              </w:rPr>
            </w:pPr>
            <w:r>
              <w:rPr>
                <w:rFonts w:ascii="Arial" w:hAnsi="Arial" w:cs="Arial"/>
                <w:i/>
                <w:sz w:val="18"/>
              </w:rPr>
              <w:t>Presenter</w:t>
            </w:r>
          </w:p>
        </w:tc>
        <w:tc>
          <w:tcPr>
            <w:tcW w:w="2500" w:type="pct"/>
          </w:tcPr>
          <w:p w14:paraId="7A2C7242" w14:textId="71459229" w:rsidR="006F56DB" w:rsidRPr="006F56DB" w:rsidRDefault="006F56DB" w:rsidP="006F56DB">
            <w:pPr>
              <w:spacing w:after="280"/>
              <w:rPr>
                <w:rFonts w:ascii="Arial" w:hAnsi="Arial" w:cs="Arial"/>
                <w:i/>
                <w:sz w:val="18"/>
              </w:rPr>
            </w:pPr>
            <w:r>
              <w:rPr>
                <w:rFonts w:ascii="Arial" w:hAnsi="Arial" w:cs="Arial"/>
                <w:i/>
                <w:sz w:val="18"/>
              </w:rPr>
              <w:t>Jay Padhya, Microsoft Health &amp; Life Sciences</w:t>
            </w:r>
          </w:p>
        </w:tc>
      </w:tr>
      <w:tr w:rsidR="006F56DB" w:rsidRPr="006F56DB" w14:paraId="5BD55A39" w14:textId="77777777" w:rsidTr="006F56DB">
        <w:tc>
          <w:tcPr>
            <w:tcW w:w="2500" w:type="pct"/>
          </w:tcPr>
          <w:p w14:paraId="249C5D41" w14:textId="15051C4B" w:rsidR="006F56DB" w:rsidRPr="006F56DB" w:rsidRDefault="006F56DB" w:rsidP="006F56DB">
            <w:pPr>
              <w:spacing w:after="280"/>
              <w:rPr>
                <w:rFonts w:ascii="Arial" w:hAnsi="Arial" w:cs="Arial"/>
                <w:i/>
                <w:sz w:val="18"/>
              </w:rPr>
            </w:pPr>
            <w:r>
              <w:rPr>
                <w:rFonts w:ascii="Arial" w:hAnsi="Arial" w:cs="Arial"/>
                <w:i/>
                <w:sz w:val="18"/>
              </w:rPr>
              <w:t>Supporting</w:t>
            </w:r>
          </w:p>
        </w:tc>
        <w:tc>
          <w:tcPr>
            <w:tcW w:w="2500" w:type="pct"/>
          </w:tcPr>
          <w:p w14:paraId="1DB24A33" w14:textId="001B2438" w:rsidR="006F56DB" w:rsidRPr="006F56DB" w:rsidRDefault="006F56DB" w:rsidP="006F56DB">
            <w:pPr>
              <w:spacing w:after="280"/>
              <w:rPr>
                <w:rFonts w:ascii="Arial" w:hAnsi="Arial" w:cs="Arial"/>
                <w:i/>
                <w:sz w:val="18"/>
              </w:rPr>
            </w:pPr>
            <w:r>
              <w:rPr>
                <w:rFonts w:ascii="Arial" w:hAnsi="Arial" w:cs="Arial"/>
                <w:i/>
                <w:sz w:val="18"/>
              </w:rPr>
              <w:t>Steve Ordahl (FHIR), Joe Overton (account), APIM specialist (to be named)</w:t>
            </w:r>
          </w:p>
        </w:tc>
      </w:tr>
      <w:tr w:rsidR="006F56DB" w:rsidRPr="006F56DB" w14:paraId="1BA9DCD0" w14:textId="77777777" w:rsidTr="006F56DB">
        <w:tc>
          <w:tcPr>
            <w:tcW w:w="2500" w:type="pct"/>
          </w:tcPr>
          <w:p w14:paraId="22F3126D" w14:textId="2C4929F3" w:rsidR="006F56DB" w:rsidRPr="006F56DB" w:rsidRDefault="006F56DB" w:rsidP="006F56DB">
            <w:pPr>
              <w:spacing w:after="280"/>
              <w:rPr>
                <w:rFonts w:ascii="Arial" w:hAnsi="Arial" w:cs="Arial"/>
                <w:i/>
                <w:sz w:val="18"/>
              </w:rPr>
            </w:pPr>
            <w:r>
              <w:rPr>
                <w:rFonts w:ascii="Arial" w:hAnsi="Arial" w:cs="Arial"/>
                <w:i/>
                <w:sz w:val="18"/>
              </w:rPr>
              <w:t>Companion deck</w:t>
            </w:r>
          </w:p>
        </w:tc>
        <w:tc>
          <w:tcPr>
            <w:tcW w:w="2500" w:type="pct"/>
          </w:tcPr>
          <w:p w14:paraId="6216B1A4" w14:textId="0DDB0C33" w:rsidR="006F56DB" w:rsidRPr="006F56DB" w:rsidRDefault="006F56DB" w:rsidP="006F56DB">
            <w:pPr>
              <w:spacing w:after="280"/>
              <w:rPr>
                <w:rFonts w:ascii="Arial" w:hAnsi="Arial" w:cs="Arial"/>
                <w:i/>
                <w:sz w:val="18"/>
              </w:rPr>
            </w:pPr>
            <w:r>
              <w:rPr>
                <w:rFonts w:ascii="Arial" w:hAnsi="Arial" w:cs="Arial"/>
                <w:i/>
                <w:sz w:val="18"/>
              </w:rPr>
              <w:t>Prov-Azure-APIM-Briefing.pptx (17 slides, speaker notes embedded)</w:t>
            </w:r>
          </w:p>
        </w:tc>
      </w:tr>
      <w:tr w:rsidR="006F56DB" w:rsidRPr="006F56DB" w14:paraId="0E2644C3" w14:textId="77777777" w:rsidTr="006F56DB">
        <w:tc>
          <w:tcPr>
            <w:tcW w:w="2500" w:type="pct"/>
          </w:tcPr>
          <w:p w14:paraId="5E88D12E" w14:textId="276FB5E1" w:rsidR="006F56DB" w:rsidRPr="006F56DB" w:rsidRDefault="006F56DB" w:rsidP="006F56DB">
            <w:pPr>
              <w:spacing w:after="280"/>
              <w:rPr>
                <w:rFonts w:ascii="Arial" w:hAnsi="Arial" w:cs="Arial"/>
                <w:i/>
                <w:sz w:val="18"/>
              </w:rPr>
            </w:pPr>
            <w:r>
              <w:rPr>
                <w:rFonts w:ascii="Arial" w:hAnsi="Arial" w:cs="Arial"/>
                <w:i/>
                <w:sz w:val="18"/>
              </w:rPr>
              <w:t>Environment</w:t>
            </w:r>
          </w:p>
        </w:tc>
        <w:tc>
          <w:tcPr>
            <w:tcW w:w="2500" w:type="pct"/>
          </w:tcPr>
          <w:p w14:paraId="41CDC5B3" w14:textId="03A138CE" w:rsidR="006F56DB" w:rsidRPr="006F56DB" w:rsidRDefault="006F56DB" w:rsidP="006F56DB">
            <w:pPr>
              <w:spacing w:after="280"/>
              <w:rPr>
                <w:rFonts w:ascii="Arial" w:hAnsi="Arial" w:cs="Arial"/>
                <w:i/>
                <w:sz w:val="18"/>
              </w:rPr>
            </w:pPr>
            <w:r>
              <w:rPr>
                <w:rFonts w:ascii="Arial" w:hAnsi="Arial" w:cs="Arial"/>
                <w:i/>
                <w:sz w:val="18"/>
              </w:rPr>
              <w:t>rg-ahds-fhir-poc</w:t>
            </w:r>
          </w:p>
        </w:tc>
      </w:tr>
      <w:tr w:rsidR="006F56DB" w:rsidRPr="006F56DB" w14:paraId="12A8B3AB" w14:textId="77777777" w:rsidTr="006F56DB">
        <w:tc>
          <w:tcPr>
            <w:tcW w:w="2500" w:type="pct"/>
          </w:tcPr>
          <w:p w14:paraId="6D28B36B" w14:textId="5B0CF5ED" w:rsidR="006F56DB" w:rsidRPr="006F56DB" w:rsidRDefault="006F56DB" w:rsidP="006F56DB">
            <w:pPr>
              <w:spacing w:after="280"/>
              <w:rPr>
                <w:rFonts w:ascii="Arial" w:hAnsi="Arial" w:cs="Arial"/>
                <w:i/>
                <w:sz w:val="18"/>
              </w:rPr>
            </w:pPr>
            <w:r>
              <w:rPr>
                <w:rFonts w:ascii="Arial" w:hAnsi="Arial" w:cs="Arial"/>
                <w:i/>
                <w:sz w:val="18"/>
              </w:rPr>
              <w:t>Subscription</w:t>
            </w:r>
          </w:p>
        </w:tc>
        <w:tc>
          <w:tcPr>
            <w:tcW w:w="2500" w:type="pct"/>
          </w:tcPr>
          <w:p w14:paraId="4D78141E" w14:textId="1B435CB1" w:rsidR="006F56DB" w:rsidRPr="006F56DB" w:rsidRDefault="006F56DB" w:rsidP="006F56DB">
            <w:pPr>
              <w:spacing w:after="280"/>
              <w:rPr>
                <w:rFonts w:ascii="Arial" w:hAnsi="Arial" w:cs="Arial"/>
                <w:i/>
                <w:sz w:val="18"/>
              </w:rPr>
            </w:pPr>
            <w:r>
              <w:rPr>
                <w:rFonts w:ascii="Arial" w:hAnsi="Arial" w:cs="Arial"/>
                <w:i/>
                <w:sz w:val="18"/>
              </w:rPr>
              <w:t>MCAPS-DataAICSA2023 - demouser-DEMO</w:t>
            </w:r>
          </w:p>
        </w:tc>
      </w:tr>
      <w:tr w:rsidR="006F56DB" w:rsidRPr="006F56DB" w14:paraId="6AEAD169" w14:textId="77777777" w:rsidTr="006F56DB">
        <w:tc>
          <w:tcPr>
            <w:tcW w:w="2500" w:type="pct"/>
          </w:tcPr>
          <w:p w14:paraId="6D0168C1" w14:textId="0247B2BE" w:rsidR="006F56DB" w:rsidRPr="006F56DB" w:rsidRDefault="006F56DB" w:rsidP="006F56DB">
            <w:pPr>
              <w:spacing w:after="280"/>
              <w:rPr>
                <w:rFonts w:ascii="Arial" w:hAnsi="Arial" w:cs="Arial"/>
                <w:i/>
                <w:sz w:val="18"/>
              </w:rPr>
            </w:pPr>
            <w:r>
              <w:rPr>
                <w:rFonts w:ascii="Arial" w:hAnsi="Arial" w:cs="Arial"/>
                <w:i/>
                <w:sz w:val="18"/>
              </w:rPr>
              <w:t>Gateway</w:t>
            </w:r>
          </w:p>
        </w:tc>
        <w:tc>
          <w:tcPr>
            <w:tcW w:w="2500" w:type="pct"/>
          </w:tcPr>
          <w:p w14:paraId="6A1CB8CF" w14:textId="13A0DE98" w:rsidR="006F56DB" w:rsidRPr="006F56DB" w:rsidRDefault="006F56DB" w:rsidP="006F56DB">
            <w:pPr>
              <w:spacing w:after="280"/>
              <w:rPr>
                <w:rFonts w:ascii="Arial" w:hAnsi="Arial" w:cs="Arial"/>
                <w:i/>
                <w:sz w:val="18"/>
              </w:rPr>
            </w:pPr>
            <w:r>
              <w:rPr>
                <w:rFonts w:ascii="Arial" w:hAnsi="Arial" w:cs="Arial"/>
                <w:i/>
                <w:sz w:val="18"/>
              </w:rPr>
              <w:t>https://apim-poc-ahds-demo01.azure-api.net</w:t>
            </w:r>
          </w:p>
        </w:tc>
      </w:tr>
      <w:tr w:rsidR="006F56DB" w:rsidRPr="006F56DB" w14:paraId="29F4A5EA" w14:textId="77777777" w:rsidTr="006F56DB">
        <w:tc>
          <w:tcPr>
            <w:tcW w:w="2500" w:type="pct"/>
          </w:tcPr>
          <w:p w14:paraId="4D709EC8" w14:textId="1D883036" w:rsidR="006F56DB" w:rsidRPr="006F56DB" w:rsidRDefault="006F56DB" w:rsidP="006F56DB">
            <w:pPr>
              <w:spacing w:after="280"/>
              <w:rPr>
                <w:rFonts w:ascii="Arial" w:hAnsi="Arial" w:cs="Arial"/>
                <w:i/>
                <w:sz w:val="18"/>
              </w:rPr>
            </w:pPr>
            <w:r>
              <w:rPr>
                <w:rFonts w:ascii="Arial" w:hAnsi="Arial" w:cs="Arial"/>
                <w:i/>
                <w:sz w:val="18"/>
              </w:rPr>
              <w:t>Document built</w:t>
            </w:r>
          </w:p>
        </w:tc>
        <w:tc>
          <w:tcPr>
            <w:tcW w:w="2500" w:type="pct"/>
          </w:tcPr>
          <w:p w14:paraId="74883F63" w14:textId="0CAE3A92" w:rsidR="006F56DB" w:rsidRPr="006F56DB" w:rsidRDefault="006F56DB" w:rsidP="006F56DB">
            <w:pPr>
              <w:spacing w:after="280"/>
              <w:rPr>
                <w:rFonts w:ascii="Arial" w:hAnsi="Arial" w:cs="Arial"/>
                <w:i/>
                <w:sz w:val="18"/>
              </w:rPr>
            </w:pPr>
            <w:r>
              <w:rPr>
                <w:rFonts w:ascii="Arial" w:hAnsi="Arial" w:cs="Arial"/>
                <w:i/>
                <w:sz w:val="18"/>
              </w:rPr>
              <w:t>Monday, 31 August 2026 10:37</w:t>
            </w:r>
          </w:p>
        </w:tc>
      </w:tr>
    </w:tbl>
    <w:p w14:paraId="096EB014" w14:textId="77777777" w:rsidR="006F56DB" w:rsidRDefault="006F56DB" w:rsidP="006F56DB">
      <w:pPr>
        <w:spacing w:after="280"/>
        <w:rPr>
          <w:i/>
        </w:rPr>
      </w:pPr>
    </w:p>
    <w:p w14:paraId="14F351C9" w14:textId="77777777" w:rsidR="006F56DB" w:rsidRDefault="006F56DB" w:rsidP="006F56DB">
      <w:pPr>
        <w:spacing w:after="120"/>
      </w:pPr>
    </w:p>
    <w:p w14:paraId="618AA370" w14:textId="0C0709CA" w:rsidR="006F56DB" w:rsidRDefault="006F56DB" w:rsidP="006F56DB">
      <w:pPr>
        <w:pStyle w:val="Heading2"/>
        <w:spacing w:after="160"/>
      </w:pPr>
      <w:bookmarkStart w:id="0" w:name="_Toc239065103"/>
      <w:r w:rsidRPr="006F56DB">
        <w:t>How to use this runbook</w:t>
      </w:r>
      <w:bookmarkEnd w:id="0"/>
    </w:p>
    <w:p w14:paraId="1970EFB8" w14:textId="1430EA36" w:rsidR="006F56DB" w:rsidRDefault="006F56DB" w:rsidP="006F56DB">
      <w:pPr>
        <w:spacing w:after="60"/>
      </w:pPr>
      <w:r w:rsidRPr="006F56DB">
        <w:t>DO lines are the exact action: a click path, or a command to paste.</w:t>
      </w:r>
    </w:p>
    <w:p w14:paraId="1D5D3C8C" w14:textId="388A9615" w:rsidR="006F56DB" w:rsidRDefault="006F56DB" w:rsidP="006F56DB">
      <w:pPr>
        <w:spacing w:after="60"/>
      </w:pPr>
      <w:r w:rsidRPr="006F56DB">
        <w:t>SAY lines are the narration. Shaded and italic. Say them close to verbatim - they are written to land the point in one pass.</w:t>
      </w:r>
    </w:p>
    <w:p w14:paraId="3C3A1653" w14:textId="015A16F0" w:rsidR="006F56DB" w:rsidRDefault="006F56DB" w:rsidP="006F56DB">
      <w:pPr>
        <w:spacing w:after="60"/>
      </w:pPr>
      <w:r w:rsidRPr="006F56DB">
        <w:t>EXPECT lines tell you what should appear, so you can tell success from failure instantly.</w:t>
      </w:r>
    </w:p>
    <w:p w14:paraId="437F209E" w14:textId="357280DB" w:rsidR="006F56DB" w:rsidRDefault="006F56DB" w:rsidP="006F56DB">
      <w:pPr>
        <w:spacing w:after="60"/>
      </w:pPr>
      <w:r w:rsidRPr="006F56DB">
        <w:t>IF IT FAILS lines are the recovery. Every live step has one. Never debug in front of the room.</w:t>
      </w:r>
    </w:p>
    <w:p w14:paraId="12B58CEF" w14:textId="73E38041" w:rsidR="006F56DB" w:rsidRDefault="006F56DB" w:rsidP="006F56DB">
      <w:pPr>
        <w:spacing w:after="60"/>
      </w:pPr>
      <w:r w:rsidRPr="006F56DB">
        <w:t>Figures are verified evidence captured live from this environment - CLI output and real policy source, rendered legibly. They are deliberately not portal screenshots: the portal chrome changes, the facts do not. Each figure carries its provenance in the footer.</w:t>
      </w:r>
    </w:p>
    <w:p w14:paraId="44503306" w14:textId="3A8DD9AD" w:rsidR="006F56DB" w:rsidRDefault="006F56DB" w:rsidP="006F56DB">
      <w:pPr>
        <w:spacing w:after="60"/>
      </w:pPr>
      <w:r w:rsidRPr="006F56DB">
        <w:t>Every portal step also gives you a deep link. Open the real blade on the projector; use the figure as your reference for what should be on screen, and as the fallback if the portal is slow or sign-in stalls.</w:t>
      </w:r>
    </w:p>
    <w:p w14:paraId="29497DB2" w14:textId="77777777" w:rsidR="006F56DB" w:rsidRDefault="006F56DB" w:rsidP="006F56DB">
      <w:pPr>
        <w:spacing w:after="120"/>
      </w:pPr>
    </w:p>
    <w:p w14:paraId="6A5A157C" w14:textId="6B289173" w:rsidR="006F56DB" w:rsidRDefault="006F56DB" w:rsidP="006F56DB">
      <w:pPr>
        <w:spacing w:after="200"/>
      </w:pPr>
      <w:r w:rsidRPr="006F56DB">
        <w:t>This demo runs against a live deployed environment. Complete the pre-flight before the call. The bulk export lock is held for 300 seconds per payer, so a warm-up run must be followed by a five minute gap before the live run.</w:t>
      </w:r>
    </w:p>
    <w:p w14:paraId="33478001" w14:textId="59066959" w:rsidR="006F56DB" w:rsidRDefault="006F56DB">
      <w:pPr>
        <w:rPr>
          <w:b/>
        </w:rPr>
      </w:pPr>
      <w:r>
        <w:rPr>
          <w:b/>
        </w:rPr>
        <w:br w:type="page"/>
      </w:r>
    </w:p>
    <w:p w14:paraId="5466CEC5" w14:textId="0CEADE38" w:rsidR="006F56DB" w:rsidRDefault="006F56DB" w:rsidP="006F56DB">
      <w:pPr>
        <w:pStyle w:val="Heading1"/>
        <w:spacing w:after="160"/>
      </w:pPr>
      <w:bookmarkStart w:id="1" w:name="_Toc239065104"/>
      <w:r w:rsidRPr="006F56DB">
        <w:t>Contents</w:t>
      </w:r>
      <w:bookmarkEnd w:id="1"/>
    </w:p>
    <w:p w14:paraId="6F400E8F" w14:textId="18445F24" w:rsidR="006F56DB" w:rsidRDefault="006F56DB">
      <w:pPr>
        <w:pStyle w:val="TOC2"/>
        <w:tabs>
          <w:tab w:val="right" w:leader="dot" w:pos="9710"/>
        </w:tabs>
        <w:rPr>
          <w:rFonts w:eastAsiaTheme="minorEastAsia"/>
          <w:noProof/>
        </w:rPr>
      </w:pPr>
      <w:r>
        <w:fldChar w:fldCharType="begin"/>
      </w:r>
      <w:r>
        <w:instrText xml:space="preserve"> TOC \o "1-3" </w:instrText>
      </w:r>
      <w:r>
        <w:fldChar w:fldCharType="separate"/>
      </w:r>
      <w:r>
        <w:rPr>
          <w:noProof/>
        </w:rPr>
        <w:t>How to use this runbook</w:t>
      </w:r>
      <w:r>
        <w:rPr>
          <w:noProof/>
        </w:rPr>
        <w:tab/>
      </w:r>
      <w:r>
        <w:rPr>
          <w:noProof/>
        </w:rPr>
        <w:fldChar w:fldCharType="begin"/>
      </w:r>
      <w:r>
        <w:rPr>
          <w:noProof/>
        </w:rPr>
        <w:instrText xml:space="preserve"> PAGEREF _Toc239065103 \h </w:instrText>
      </w:r>
      <w:r>
        <w:rPr>
          <w:noProof/>
        </w:rPr>
      </w:r>
      <w:r>
        <w:rPr>
          <w:noProof/>
        </w:rPr>
        <w:fldChar w:fldCharType="separate"/>
      </w:r>
      <w:r>
        <w:rPr>
          <w:noProof/>
        </w:rPr>
        <w:t>1</w:t>
      </w:r>
      <w:r>
        <w:rPr>
          <w:noProof/>
        </w:rPr>
        <w:fldChar w:fldCharType="end"/>
      </w:r>
    </w:p>
    <w:p w14:paraId="077B7385" w14:textId="0C4103CB" w:rsidR="006F56DB" w:rsidRDefault="006F56DB">
      <w:pPr>
        <w:pStyle w:val="TOC1"/>
        <w:tabs>
          <w:tab w:val="right" w:leader="dot" w:pos="9710"/>
        </w:tabs>
        <w:rPr>
          <w:rFonts w:eastAsiaTheme="minorEastAsia"/>
          <w:noProof/>
        </w:rPr>
      </w:pPr>
      <w:r>
        <w:rPr>
          <w:noProof/>
        </w:rPr>
        <w:t>Contents</w:t>
      </w:r>
      <w:r>
        <w:rPr>
          <w:noProof/>
        </w:rPr>
        <w:tab/>
      </w:r>
      <w:r>
        <w:rPr>
          <w:noProof/>
        </w:rPr>
        <w:fldChar w:fldCharType="begin"/>
      </w:r>
      <w:r>
        <w:rPr>
          <w:noProof/>
        </w:rPr>
        <w:instrText xml:space="preserve"> PAGEREF _Toc239065104 \h </w:instrText>
      </w:r>
      <w:r>
        <w:rPr>
          <w:noProof/>
        </w:rPr>
      </w:r>
      <w:r>
        <w:rPr>
          <w:noProof/>
        </w:rPr>
        <w:fldChar w:fldCharType="separate"/>
      </w:r>
      <w:r>
        <w:rPr>
          <w:noProof/>
        </w:rPr>
        <w:t>3</w:t>
      </w:r>
      <w:r>
        <w:rPr>
          <w:noProof/>
        </w:rPr>
        <w:fldChar w:fldCharType="end"/>
      </w:r>
    </w:p>
    <w:p w14:paraId="260B7AA1" w14:textId="39DB8E8E" w:rsidR="006F56DB" w:rsidRDefault="006F56DB">
      <w:pPr>
        <w:pStyle w:val="TOC1"/>
        <w:tabs>
          <w:tab w:val="right" w:leader="dot" w:pos="9710"/>
        </w:tabs>
        <w:rPr>
          <w:rFonts w:eastAsiaTheme="minorEastAsia"/>
          <w:noProof/>
        </w:rPr>
      </w:pPr>
      <w:r>
        <w:rPr>
          <w:noProof/>
        </w:rPr>
        <w:t>1. Pre-flight</w:t>
      </w:r>
      <w:r>
        <w:rPr>
          <w:noProof/>
        </w:rPr>
        <w:tab/>
      </w:r>
      <w:r>
        <w:rPr>
          <w:noProof/>
        </w:rPr>
        <w:fldChar w:fldCharType="begin"/>
      </w:r>
      <w:r>
        <w:rPr>
          <w:noProof/>
        </w:rPr>
        <w:instrText xml:space="preserve"> PAGEREF _Toc239065105 \h </w:instrText>
      </w:r>
      <w:r>
        <w:rPr>
          <w:noProof/>
        </w:rPr>
      </w:r>
      <w:r>
        <w:rPr>
          <w:noProof/>
        </w:rPr>
        <w:fldChar w:fldCharType="separate"/>
      </w:r>
      <w:r>
        <w:rPr>
          <w:noProof/>
        </w:rPr>
        <w:t>4</w:t>
      </w:r>
      <w:r>
        <w:rPr>
          <w:noProof/>
        </w:rPr>
        <w:fldChar w:fldCharType="end"/>
      </w:r>
    </w:p>
    <w:p w14:paraId="216C26A4" w14:textId="7D2BF314" w:rsidR="006F56DB" w:rsidRDefault="006F56DB">
      <w:pPr>
        <w:pStyle w:val="TOC2"/>
        <w:tabs>
          <w:tab w:val="right" w:leader="dot" w:pos="9710"/>
        </w:tabs>
        <w:rPr>
          <w:rFonts w:eastAsiaTheme="minorEastAsia"/>
          <w:noProof/>
        </w:rPr>
      </w:pPr>
      <w:r>
        <w:rPr>
          <w:noProof/>
        </w:rPr>
        <w:t>T-60 minutes - confirm the environment is alive</w:t>
      </w:r>
      <w:r>
        <w:rPr>
          <w:noProof/>
        </w:rPr>
        <w:tab/>
      </w:r>
      <w:r>
        <w:rPr>
          <w:noProof/>
        </w:rPr>
        <w:fldChar w:fldCharType="begin"/>
      </w:r>
      <w:r>
        <w:rPr>
          <w:noProof/>
        </w:rPr>
        <w:instrText xml:space="preserve"> PAGEREF _Toc239065106 \h </w:instrText>
      </w:r>
      <w:r>
        <w:rPr>
          <w:noProof/>
        </w:rPr>
      </w:r>
      <w:r>
        <w:rPr>
          <w:noProof/>
        </w:rPr>
        <w:fldChar w:fldCharType="separate"/>
      </w:r>
      <w:r>
        <w:rPr>
          <w:noProof/>
        </w:rPr>
        <w:t>4</w:t>
      </w:r>
      <w:r>
        <w:rPr>
          <w:noProof/>
        </w:rPr>
        <w:fldChar w:fldCharType="end"/>
      </w:r>
    </w:p>
    <w:p w14:paraId="4D13253D" w14:textId="566C3E71" w:rsidR="006F56DB" w:rsidRDefault="006F56DB">
      <w:pPr>
        <w:pStyle w:val="TOC2"/>
        <w:tabs>
          <w:tab w:val="right" w:leader="dot" w:pos="9710"/>
        </w:tabs>
        <w:rPr>
          <w:rFonts w:eastAsiaTheme="minorEastAsia"/>
          <w:noProof/>
        </w:rPr>
      </w:pPr>
      <w:r>
        <w:rPr>
          <w:noProof/>
        </w:rPr>
        <w:t>T-15 minutes - warm the gateway</w:t>
      </w:r>
      <w:r>
        <w:rPr>
          <w:noProof/>
        </w:rPr>
        <w:tab/>
      </w:r>
      <w:r>
        <w:rPr>
          <w:noProof/>
        </w:rPr>
        <w:fldChar w:fldCharType="begin"/>
      </w:r>
      <w:r>
        <w:rPr>
          <w:noProof/>
        </w:rPr>
        <w:instrText xml:space="preserve"> PAGEREF _Toc239065107 \h </w:instrText>
      </w:r>
      <w:r>
        <w:rPr>
          <w:noProof/>
        </w:rPr>
      </w:r>
      <w:r>
        <w:rPr>
          <w:noProof/>
        </w:rPr>
        <w:fldChar w:fldCharType="separate"/>
      </w:r>
      <w:r>
        <w:rPr>
          <w:noProof/>
        </w:rPr>
        <w:t>4</w:t>
      </w:r>
      <w:r>
        <w:rPr>
          <w:noProof/>
        </w:rPr>
        <w:fldChar w:fldCharType="end"/>
      </w:r>
    </w:p>
    <w:p w14:paraId="72886FD2" w14:textId="6BC040F7" w:rsidR="006F56DB" w:rsidRDefault="006F56DB">
      <w:pPr>
        <w:pStyle w:val="TOC2"/>
        <w:tabs>
          <w:tab w:val="right" w:leader="dot" w:pos="9710"/>
        </w:tabs>
        <w:rPr>
          <w:rFonts w:eastAsiaTheme="minorEastAsia"/>
          <w:noProof/>
        </w:rPr>
      </w:pPr>
      <w:r>
        <w:rPr>
          <w:noProof/>
        </w:rPr>
        <w:t>T-2 minutes - stage the browser</w:t>
      </w:r>
      <w:r>
        <w:rPr>
          <w:noProof/>
        </w:rPr>
        <w:tab/>
      </w:r>
      <w:r>
        <w:rPr>
          <w:noProof/>
        </w:rPr>
        <w:fldChar w:fldCharType="begin"/>
      </w:r>
      <w:r>
        <w:rPr>
          <w:noProof/>
        </w:rPr>
        <w:instrText xml:space="preserve"> PAGEREF _Toc239065108 \h </w:instrText>
      </w:r>
      <w:r>
        <w:rPr>
          <w:noProof/>
        </w:rPr>
      </w:r>
      <w:r>
        <w:rPr>
          <w:noProof/>
        </w:rPr>
        <w:fldChar w:fldCharType="separate"/>
      </w:r>
      <w:r>
        <w:rPr>
          <w:noProof/>
        </w:rPr>
        <w:t>4</w:t>
      </w:r>
      <w:r>
        <w:rPr>
          <w:noProof/>
        </w:rPr>
        <w:fldChar w:fldCharType="end"/>
      </w:r>
    </w:p>
    <w:p w14:paraId="7736C33F" w14:textId="311CE3B7" w:rsidR="006F56DB" w:rsidRDefault="006F56DB">
      <w:pPr>
        <w:pStyle w:val="TOC1"/>
        <w:tabs>
          <w:tab w:val="right" w:leader="dot" w:pos="9710"/>
        </w:tabs>
        <w:rPr>
          <w:rFonts w:eastAsiaTheme="minorEastAsia"/>
          <w:noProof/>
        </w:rPr>
      </w:pPr>
      <w:r>
        <w:rPr>
          <w:noProof/>
        </w:rPr>
        <w:t>2. Environment reference</w:t>
      </w:r>
      <w:r>
        <w:rPr>
          <w:noProof/>
        </w:rPr>
        <w:tab/>
      </w:r>
      <w:r>
        <w:rPr>
          <w:noProof/>
        </w:rPr>
        <w:fldChar w:fldCharType="begin"/>
      </w:r>
      <w:r>
        <w:rPr>
          <w:noProof/>
        </w:rPr>
        <w:instrText xml:space="preserve"> PAGEREF _Toc239065109 \h </w:instrText>
      </w:r>
      <w:r>
        <w:rPr>
          <w:noProof/>
        </w:rPr>
      </w:r>
      <w:r>
        <w:rPr>
          <w:noProof/>
        </w:rPr>
        <w:fldChar w:fldCharType="separate"/>
      </w:r>
      <w:r>
        <w:rPr>
          <w:noProof/>
        </w:rPr>
        <w:t>6</w:t>
      </w:r>
      <w:r>
        <w:rPr>
          <w:noProof/>
        </w:rPr>
        <w:fldChar w:fldCharType="end"/>
      </w:r>
    </w:p>
    <w:p w14:paraId="0AED40C0" w14:textId="305E8740" w:rsidR="006F56DB" w:rsidRDefault="006F56DB">
      <w:pPr>
        <w:pStyle w:val="TOC2"/>
        <w:tabs>
          <w:tab w:val="right" w:leader="dot" w:pos="9710"/>
        </w:tabs>
        <w:rPr>
          <w:rFonts w:eastAsiaTheme="minorEastAsia"/>
          <w:noProof/>
        </w:rPr>
      </w:pPr>
      <w:r>
        <w:rPr>
          <w:noProof/>
        </w:rPr>
        <w:t>The four APIM APIs</w:t>
      </w:r>
      <w:r>
        <w:rPr>
          <w:noProof/>
        </w:rPr>
        <w:tab/>
      </w:r>
      <w:r>
        <w:rPr>
          <w:noProof/>
        </w:rPr>
        <w:fldChar w:fldCharType="begin"/>
      </w:r>
      <w:r>
        <w:rPr>
          <w:noProof/>
        </w:rPr>
        <w:instrText xml:space="preserve"> PAGEREF _Toc239065110 \h </w:instrText>
      </w:r>
      <w:r>
        <w:rPr>
          <w:noProof/>
        </w:rPr>
      </w:r>
      <w:r>
        <w:rPr>
          <w:noProof/>
        </w:rPr>
        <w:fldChar w:fldCharType="separate"/>
      </w:r>
      <w:r>
        <w:rPr>
          <w:noProof/>
        </w:rPr>
        <w:t>6</w:t>
      </w:r>
      <w:r>
        <w:rPr>
          <w:noProof/>
        </w:rPr>
        <w:fldChar w:fldCharType="end"/>
      </w:r>
    </w:p>
    <w:p w14:paraId="4AD9B8C7" w14:textId="4336B7A8" w:rsidR="006F56DB" w:rsidRDefault="006F56DB">
      <w:pPr>
        <w:pStyle w:val="TOC1"/>
        <w:tabs>
          <w:tab w:val="right" w:leader="dot" w:pos="9710"/>
        </w:tabs>
        <w:rPr>
          <w:rFonts w:eastAsiaTheme="minorEastAsia"/>
          <w:noProof/>
        </w:rPr>
      </w:pPr>
      <w:r>
        <w:rPr>
          <w:noProof/>
        </w:rPr>
        <w:t>3. Run of show</w:t>
      </w:r>
      <w:r>
        <w:rPr>
          <w:noProof/>
        </w:rPr>
        <w:tab/>
      </w:r>
      <w:r>
        <w:rPr>
          <w:noProof/>
        </w:rPr>
        <w:fldChar w:fldCharType="begin"/>
      </w:r>
      <w:r>
        <w:rPr>
          <w:noProof/>
        </w:rPr>
        <w:instrText xml:space="preserve"> PAGEREF _Toc239065111 \h </w:instrText>
      </w:r>
      <w:r>
        <w:rPr>
          <w:noProof/>
        </w:rPr>
      </w:r>
      <w:r>
        <w:rPr>
          <w:noProof/>
        </w:rPr>
        <w:fldChar w:fldCharType="separate"/>
      </w:r>
      <w:r>
        <w:rPr>
          <w:noProof/>
        </w:rPr>
        <w:t>7</w:t>
      </w:r>
      <w:r>
        <w:rPr>
          <w:noProof/>
        </w:rPr>
        <w:fldChar w:fldCharType="end"/>
      </w:r>
    </w:p>
    <w:p w14:paraId="1D927885" w14:textId="52D32416" w:rsidR="006F56DB" w:rsidRDefault="006F56DB">
      <w:pPr>
        <w:pStyle w:val="TOC1"/>
        <w:tabs>
          <w:tab w:val="right" w:leader="dot" w:pos="9710"/>
        </w:tabs>
        <w:rPr>
          <w:rFonts w:eastAsiaTheme="minorEastAsia"/>
          <w:noProof/>
        </w:rPr>
      </w:pPr>
      <w:r>
        <w:rPr>
          <w:noProof/>
        </w:rPr>
        <w:t>4. Demo segments</w:t>
      </w:r>
      <w:r>
        <w:rPr>
          <w:noProof/>
        </w:rPr>
        <w:tab/>
      </w:r>
      <w:r>
        <w:rPr>
          <w:noProof/>
        </w:rPr>
        <w:fldChar w:fldCharType="begin"/>
      </w:r>
      <w:r>
        <w:rPr>
          <w:noProof/>
        </w:rPr>
        <w:instrText xml:space="preserve"> PAGEREF _Toc239065112 \h </w:instrText>
      </w:r>
      <w:r>
        <w:rPr>
          <w:noProof/>
        </w:rPr>
      </w:r>
      <w:r>
        <w:rPr>
          <w:noProof/>
        </w:rPr>
        <w:fldChar w:fldCharType="separate"/>
      </w:r>
      <w:r>
        <w:rPr>
          <w:noProof/>
        </w:rPr>
        <w:t>8</w:t>
      </w:r>
      <w:r>
        <w:rPr>
          <w:noProof/>
        </w:rPr>
        <w:fldChar w:fldCharType="end"/>
      </w:r>
    </w:p>
    <w:p w14:paraId="17265212" w14:textId="1B2B4ED2" w:rsidR="006F56DB" w:rsidRDefault="006F56DB">
      <w:pPr>
        <w:pStyle w:val="TOC2"/>
        <w:tabs>
          <w:tab w:val="right" w:leader="dot" w:pos="9710"/>
        </w:tabs>
        <w:rPr>
          <w:rFonts w:eastAsiaTheme="minorEastAsia"/>
          <w:noProof/>
        </w:rPr>
      </w:pPr>
      <w:r>
        <w:rPr>
          <w:noProof/>
        </w:rPr>
        <w:t>Segment A - Physical separation is real, not a diagram</w:t>
      </w:r>
      <w:r>
        <w:rPr>
          <w:noProof/>
        </w:rPr>
        <w:tab/>
      </w:r>
      <w:r>
        <w:rPr>
          <w:noProof/>
        </w:rPr>
        <w:fldChar w:fldCharType="begin"/>
      </w:r>
      <w:r>
        <w:rPr>
          <w:noProof/>
        </w:rPr>
        <w:instrText xml:space="preserve"> PAGEREF _Toc239065113 \h </w:instrText>
      </w:r>
      <w:r>
        <w:rPr>
          <w:noProof/>
        </w:rPr>
      </w:r>
      <w:r>
        <w:rPr>
          <w:noProof/>
        </w:rPr>
        <w:fldChar w:fldCharType="separate"/>
      </w:r>
      <w:r>
        <w:rPr>
          <w:noProof/>
        </w:rPr>
        <w:t>8</w:t>
      </w:r>
      <w:r>
        <w:rPr>
          <w:noProof/>
        </w:rPr>
        <w:fldChar w:fldCharType="end"/>
      </w:r>
    </w:p>
    <w:p w14:paraId="34274884" w14:textId="09EB99D5" w:rsidR="006F56DB" w:rsidRDefault="006F56DB">
      <w:pPr>
        <w:pStyle w:val="TOC2"/>
        <w:tabs>
          <w:tab w:val="right" w:leader="dot" w:pos="9710"/>
        </w:tabs>
        <w:rPr>
          <w:rFonts w:eastAsiaTheme="minorEastAsia"/>
          <w:noProof/>
        </w:rPr>
      </w:pPr>
      <w:r>
        <w:rPr>
          <w:noProof/>
        </w:rPr>
        <w:t>Segment B - Four routes: the direction split</w:t>
      </w:r>
      <w:r>
        <w:rPr>
          <w:noProof/>
        </w:rPr>
        <w:tab/>
      </w:r>
      <w:r>
        <w:rPr>
          <w:noProof/>
        </w:rPr>
        <w:fldChar w:fldCharType="begin"/>
      </w:r>
      <w:r>
        <w:rPr>
          <w:noProof/>
        </w:rPr>
        <w:instrText xml:space="preserve"> PAGEREF _Toc239065114 \h </w:instrText>
      </w:r>
      <w:r>
        <w:rPr>
          <w:noProof/>
        </w:rPr>
      </w:r>
      <w:r>
        <w:rPr>
          <w:noProof/>
        </w:rPr>
        <w:fldChar w:fldCharType="separate"/>
      </w:r>
      <w:r>
        <w:rPr>
          <w:noProof/>
        </w:rPr>
        <w:t>8</w:t>
      </w:r>
      <w:r>
        <w:rPr>
          <w:noProof/>
        </w:rPr>
        <w:fldChar w:fldCharType="end"/>
      </w:r>
    </w:p>
    <w:p w14:paraId="6215D0D5" w14:textId="7CB873DB" w:rsidR="006F56DB" w:rsidRDefault="006F56DB">
      <w:pPr>
        <w:pStyle w:val="TOC2"/>
        <w:tabs>
          <w:tab w:val="right" w:leader="dot" w:pos="9710"/>
        </w:tabs>
        <w:rPr>
          <w:rFonts w:eastAsiaTheme="minorEastAsia"/>
          <w:noProof/>
        </w:rPr>
      </w:pPr>
      <w:r>
        <w:rPr>
          <w:noProof/>
        </w:rPr>
        <w:t>Segment C - The outbound policy, read top to bottom</w:t>
      </w:r>
      <w:r>
        <w:rPr>
          <w:noProof/>
        </w:rPr>
        <w:tab/>
      </w:r>
      <w:r>
        <w:rPr>
          <w:noProof/>
        </w:rPr>
        <w:fldChar w:fldCharType="begin"/>
      </w:r>
      <w:r>
        <w:rPr>
          <w:noProof/>
        </w:rPr>
        <w:instrText xml:space="preserve"> PAGEREF _Toc239065115 \h </w:instrText>
      </w:r>
      <w:r>
        <w:rPr>
          <w:noProof/>
        </w:rPr>
      </w:r>
      <w:r>
        <w:rPr>
          <w:noProof/>
        </w:rPr>
        <w:fldChar w:fldCharType="separate"/>
      </w:r>
      <w:r>
        <w:rPr>
          <w:noProof/>
        </w:rPr>
        <w:t>9</w:t>
      </w:r>
      <w:r>
        <w:rPr>
          <w:noProof/>
        </w:rPr>
        <w:fldChar w:fldCharType="end"/>
      </w:r>
    </w:p>
    <w:p w14:paraId="79F97642" w14:textId="2B218A1C" w:rsidR="006F56DB" w:rsidRDefault="006F56DB">
      <w:pPr>
        <w:pStyle w:val="TOC2"/>
        <w:tabs>
          <w:tab w:val="right" w:leader="dot" w:pos="9710"/>
        </w:tabs>
        <w:rPr>
          <w:rFonts w:eastAsiaTheme="minorEastAsia"/>
          <w:noProof/>
        </w:rPr>
      </w:pPr>
      <w:r>
        <w:rPr>
          <w:noProof/>
        </w:rPr>
        <w:t>Segment D - Entitlements are data, not code</w:t>
      </w:r>
      <w:r>
        <w:rPr>
          <w:noProof/>
        </w:rPr>
        <w:tab/>
      </w:r>
      <w:r>
        <w:rPr>
          <w:noProof/>
        </w:rPr>
        <w:fldChar w:fldCharType="begin"/>
      </w:r>
      <w:r>
        <w:rPr>
          <w:noProof/>
        </w:rPr>
        <w:instrText xml:space="preserve"> PAGEREF _Toc239065116 \h </w:instrText>
      </w:r>
      <w:r>
        <w:rPr>
          <w:noProof/>
        </w:rPr>
      </w:r>
      <w:r>
        <w:rPr>
          <w:noProof/>
        </w:rPr>
        <w:fldChar w:fldCharType="separate"/>
      </w:r>
      <w:r>
        <w:rPr>
          <w:noProof/>
        </w:rPr>
        <w:t>10</w:t>
      </w:r>
      <w:r>
        <w:rPr>
          <w:noProof/>
        </w:rPr>
        <w:fldChar w:fldCharType="end"/>
      </w:r>
    </w:p>
    <w:p w14:paraId="723ABDFB" w14:textId="0927D55A" w:rsidR="006F56DB" w:rsidRDefault="006F56DB">
      <w:pPr>
        <w:pStyle w:val="TOC2"/>
        <w:tabs>
          <w:tab w:val="right" w:leader="dot" w:pos="9710"/>
        </w:tabs>
        <w:rPr>
          <w:rFonts w:eastAsiaTheme="minorEastAsia"/>
          <w:noProof/>
        </w:rPr>
      </w:pPr>
      <w:r>
        <w:rPr>
          <w:noProof/>
        </w:rPr>
        <w:t>Segment E - Why the gateway cannot be bypassed</w:t>
      </w:r>
      <w:r>
        <w:rPr>
          <w:noProof/>
        </w:rPr>
        <w:tab/>
      </w:r>
      <w:r>
        <w:rPr>
          <w:noProof/>
        </w:rPr>
        <w:fldChar w:fldCharType="begin"/>
      </w:r>
      <w:r>
        <w:rPr>
          <w:noProof/>
        </w:rPr>
        <w:instrText xml:space="preserve"> PAGEREF _Toc239065117 \h </w:instrText>
      </w:r>
      <w:r>
        <w:rPr>
          <w:noProof/>
        </w:rPr>
      </w:r>
      <w:r>
        <w:rPr>
          <w:noProof/>
        </w:rPr>
        <w:fldChar w:fldCharType="separate"/>
      </w:r>
      <w:r>
        <w:rPr>
          <w:noProof/>
        </w:rPr>
        <w:t>11</w:t>
      </w:r>
      <w:r>
        <w:rPr>
          <w:noProof/>
        </w:rPr>
        <w:fldChar w:fldCharType="end"/>
      </w:r>
    </w:p>
    <w:p w14:paraId="529737B3" w14:textId="583B8DCE" w:rsidR="006F56DB" w:rsidRDefault="006F56DB">
      <w:pPr>
        <w:pStyle w:val="TOC2"/>
        <w:tabs>
          <w:tab w:val="right" w:leader="dot" w:pos="9710"/>
        </w:tabs>
        <w:rPr>
          <w:rFonts w:eastAsiaTheme="minorEastAsia"/>
          <w:noProof/>
        </w:rPr>
      </w:pPr>
      <w:r>
        <w:rPr>
          <w:noProof/>
        </w:rPr>
        <w:t>Segment F - The live proof run</w:t>
      </w:r>
      <w:r>
        <w:rPr>
          <w:noProof/>
        </w:rPr>
        <w:tab/>
      </w:r>
      <w:r>
        <w:rPr>
          <w:noProof/>
        </w:rPr>
        <w:fldChar w:fldCharType="begin"/>
      </w:r>
      <w:r>
        <w:rPr>
          <w:noProof/>
        </w:rPr>
        <w:instrText xml:space="preserve"> PAGEREF _Toc239065118 \h </w:instrText>
      </w:r>
      <w:r>
        <w:rPr>
          <w:noProof/>
        </w:rPr>
      </w:r>
      <w:r>
        <w:rPr>
          <w:noProof/>
        </w:rPr>
        <w:fldChar w:fldCharType="separate"/>
      </w:r>
      <w:r>
        <w:rPr>
          <w:noProof/>
        </w:rPr>
        <w:t>14</w:t>
      </w:r>
      <w:r>
        <w:rPr>
          <w:noProof/>
        </w:rPr>
        <w:fldChar w:fldCharType="end"/>
      </w:r>
    </w:p>
    <w:p w14:paraId="0E40AF10" w14:textId="69725D2A" w:rsidR="006F56DB" w:rsidRDefault="006F56DB">
      <w:pPr>
        <w:pStyle w:val="TOC2"/>
        <w:tabs>
          <w:tab w:val="right" w:leader="dot" w:pos="9710"/>
        </w:tabs>
        <w:rPr>
          <w:rFonts w:eastAsiaTheme="minorEastAsia"/>
          <w:noProof/>
        </w:rPr>
      </w:pPr>
      <w:r>
        <w:rPr>
          <w:noProof/>
        </w:rPr>
        <w:t>Segment G - Rate limiting and the service limits conversation</w:t>
      </w:r>
      <w:r>
        <w:rPr>
          <w:noProof/>
        </w:rPr>
        <w:tab/>
      </w:r>
      <w:r>
        <w:rPr>
          <w:noProof/>
        </w:rPr>
        <w:fldChar w:fldCharType="begin"/>
      </w:r>
      <w:r>
        <w:rPr>
          <w:noProof/>
        </w:rPr>
        <w:instrText xml:space="preserve"> PAGEREF _Toc239065119 \h </w:instrText>
      </w:r>
      <w:r>
        <w:rPr>
          <w:noProof/>
        </w:rPr>
      </w:r>
      <w:r>
        <w:rPr>
          <w:noProof/>
        </w:rPr>
        <w:fldChar w:fldCharType="separate"/>
      </w:r>
      <w:r>
        <w:rPr>
          <w:noProof/>
        </w:rPr>
        <w:t>15</w:t>
      </w:r>
      <w:r>
        <w:rPr>
          <w:noProof/>
        </w:rPr>
        <w:fldChar w:fldCharType="end"/>
      </w:r>
    </w:p>
    <w:p w14:paraId="6288B4E7" w14:textId="6558C25B" w:rsidR="006F56DB" w:rsidRDefault="006F56DB">
      <w:pPr>
        <w:pStyle w:val="TOC2"/>
        <w:tabs>
          <w:tab w:val="right" w:leader="dot" w:pos="9710"/>
        </w:tabs>
        <w:rPr>
          <w:rFonts w:eastAsiaTheme="minorEastAsia"/>
          <w:noProof/>
        </w:rPr>
      </w:pPr>
      <w:r>
        <w:rPr>
          <w:noProof/>
        </w:rPr>
        <w:t>Segment H - The inbound policy, mirrored</w:t>
      </w:r>
      <w:r>
        <w:rPr>
          <w:noProof/>
        </w:rPr>
        <w:tab/>
      </w:r>
      <w:r>
        <w:rPr>
          <w:noProof/>
        </w:rPr>
        <w:fldChar w:fldCharType="begin"/>
      </w:r>
      <w:r>
        <w:rPr>
          <w:noProof/>
        </w:rPr>
        <w:instrText xml:space="preserve"> PAGEREF _Toc239065120 \h </w:instrText>
      </w:r>
      <w:r>
        <w:rPr>
          <w:noProof/>
        </w:rPr>
      </w:r>
      <w:r>
        <w:rPr>
          <w:noProof/>
        </w:rPr>
        <w:fldChar w:fldCharType="separate"/>
      </w:r>
      <w:r>
        <w:rPr>
          <w:noProof/>
        </w:rPr>
        <w:t>15</w:t>
      </w:r>
      <w:r>
        <w:rPr>
          <w:noProof/>
        </w:rPr>
        <w:fldChar w:fldCharType="end"/>
      </w:r>
    </w:p>
    <w:p w14:paraId="3190F5AF" w14:textId="3C0F10FC" w:rsidR="006F56DB" w:rsidRDefault="006F56DB">
      <w:pPr>
        <w:pStyle w:val="TOC1"/>
        <w:tabs>
          <w:tab w:val="right" w:leader="dot" w:pos="9710"/>
        </w:tabs>
        <w:rPr>
          <w:rFonts w:eastAsiaTheme="minorEastAsia"/>
          <w:noProof/>
        </w:rPr>
      </w:pPr>
      <w:r>
        <w:rPr>
          <w:noProof/>
        </w:rPr>
        <w:t>5. What each assertion proves</w:t>
      </w:r>
      <w:r>
        <w:rPr>
          <w:noProof/>
        </w:rPr>
        <w:tab/>
      </w:r>
      <w:r>
        <w:rPr>
          <w:noProof/>
        </w:rPr>
        <w:fldChar w:fldCharType="begin"/>
      </w:r>
      <w:r>
        <w:rPr>
          <w:noProof/>
        </w:rPr>
        <w:instrText xml:space="preserve"> PAGEREF _Toc239065121 \h </w:instrText>
      </w:r>
      <w:r>
        <w:rPr>
          <w:noProof/>
        </w:rPr>
      </w:r>
      <w:r>
        <w:rPr>
          <w:noProof/>
        </w:rPr>
        <w:fldChar w:fldCharType="separate"/>
      </w:r>
      <w:r>
        <w:rPr>
          <w:noProof/>
        </w:rPr>
        <w:t>17</w:t>
      </w:r>
      <w:r>
        <w:rPr>
          <w:noProof/>
        </w:rPr>
        <w:fldChar w:fldCharType="end"/>
      </w:r>
    </w:p>
    <w:p w14:paraId="212E0667" w14:textId="33A1A0F8" w:rsidR="006F56DB" w:rsidRDefault="006F56DB">
      <w:pPr>
        <w:pStyle w:val="TOC1"/>
        <w:tabs>
          <w:tab w:val="right" w:leader="dot" w:pos="9710"/>
        </w:tabs>
        <w:rPr>
          <w:rFonts w:eastAsiaTheme="minorEastAsia"/>
          <w:noProof/>
        </w:rPr>
      </w:pPr>
      <w:r>
        <w:rPr>
          <w:noProof/>
        </w:rPr>
        <w:t>6. Anticipated questions</w:t>
      </w:r>
      <w:r>
        <w:rPr>
          <w:noProof/>
        </w:rPr>
        <w:tab/>
      </w:r>
      <w:r>
        <w:rPr>
          <w:noProof/>
        </w:rPr>
        <w:fldChar w:fldCharType="begin"/>
      </w:r>
      <w:r>
        <w:rPr>
          <w:noProof/>
        </w:rPr>
        <w:instrText xml:space="preserve"> PAGEREF _Toc239065122 \h </w:instrText>
      </w:r>
      <w:r>
        <w:rPr>
          <w:noProof/>
        </w:rPr>
      </w:r>
      <w:r>
        <w:rPr>
          <w:noProof/>
        </w:rPr>
        <w:fldChar w:fldCharType="separate"/>
      </w:r>
      <w:r>
        <w:rPr>
          <w:noProof/>
        </w:rPr>
        <w:t>18</w:t>
      </w:r>
      <w:r>
        <w:rPr>
          <w:noProof/>
        </w:rPr>
        <w:fldChar w:fldCharType="end"/>
      </w:r>
    </w:p>
    <w:p w14:paraId="7DB8705C" w14:textId="24EE63D8" w:rsidR="006F56DB" w:rsidRDefault="006F56DB">
      <w:pPr>
        <w:pStyle w:val="TOC1"/>
        <w:tabs>
          <w:tab w:val="right" w:leader="dot" w:pos="9710"/>
        </w:tabs>
        <w:rPr>
          <w:rFonts w:eastAsiaTheme="minorEastAsia"/>
          <w:noProof/>
        </w:rPr>
      </w:pPr>
      <w:r>
        <w:rPr>
          <w:noProof/>
        </w:rPr>
        <w:t>7. Decisions to close</w:t>
      </w:r>
      <w:r>
        <w:rPr>
          <w:noProof/>
        </w:rPr>
        <w:tab/>
      </w:r>
      <w:r>
        <w:rPr>
          <w:noProof/>
        </w:rPr>
        <w:fldChar w:fldCharType="begin"/>
      </w:r>
      <w:r>
        <w:rPr>
          <w:noProof/>
        </w:rPr>
        <w:instrText xml:space="preserve"> PAGEREF _Toc239065123 \h </w:instrText>
      </w:r>
      <w:r>
        <w:rPr>
          <w:noProof/>
        </w:rPr>
      </w:r>
      <w:r>
        <w:rPr>
          <w:noProof/>
        </w:rPr>
        <w:fldChar w:fldCharType="separate"/>
      </w:r>
      <w:r>
        <w:rPr>
          <w:noProof/>
        </w:rPr>
        <w:t>20</w:t>
      </w:r>
      <w:r>
        <w:rPr>
          <w:noProof/>
        </w:rPr>
        <w:fldChar w:fldCharType="end"/>
      </w:r>
    </w:p>
    <w:p w14:paraId="27BB7C8C" w14:textId="09B1970D" w:rsidR="006F56DB" w:rsidRDefault="006F56DB">
      <w:pPr>
        <w:pStyle w:val="TOC2"/>
        <w:tabs>
          <w:tab w:val="right" w:leader="dot" w:pos="9710"/>
        </w:tabs>
        <w:rPr>
          <w:rFonts w:eastAsiaTheme="minorEastAsia"/>
          <w:noProof/>
        </w:rPr>
      </w:pPr>
      <w:r>
        <w:rPr>
          <w:noProof/>
        </w:rPr>
        <w:t>Actions</w:t>
      </w:r>
      <w:r>
        <w:rPr>
          <w:noProof/>
        </w:rPr>
        <w:tab/>
      </w:r>
      <w:r>
        <w:rPr>
          <w:noProof/>
        </w:rPr>
        <w:fldChar w:fldCharType="begin"/>
      </w:r>
      <w:r>
        <w:rPr>
          <w:noProof/>
        </w:rPr>
        <w:instrText xml:space="preserve"> PAGEREF _Toc239065124 \h </w:instrText>
      </w:r>
      <w:r>
        <w:rPr>
          <w:noProof/>
        </w:rPr>
      </w:r>
      <w:r>
        <w:rPr>
          <w:noProof/>
        </w:rPr>
        <w:fldChar w:fldCharType="separate"/>
      </w:r>
      <w:r>
        <w:rPr>
          <w:noProof/>
        </w:rPr>
        <w:t>20</w:t>
      </w:r>
      <w:r>
        <w:rPr>
          <w:noProof/>
        </w:rPr>
        <w:fldChar w:fldCharType="end"/>
      </w:r>
    </w:p>
    <w:p w14:paraId="5EA5DBE7" w14:textId="7DD2D4BF" w:rsidR="006F56DB" w:rsidRDefault="006F56DB">
      <w:pPr>
        <w:pStyle w:val="TOC2"/>
        <w:tabs>
          <w:tab w:val="right" w:leader="dot" w:pos="9710"/>
        </w:tabs>
        <w:rPr>
          <w:rFonts w:eastAsiaTheme="minorEastAsia"/>
          <w:noProof/>
        </w:rPr>
      </w:pPr>
      <w:r>
        <w:rPr>
          <w:noProof/>
        </w:rPr>
        <w:t>Out of scope for this session</w:t>
      </w:r>
      <w:r>
        <w:rPr>
          <w:noProof/>
        </w:rPr>
        <w:tab/>
      </w:r>
      <w:r>
        <w:rPr>
          <w:noProof/>
        </w:rPr>
        <w:fldChar w:fldCharType="begin"/>
      </w:r>
      <w:r>
        <w:rPr>
          <w:noProof/>
        </w:rPr>
        <w:instrText xml:space="preserve"> PAGEREF _Toc239065125 \h </w:instrText>
      </w:r>
      <w:r>
        <w:rPr>
          <w:noProof/>
        </w:rPr>
      </w:r>
      <w:r>
        <w:rPr>
          <w:noProof/>
        </w:rPr>
        <w:fldChar w:fldCharType="separate"/>
      </w:r>
      <w:r>
        <w:rPr>
          <w:noProof/>
        </w:rPr>
        <w:t>20</w:t>
      </w:r>
      <w:r>
        <w:rPr>
          <w:noProof/>
        </w:rPr>
        <w:fldChar w:fldCharType="end"/>
      </w:r>
    </w:p>
    <w:p w14:paraId="3EB37CCA" w14:textId="1BF20CFB" w:rsidR="006F56DB" w:rsidRDefault="006F56DB" w:rsidP="006F56DB">
      <w:r>
        <w:fldChar w:fldCharType="end"/>
      </w:r>
    </w:p>
    <w:p w14:paraId="17CF4AF2" w14:textId="77777777" w:rsidR="006F56DB" w:rsidRDefault="006F56DB">
      <w:r>
        <w:br w:type="page"/>
      </w:r>
    </w:p>
    <w:p w14:paraId="3323554B" w14:textId="5530329A" w:rsidR="006F56DB" w:rsidRDefault="006F56DB" w:rsidP="006F56DB">
      <w:pPr>
        <w:pStyle w:val="Heading1"/>
        <w:spacing w:after="160"/>
      </w:pPr>
      <w:bookmarkStart w:id="2" w:name="_Toc239065105"/>
      <w:r w:rsidRPr="006F56DB">
        <w:t>1. Pre-flight</w:t>
      </w:r>
      <w:bookmarkEnd w:id="2"/>
    </w:p>
    <w:p w14:paraId="7C36B19F" w14:textId="6933B005" w:rsidR="006F56DB" w:rsidRDefault="006F56DB" w:rsidP="006F56DB">
      <w:pPr>
        <w:spacing w:after="120"/>
      </w:pPr>
      <w:r w:rsidRPr="006F56DB">
        <w:t>Three checkpoints. Do not skip the warm-up: a cold Basic v2 gateway can add several seconds to the first call, which reads as a failure in front of an audience.</w:t>
      </w:r>
    </w:p>
    <w:p w14:paraId="08CC884F" w14:textId="6BFCA7AD" w:rsidR="006F56DB" w:rsidRDefault="006F56DB" w:rsidP="006F56DB">
      <w:pPr>
        <w:pStyle w:val="Heading2"/>
        <w:spacing w:after="160"/>
      </w:pPr>
      <w:bookmarkStart w:id="3" w:name="_Toc239065106"/>
      <w:r w:rsidRPr="006F56DB">
        <w:t>T-60 minutes - confirm the environment is alive</w:t>
      </w:r>
      <w:bookmarkEnd w:id="3"/>
    </w:p>
    <w:p w14:paraId="74B28EAA" w14:textId="3A35BB38" w:rsidR="006F56DB" w:rsidRDefault="006F56DB" w:rsidP="006F56DB">
      <w:pPr>
        <w:spacing w:after="0"/>
      </w:pPr>
      <w:r w:rsidRPr="006F56DB">
        <w:t>cd "&lt;repo&gt;/CMS DQM POC/v4"</w:t>
      </w:r>
    </w:p>
    <w:p w14:paraId="7EE3640E" w14:textId="73957477" w:rsidR="006F56DB" w:rsidRDefault="006F56DB" w:rsidP="006F56DB">
      <w:pPr>
        <w:spacing w:after="0"/>
      </w:pPr>
      <w:r w:rsidRPr="006F56DB">
        <w:t>az account set --subscription 00000000-0000-0000-0000-000000000000</w:t>
      </w:r>
    </w:p>
    <w:p w14:paraId="6F364FC8" w14:textId="157C23FF" w:rsidR="006F56DB" w:rsidRDefault="006F56DB" w:rsidP="006F56DB">
      <w:pPr>
        <w:spacing w:after="0"/>
      </w:pPr>
      <w:r w:rsidRPr="006F56DB">
        <w:t>./scripts/show-env.ps1</w:t>
      </w:r>
    </w:p>
    <w:p w14:paraId="4776382C" w14:textId="77777777" w:rsidR="006F56DB" w:rsidRDefault="006F56DB" w:rsidP="006F56DB">
      <w:pPr>
        <w:spacing w:after="120"/>
      </w:pPr>
    </w:p>
    <w:p w14:paraId="03EDBCE9" w14:textId="7548619B" w:rsidR="006F56DB" w:rsidRDefault="006F56DB" w:rsidP="006F56DB">
      <w:r w:rsidRPr="006F56DB">
        <w:t>EXPECT:  Resource names print, including apim-poc-ahds-demo01 and both FHIR services. If the resource group was deleted to save cost, rebuild now - allow about 20 minutes, almost all of it API Management.</w:t>
      </w:r>
    </w:p>
    <w:p w14:paraId="2550CE6D" w14:textId="45452283" w:rsidR="006F56DB" w:rsidRDefault="006F56DB" w:rsidP="006F56DB">
      <w:pPr>
        <w:pStyle w:val="Heading2"/>
        <w:spacing w:after="160"/>
      </w:pPr>
      <w:bookmarkStart w:id="4" w:name="_Toc239065107"/>
      <w:r w:rsidRPr="006F56DB">
        <w:t>T-15 minutes - warm the gateway</w:t>
      </w:r>
      <w:bookmarkEnd w:id="4"/>
    </w:p>
    <w:p w14:paraId="32D515F0" w14:textId="16453F5F" w:rsidR="006F56DB" w:rsidRDefault="006F56DB" w:rsidP="006F56DB">
      <w:pPr>
        <w:spacing w:after="0"/>
      </w:pPr>
      <w:r w:rsidRPr="006F56DB">
        <w:t>./scripts/run-isolation-tests.ps1 | Out-Null</w:t>
      </w:r>
    </w:p>
    <w:p w14:paraId="1708BACD" w14:textId="77777777" w:rsidR="006F56DB" w:rsidRDefault="006F56DB" w:rsidP="006F56DB">
      <w:pPr>
        <w:spacing w:after="120"/>
      </w:pPr>
    </w:p>
    <w:p w14:paraId="1D2A64DC" w14:textId="43AF005C" w:rsidR="006F56DB" w:rsidRDefault="006F56DB" w:rsidP="006F56DB">
      <w:r w:rsidRPr="006F56DB">
        <w:t>EXPECT:  Completes silently. This warms the gateway and pre-JITs the policy expressions.</w:t>
      </w:r>
    </w:p>
    <w:p w14:paraId="7A6D8A6A" w14:textId="18427AAD" w:rsidR="006F56DB" w:rsidRDefault="006F56DB" w:rsidP="006F56DB">
      <w:pPr>
        <w:spacing w:after="200"/>
      </w:pPr>
      <w:r w:rsidRPr="006F56DB">
        <w:t>IF IT FAILS:  If it throws, run it again without the pipe and read the error. A 401 usually means the CLI token expired - run az login and retry.</w:t>
      </w:r>
    </w:p>
    <w:p w14:paraId="7DABF7CF" w14:textId="441CB984" w:rsidR="006F56DB" w:rsidRDefault="006F56DB" w:rsidP="006F56DB">
      <w:pPr>
        <w:spacing w:after="200"/>
      </w:pPr>
      <w:r w:rsidRPr="006F56DB">
        <w:t>Then wait five minutes before the live run, or pass -SkipThrottleTest. The export concurrency lock is per payer and is held for 300 seconds; running too soon turns assertion 2 red for the wrong reason.</w:t>
      </w:r>
    </w:p>
    <w:p w14:paraId="673032FC" w14:textId="4D8914AB" w:rsidR="006F56DB" w:rsidRDefault="006F56DB" w:rsidP="006F56DB">
      <w:pPr>
        <w:pStyle w:val="Heading2"/>
        <w:spacing w:after="160"/>
      </w:pPr>
      <w:bookmarkStart w:id="5" w:name="_Toc239065108"/>
      <w:r w:rsidRPr="006F56DB">
        <w:t>T-2 minutes - stage the browser</w:t>
      </w:r>
      <w:bookmarkEnd w:id="5"/>
    </w:p>
    <w:p w14:paraId="4160F679" w14:textId="28EC3922" w:rsidR="006F56DB" w:rsidRDefault="006F56DB" w:rsidP="006F56DB">
      <w:pPr>
        <w:spacing w:after="120"/>
      </w:pPr>
      <w:r w:rsidRPr="006F56DB">
        <w:t>Open these tabs in order, left to right. You will move through them without searching.</w:t>
      </w:r>
    </w:p>
    <w:tbl>
      <w:tblPr>
        <w:tblStyle w:val="TableGrid"/>
        <w:tblW w:w="5000" w:type="pct"/>
        <w:tblLook w:val="04A0" w:firstRow="1" w:lastRow="0" w:firstColumn="1" w:lastColumn="0" w:noHBand="0" w:noVBand="1"/>
      </w:tblPr>
      <w:tblGrid>
        <w:gridCol w:w="3238"/>
        <w:gridCol w:w="3237"/>
        <w:gridCol w:w="3235"/>
      </w:tblGrid>
      <w:tr w:rsidR="006F56DB" w:rsidRPr="006F56DB" w14:paraId="48F465B9" w14:textId="77777777" w:rsidTr="006F56DB">
        <w:trPr>
          <w:tblHeader/>
        </w:trPr>
        <w:tc>
          <w:tcPr>
            <w:tcW w:w="1667" w:type="pct"/>
          </w:tcPr>
          <w:p w14:paraId="6616A8BE" w14:textId="580C396A" w:rsidR="006F56DB" w:rsidRPr="006F56DB" w:rsidRDefault="006F56DB" w:rsidP="006F56DB">
            <w:pPr>
              <w:spacing w:after="120"/>
              <w:rPr>
                <w:rFonts w:ascii="Arial" w:hAnsi="Arial" w:cs="Arial"/>
                <w:b/>
                <w:sz w:val="18"/>
              </w:rPr>
            </w:pPr>
            <w:r>
              <w:rPr>
                <w:rFonts w:ascii="Arial" w:hAnsi="Arial" w:cs="Arial"/>
                <w:b/>
                <w:sz w:val="18"/>
              </w:rPr>
              <w:t>Tab</w:t>
            </w:r>
          </w:p>
        </w:tc>
        <w:tc>
          <w:tcPr>
            <w:tcW w:w="1667" w:type="pct"/>
          </w:tcPr>
          <w:p w14:paraId="0E547B89" w14:textId="68038B6B" w:rsidR="006F56DB" w:rsidRPr="006F56DB" w:rsidRDefault="006F56DB" w:rsidP="006F56DB">
            <w:pPr>
              <w:spacing w:after="120"/>
              <w:rPr>
                <w:rFonts w:ascii="Arial" w:hAnsi="Arial" w:cs="Arial"/>
                <w:b/>
                <w:sz w:val="18"/>
              </w:rPr>
            </w:pPr>
            <w:r>
              <w:rPr>
                <w:rFonts w:ascii="Arial" w:hAnsi="Arial" w:cs="Arial"/>
                <w:b/>
                <w:sz w:val="18"/>
              </w:rPr>
              <w:t>Blade</w:t>
            </w:r>
          </w:p>
        </w:tc>
        <w:tc>
          <w:tcPr>
            <w:tcW w:w="1667" w:type="pct"/>
          </w:tcPr>
          <w:p w14:paraId="5A13E992" w14:textId="6B0887FF" w:rsidR="006F56DB" w:rsidRPr="006F56DB" w:rsidRDefault="006F56DB" w:rsidP="006F56DB">
            <w:pPr>
              <w:spacing w:after="120"/>
              <w:rPr>
                <w:rFonts w:ascii="Arial" w:hAnsi="Arial" w:cs="Arial"/>
                <w:b/>
                <w:sz w:val="18"/>
              </w:rPr>
            </w:pPr>
            <w:r>
              <w:rPr>
                <w:rFonts w:ascii="Arial" w:hAnsi="Arial" w:cs="Arial"/>
                <w:b/>
                <w:sz w:val="18"/>
              </w:rPr>
              <w:t>Used in</w:t>
            </w:r>
          </w:p>
        </w:tc>
      </w:tr>
      <w:tr w:rsidR="006F56DB" w:rsidRPr="006F56DB" w14:paraId="0C0BBB2D" w14:textId="77777777" w:rsidTr="006F56DB">
        <w:tc>
          <w:tcPr>
            <w:tcW w:w="1667" w:type="pct"/>
          </w:tcPr>
          <w:p w14:paraId="62EF4252" w14:textId="415632B4" w:rsidR="006F56DB" w:rsidRPr="006F56DB" w:rsidRDefault="006F56DB" w:rsidP="006F56DB">
            <w:pPr>
              <w:spacing w:after="120"/>
              <w:rPr>
                <w:rFonts w:ascii="Arial" w:hAnsi="Arial" w:cs="Arial"/>
                <w:sz w:val="18"/>
              </w:rPr>
            </w:pPr>
            <w:r>
              <w:rPr>
                <w:rFonts w:ascii="Arial" w:hAnsi="Arial" w:cs="Arial"/>
                <w:sz w:val="18"/>
              </w:rPr>
              <w:t>1</w:t>
            </w:r>
          </w:p>
        </w:tc>
        <w:tc>
          <w:tcPr>
            <w:tcW w:w="1667" w:type="pct"/>
          </w:tcPr>
          <w:p w14:paraId="0FD03502" w14:textId="22E400FA" w:rsidR="006F56DB" w:rsidRPr="006F56DB" w:rsidRDefault="006F56DB" w:rsidP="006F56DB">
            <w:pPr>
              <w:spacing w:after="120"/>
              <w:rPr>
                <w:rFonts w:ascii="Arial" w:hAnsi="Arial" w:cs="Arial"/>
                <w:sz w:val="18"/>
              </w:rPr>
            </w:pPr>
            <w:r>
              <w:rPr>
                <w:rFonts w:ascii="Arial" w:hAnsi="Arial" w:cs="Arial"/>
                <w:sz w:val="18"/>
              </w:rPr>
              <w:t>Resource group overview - rg-ahds-fhir-poc</w:t>
            </w:r>
          </w:p>
        </w:tc>
        <w:tc>
          <w:tcPr>
            <w:tcW w:w="1667" w:type="pct"/>
          </w:tcPr>
          <w:p w14:paraId="418E52D0" w14:textId="20064BA4" w:rsidR="006F56DB" w:rsidRPr="006F56DB" w:rsidRDefault="006F56DB" w:rsidP="006F56DB">
            <w:pPr>
              <w:spacing w:after="120"/>
              <w:rPr>
                <w:rFonts w:ascii="Arial" w:hAnsi="Arial" w:cs="Arial"/>
                <w:sz w:val="18"/>
              </w:rPr>
            </w:pPr>
            <w:r>
              <w:rPr>
                <w:rFonts w:ascii="Arial" w:hAnsi="Arial" w:cs="Arial"/>
                <w:sz w:val="18"/>
              </w:rPr>
              <w:t>Segment A</w:t>
            </w:r>
          </w:p>
        </w:tc>
      </w:tr>
      <w:tr w:rsidR="006F56DB" w:rsidRPr="006F56DB" w14:paraId="0127ED50" w14:textId="77777777" w:rsidTr="006F56DB">
        <w:tc>
          <w:tcPr>
            <w:tcW w:w="1667" w:type="pct"/>
          </w:tcPr>
          <w:p w14:paraId="39185702" w14:textId="2C909DBC" w:rsidR="006F56DB" w:rsidRPr="006F56DB" w:rsidRDefault="006F56DB" w:rsidP="006F56DB">
            <w:pPr>
              <w:spacing w:after="120"/>
              <w:rPr>
                <w:rFonts w:ascii="Arial" w:hAnsi="Arial" w:cs="Arial"/>
                <w:sz w:val="18"/>
              </w:rPr>
            </w:pPr>
            <w:r>
              <w:rPr>
                <w:rFonts w:ascii="Arial" w:hAnsi="Arial" w:cs="Arial"/>
                <w:sz w:val="18"/>
              </w:rPr>
              <w:t>2</w:t>
            </w:r>
          </w:p>
        </w:tc>
        <w:tc>
          <w:tcPr>
            <w:tcW w:w="1667" w:type="pct"/>
          </w:tcPr>
          <w:p w14:paraId="75CEC143" w14:textId="42FFEFE4" w:rsidR="006F56DB" w:rsidRPr="006F56DB" w:rsidRDefault="006F56DB" w:rsidP="006F56DB">
            <w:pPr>
              <w:spacing w:after="120"/>
              <w:rPr>
                <w:rFonts w:ascii="Arial" w:hAnsi="Arial" w:cs="Arial"/>
                <w:sz w:val="18"/>
              </w:rPr>
            </w:pPr>
            <w:r>
              <w:rPr>
                <w:rFonts w:ascii="Arial" w:hAnsi="Arial" w:cs="Arial"/>
                <w:sz w:val="18"/>
              </w:rPr>
              <w:t>API Management - apim-poc-ahds-demo01 - APIs</w:t>
            </w:r>
          </w:p>
        </w:tc>
        <w:tc>
          <w:tcPr>
            <w:tcW w:w="1667" w:type="pct"/>
          </w:tcPr>
          <w:p w14:paraId="17D929DE" w14:textId="6FA2D950" w:rsidR="006F56DB" w:rsidRPr="006F56DB" w:rsidRDefault="006F56DB" w:rsidP="006F56DB">
            <w:pPr>
              <w:spacing w:after="120"/>
              <w:rPr>
                <w:rFonts w:ascii="Arial" w:hAnsi="Arial" w:cs="Arial"/>
                <w:sz w:val="18"/>
              </w:rPr>
            </w:pPr>
            <w:r>
              <w:rPr>
                <w:rFonts w:ascii="Arial" w:hAnsi="Arial" w:cs="Arial"/>
                <w:sz w:val="18"/>
              </w:rPr>
              <w:t>Segments B, C, H</w:t>
            </w:r>
          </w:p>
        </w:tc>
      </w:tr>
      <w:tr w:rsidR="006F56DB" w:rsidRPr="006F56DB" w14:paraId="694AF97A" w14:textId="77777777" w:rsidTr="006F56DB">
        <w:tc>
          <w:tcPr>
            <w:tcW w:w="1667" w:type="pct"/>
          </w:tcPr>
          <w:p w14:paraId="73C7CA5C" w14:textId="5577C9F2" w:rsidR="006F56DB" w:rsidRPr="006F56DB" w:rsidRDefault="006F56DB" w:rsidP="006F56DB">
            <w:pPr>
              <w:spacing w:after="120"/>
              <w:rPr>
                <w:rFonts w:ascii="Arial" w:hAnsi="Arial" w:cs="Arial"/>
                <w:sz w:val="18"/>
              </w:rPr>
            </w:pPr>
            <w:r>
              <w:rPr>
                <w:rFonts w:ascii="Arial" w:hAnsi="Arial" w:cs="Arial"/>
                <w:sz w:val="18"/>
              </w:rPr>
              <w:t>3</w:t>
            </w:r>
          </w:p>
        </w:tc>
        <w:tc>
          <w:tcPr>
            <w:tcW w:w="1667" w:type="pct"/>
          </w:tcPr>
          <w:p w14:paraId="52AB2362" w14:textId="6F8B3ABA" w:rsidR="006F56DB" w:rsidRPr="006F56DB" w:rsidRDefault="006F56DB" w:rsidP="006F56DB">
            <w:pPr>
              <w:spacing w:after="120"/>
              <w:rPr>
                <w:rFonts w:ascii="Arial" w:hAnsi="Arial" w:cs="Arial"/>
                <w:sz w:val="18"/>
              </w:rPr>
            </w:pPr>
            <w:r>
              <w:rPr>
                <w:rFonts w:ascii="Arial" w:hAnsi="Arial" w:cs="Arial"/>
                <w:sz w:val="18"/>
              </w:rPr>
              <w:t>API Management - Named values</w:t>
            </w:r>
          </w:p>
        </w:tc>
        <w:tc>
          <w:tcPr>
            <w:tcW w:w="1667" w:type="pct"/>
          </w:tcPr>
          <w:p w14:paraId="0A7944A4" w14:textId="4B58EE67" w:rsidR="006F56DB" w:rsidRPr="006F56DB" w:rsidRDefault="006F56DB" w:rsidP="006F56DB">
            <w:pPr>
              <w:spacing w:after="120"/>
              <w:rPr>
                <w:rFonts w:ascii="Arial" w:hAnsi="Arial" w:cs="Arial"/>
                <w:sz w:val="18"/>
              </w:rPr>
            </w:pPr>
            <w:r>
              <w:rPr>
                <w:rFonts w:ascii="Arial" w:hAnsi="Arial" w:cs="Arial"/>
                <w:sz w:val="18"/>
              </w:rPr>
              <w:t>Segment D</w:t>
            </w:r>
          </w:p>
        </w:tc>
      </w:tr>
      <w:tr w:rsidR="006F56DB" w:rsidRPr="006F56DB" w14:paraId="6F1C3C60" w14:textId="77777777" w:rsidTr="006F56DB">
        <w:tc>
          <w:tcPr>
            <w:tcW w:w="1667" w:type="pct"/>
          </w:tcPr>
          <w:p w14:paraId="7C51BC78" w14:textId="2DBEB093" w:rsidR="006F56DB" w:rsidRPr="006F56DB" w:rsidRDefault="006F56DB" w:rsidP="006F56DB">
            <w:pPr>
              <w:spacing w:after="120"/>
              <w:rPr>
                <w:rFonts w:ascii="Arial" w:hAnsi="Arial" w:cs="Arial"/>
                <w:sz w:val="18"/>
              </w:rPr>
            </w:pPr>
            <w:r>
              <w:rPr>
                <w:rFonts w:ascii="Arial" w:hAnsi="Arial" w:cs="Arial"/>
                <w:sz w:val="18"/>
              </w:rPr>
              <w:t>4</w:t>
            </w:r>
          </w:p>
        </w:tc>
        <w:tc>
          <w:tcPr>
            <w:tcW w:w="1667" w:type="pct"/>
          </w:tcPr>
          <w:p w14:paraId="66B85129" w14:textId="0788B200" w:rsidR="006F56DB" w:rsidRPr="006F56DB" w:rsidRDefault="006F56DB" w:rsidP="006F56DB">
            <w:pPr>
              <w:spacing w:after="120"/>
              <w:rPr>
                <w:rFonts w:ascii="Arial" w:hAnsi="Arial" w:cs="Arial"/>
                <w:sz w:val="18"/>
              </w:rPr>
            </w:pPr>
            <w:r>
              <w:rPr>
                <w:rFonts w:ascii="Arial" w:hAnsi="Arial" w:cs="Arial"/>
                <w:sz w:val="18"/>
              </w:rPr>
              <w:t>API Management - Managed identities</w:t>
            </w:r>
          </w:p>
        </w:tc>
        <w:tc>
          <w:tcPr>
            <w:tcW w:w="1667" w:type="pct"/>
          </w:tcPr>
          <w:p w14:paraId="480E7E9E" w14:textId="22215F20" w:rsidR="006F56DB" w:rsidRPr="006F56DB" w:rsidRDefault="006F56DB" w:rsidP="006F56DB">
            <w:pPr>
              <w:spacing w:after="120"/>
              <w:rPr>
                <w:rFonts w:ascii="Arial" w:hAnsi="Arial" w:cs="Arial"/>
                <w:sz w:val="18"/>
              </w:rPr>
            </w:pPr>
            <w:r>
              <w:rPr>
                <w:rFonts w:ascii="Arial" w:hAnsi="Arial" w:cs="Arial"/>
                <w:sz w:val="18"/>
              </w:rPr>
              <w:t>Segment E</w:t>
            </w:r>
          </w:p>
        </w:tc>
      </w:tr>
      <w:tr w:rsidR="006F56DB" w:rsidRPr="006F56DB" w14:paraId="528C085D" w14:textId="77777777" w:rsidTr="006F56DB">
        <w:tc>
          <w:tcPr>
            <w:tcW w:w="1667" w:type="pct"/>
          </w:tcPr>
          <w:p w14:paraId="29452BEF" w14:textId="754B2025" w:rsidR="006F56DB" w:rsidRPr="006F56DB" w:rsidRDefault="006F56DB" w:rsidP="006F56DB">
            <w:pPr>
              <w:spacing w:after="120"/>
              <w:rPr>
                <w:rFonts w:ascii="Arial" w:hAnsi="Arial" w:cs="Arial"/>
                <w:sz w:val="18"/>
              </w:rPr>
            </w:pPr>
            <w:r>
              <w:rPr>
                <w:rFonts w:ascii="Arial" w:hAnsi="Arial" w:cs="Arial"/>
                <w:sz w:val="18"/>
              </w:rPr>
              <w:t>5</w:t>
            </w:r>
          </w:p>
        </w:tc>
        <w:tc>
          <w:tcPr>
            <w:tcW w:w="1667" w:type="pct"/>
          </w:tcPr>
          <w:p w14:paraId="5DB32971" w14:textId="5E1D1D42" w:rsidR="006F56DB" w:rsidRPr="006F56DB" w:rsidRDefault="006F56DB" w:rsidP="006F56DB">
            <w:pPr>
              <w:spacing w:after="120"/>
              <w:rPr>
                <w:rFonts w:ascii="Arial" w:hAnsi="Arial" w:cs="Arial"/>
                <w:sz w:val="18"/>
              </w:rPr>
            </w:pPr>
            <w:r>
              <w:rPr>
                <w:rFonts w:ascii="Arial" w:hAnsi="Arial" w:cs="Arial"/>
                <w:sz w:val="18"/>
              </w:rPr>
              <w:t>FHIR service fhir-payera - Access control (IAM) - Role assignments</w:t>
            </w:r>
          </w:p>
        </w:tc>
        <w:tc>
          <w:tcPr>
            <w:tcW w:w="1667" w:type="pct"/>
          </w:tcPr>
          <w:p w14:paraId="3D49C80A" w14:textId="1DF84385" w:rsidR="006F56DB" w:rsidRPr="006F56DB" w:rsidRDefault="006F56DB" w:rsidP="006F56DB">
            <w:pPr>
              <w:spacing w:after="120"/>
              <w:rPr>
                <w:rFonts w:ascii="Arial" w:hAnsi="Arial" w:cs="Arial"/>
                <w:sz w:val="18"/>
              </w:rPr>
            </w:pPr>
            <w:r>
              <w:rPr>
                <w:rFonts w:ascii="Arial" w:hAnsi="Arial" w:cs="Arial"/>
                <w:sz w:val="18"/>
              </w:rPr>
              <w:t>Segment E</w:t>
            </w:r>
          </w:p>
        </w:tc>
      </w:tr>
      <w:tr w:rsidR="006F56DB" w:rsidRPr="006F56DB" w14:paraId="7EA6976D" w14:textId="77777777" w:rsidTr="006F56DB">
        <w:tc>
          <w:tcPr>
            <w:tcW w:w="1667" w:type="pct"/>
          </w:tcPr>
          <w:p w14:paraId="6129C4BB" w14:textId="58431749" w:rsidR="006F56DB" w:rsidRPr="006F56DB" w:rsidRDefault="006F56DB" w:rsidP="006F56DB">
            <w:pPr>
              <w:spacing w:after="120"/>
              <w:rPr>
                <w:rFonts w:ascii="Arial" w:hAnsi="Arial" w:cs="Arial"/>
                <w:sz w:val="18"/>
              </w:rPr>
            </w:pPr>
            <w:r>
              <w:rPr>
                <w:rFonts w:ascii="Arial" w:hAnsi="Arial" w:cs="Arial"/>
                <w:sz w:val="18"/>
              </w:rPr>
              <w:t>6</w:t>
            </w:r>
          </w:p>
        </w:tc>
        <w:tc>
          <w:tcPr>
            <w:tcW w:w="1667" w:type="pct"/>
          </w:tcPr>
          <w:p w14:paraId="1A6D17D2" w14:textId="20E140C9" w:rsidR="006F56DB" w:rsidRPr="006F56DB" w:rsidRDefault="006F56DB" w:rsidP="006F56DB">
            <w:pPr>
              <w:spacing w:after="120"/>
              <w:rPr>
                <w:rFonts w:ascii="Arial" w:hAnsi="Arial" w:cs="Arial"/>
                <w:sz w:val="18"/>
              </w:rPr>
            </w:pPr>
            <w:r>
              <w:rPr>
                <w:rFonts w:ascii="Arial" w:hAnsi="Arial" w:cs="Arial"/>
                <w:sz w:val="18"/>
              </w:rPr>
              <w:t>Terminal, already in the v4 folder</w:t>
            </w:r>
          </w:p>
        </w:tc>
        <w:tc>
          <w:tcPr>
            <w:tcW w:w="1667" w:type="pct"/>
          </w:tcPr>
          <w:p w14:paraId="66379D9E" w14:textId="7C7F1CC2" w:rsidR="006F56DB" w:rsidRPr="006F56DB" w:rsidRDefault="006F56DB" w:rsidP="006F56DB">
            <w:pPr>
              <w:spacing w:after="120"/>
              <w:rPr>
                <w:rFonts w:ascii="Arial" w:hAnsi="Arial" w:cs="Arial"/>
                <w:sz w:val="18"/>
              </w:rPr>
            </w:pPr>
            <w:r>
              <w:rPr>
                <w:rFonts w:ascii="Arial" w:hAnsi="Arial" w:cs="Arial"/>
                <w:sz w:val="18"/>
              </w:rPr>
              <w:t>Segment F</w:t>
            </w:r>
          </w:p>
        </w:tc>
      </w:tr>
    </w:tbl>
    <w:p w14:paraId="258C3D15" w14:textId="77777777" w:rsidR="006F56DB" w:rsidRDefault="006F56DB" w:rsidP="006F56DB">
      <w:pPr>
        <w:spacing w:after="120"/>
      </w:pPr>
    </w:p>
    <w:p w14:paraId="563D2CD3" w14:textId="53137C68" w:rsidR="006F56DB" w:rsidRDefault="006F56DB" w:rsidP="006F56DB">
      <w:pPr>
        <w:spacing w:after="60"/>
      </w:pPr>
      <w:r w:rsidRPr="006F56DB">
        <w:t>Set browser zoom to 100 percent and the portal to light theme. Dark theme screenshots read badly on projectors.</w:t>
      </w:r>
    </w:p>
    <w:p w14:paraId="5B5A6048" w14:textId="33D33C56" w:rsidR="006F56DB" w:rsidRDefault="006F56DB" w:rsidP="006F56DB">
      <w:pPr>
        <w:spacing w:after="60"/>
      </w:pPr>
      <w:r w:rsidRPr="006F56DB">
        <w:t>Close unrelated tabs. The subscription name is visible on screen throughout.</w:t>
      </w:r>
    </w:p>
    <w:p w14:paraId="07A94777" w14:textId="4BFEFBF4" w:rsidR="006F56DB" w:rsidRDefault="006F56DB" w:rsidP="006F56DB">
      <w:pPr>
        <w:spacing w:after="60"/>
      </w:pPr>
      <w:r w:rsidRPr="006F56DB">
        <w:t>Have briefing/evidence/isolation-run.txt open in a scratch editor as the fallback for Segment F.</w:t>
      </w:r>
    </w:p>
    <w:p w14:paraId="00BB5C16" w14:textId="0CD86ACF" w:rsidR="006F56DB" w:rsidRDefault="006F56DB">
      <w:r>
        <w:br w:type="page"/>
      </w:r>
    </w:p>
    <w:p w14:paraId="49CF8F94" w14:textId="5F8A81E6" w:rsidR="006F56DB" w:rsidRDefault="006F56DB" w:rsidP="006F56DB">
      <w:pPr>
        <w:pStyle w:val="Heading1"/>
        <w:spacing w:after="160"/>
      </w:pPr>
      <w:bookmarkStart w:id="6" w:name="_Toc239065109"/>
      <w:r w:rsidRPr="006F56DB">
        <w:t>2. Environment reference</w:t>
      </w:r>
      <w:bookmarkEnd w:id="6"/>
    </w:p>
    <w:p w14:paraId="69DD30EB" w14:textId="0CF154F0" w:rsidR="006F56DB" w:rsidRDefault="006F56DB" w:rsidP="006F56DB">
      <w:pPr>
        <w:spacing w:after="120"/>
      </w:pPr>
      <w:r w:rsidRPr="006F56DB">
        <w:t>Every name below was verified against the live subscription while this runbook was generated. If something on screen does not match, the environment drifted - stop and reconcile before presenting.</w:t>
      </w:r>
    </w:p>
    <w:tbl>
      <w:tblPr>
        <w:tblStyle w:val="TableGrid"/>
        <w:tblW w:w="5000" w:type="pct"/>
        <w:tblLook w:val="04A0" w:firstRow="1" w:lastRow="0" w:firstColumn="1" w:lastColumn="0" w:noHBand="0" w:noVBand="1"/>
      </w:tblPr>
      <w:tblGrid>
        <w:gridCol w:w="4855"/>
        <w:gridCol w:w="4855"/>
      </w:tblGrid>
      <w:tr w:rsidR="006F56DB" w:rsidRPr="006F56DB" w14:paraId="21AEADC9" w14:textId="77777777" w:rsidTr="006F56DB">
        <w:trPr>
          <w:tblHeader/>
        </w:trPr>
        <w:tc>
          <w:tcPr>
            <w:tcW w:w="2500" w:type="pct"/>
          </w:tcPr>
          <w:p w14:paraId="5544D974" w14:textId="197154E8" w:rsidR="006F56DB" w:rsidRPr="006F56DB" w:rsidRDefault="006F56DB" w:rsidP="006F56DB">
            <w:pPr>
              <w:spacing w:after="120"/>
              <w:rPr>
                <w:rFonts w:ascii="Arial" w:hAnsi="Arial" w:cs="Arial"/>
                <w:b/>
                <w:sz w:val="16"/>
              </w:rPr>
            </w:pPr>
            <w:r>
              <w:rPr>
                <w:rFonts w:ascii="Arial" w:hAnsi="Arial" w:cs="Arial"/>
                <w:b/>
                <w:sz w:val="16"/>
              </w:rPr>
              <w:t>Item</w:t>
            </w:r>
          </w:p>
        </w:tc>
        <w:tc>
          <w:tcPr>
            <w:tcW w:w="2500" w:type="pct"/>
          </w:tcPr>
          <w:p w14:paraId="4D571ADF" w14:textId="2BD314A2" w:rsidR="006F56DB" w:rsidRPr="006F56DB" w:rsidRDefault="006F56DB" w:rsidP="006F56DB">
            <w:pPr>
              <w:spacing w:after="120"/>
              <w:rPr>
                <w:rFonts w:ascii="Arial" w:hAnsi="Arial" w:cs="Arial"/>
                <w:b/>
                <w:sz w:val="16"/>
              </w:rPr>
            </w:pPr>
            <w:r>
              <w:rPr>
                <w:rFonts w:ascii="Arial" w:hAnsi="Arial" w:cs="Arial"/>
                <w:b/>
                <w:sz w:val="16"/>
              </w:rPr>
              <w:t>Value</w:t>
            </w:r>
          </w:p>
        </w:tc>
      </w:tr>
      <w:tr w:rsidR="006F56DB" w:rsidRPr="006F56DB" w14:paraId="5C0D3552" w14:textId="77777777" w:rsidTr="006F56DB">
        <w:tc>
          <w:tcPr>
            <w:tcW w:w="2500" w:type="pct"/>
          </w:tcPr>
          <w:p w14:paraId="454DCA84" w14:textId="5BCB6836" w:rsidR="006F56DB" w:rsidRPr="006F56DB" w:rsidRDefault="006F56DB" w:rsidP="006F56DB">
            <w:pPr>
              <w:spacing w:after="120"/>
              <w:rPr>
                <w:rFonts w:ascii="Arial" w:hAnsi="Arial" w:cs="Arial"/>
                <w:sz w:val="16"/>
              </w:rPr>
            </w:pPr>
            <w:r>
              <w:rPr>
                <w:rFonts w:ascii="Arial" w:hAnsi="Arial" w:cs="Arial"/>
                <w:sz w:val="16"/>
              </w:rPr>
              <w:t>Subscription</w:t>
            </w:r>
          </w:p>
        </w:tc>
        <w:tc>
          <w:tcPr>
            <w:tcW w:w="2500" w:type="pct"/>
          </w:tcPr>
          <w:p w14:paraId="545F0344" w14:textId="2569C5E5" w:rsidR="006F56DB" w:rsidRPr="006F56DB" w:rsidRDefault="006F56DB" w:rsidP="006F56DB">
            <w:pPr>
              <w:spacing w:after="120"/>
              <w:rPr>
                <w:rFonts w:ascii="Arial" w:hAnsi="Arial" w:cs="Arial"/>
                <w:sz w:val="16"/>
              </w:rPr>
            </w:pPr>
            <w:r>
              <w:rPr>
                <w:rFonts w:ascii="Arial" w:hAnsi="Arial" w:cs="Arial"/>
                <w:sz w:val="16"/>
              </w:rPr>
              <w:t>MCAPS-DataAICSA2023 - demouser-DEMO</w:t>
            </w:r>
          </w:p>
        </w:tc>
      </w:tr>
      <w:tr w:rsidR="006F56DB" w:rsidRPr="006F56DB" w14:paraId="74E730D8" w14:textId="77777777" w:rsidTr="006F56DB">
        <w:tc>
          <w:tcPr>
            <w:tcW w:w="2500" w:type="pct"/>
          </w:tcPr>
          <w:p w14:paraId="01C38108" w14:textId="65D9B9B5" w:rsidR="006F56DB" w:rsidRPr="006F56DB" w:rsidRDefault="006F56DB" w:rsidP="006F56DB">
            <w:pPr>
              <w:spacing w:after="120"/>
              <w:rPr>
                <w:rFonts w:ascii="Arial" w:hAnsi="Arial" w:cs="Arial"/>
                <w:sz w:val="16"/>
              </w:rPr>
            </w:pPr>
            <w:r>
              <w:rPr>
                <w:rFonts w:ascii="Arial" w:hAnsi="Arial" w:cs="Arial"/>
                <w:sz w:val="16"/>
              </w:rPr>
              <w:t>SubscriptionId</w:t>
            </w:r>
          </w:p>
        </w:tc>
        <w:tc>
          <w:tcPr>
            <w:tcW w:w="2500" w:type="pct"/>
          </w:tcPr>
          <w:p w14:paraId="4439B525" w14:textId="6CB63496" w:rsidR="006F56DB" w:rsidRPr="006F56DB" w:rsidRDefault="006F56DB" w:rsidP="006F56DB">
            <w:pPr>
              <w:spacing w:after="120"/>
              <w:rPr>
                <w:rFonts w:ascii="Arial" w:hAnsi="Arial" w:cs="Arial"/>
                <w:sz w:val="16"/>
              </w:rPr>
            </w:pPr>
            <w:r>
              <w:rPr>
                <w:rFonts w:ascii="Arial" w:hAnsi="Arial" w:cs="Arial"/>
                <w:sz w:val="16"/>
              </w:rPr>
              <w:t>00000000-0000-0000-0000-000000000000</w:t>
            </w:r>
          </w:p>
        </w:tc>
      </w:tr>
      <w:tr w:rsidR="006F56DB" w:rsidRPr="006F56DB" w14:paraId="317023C6" w14:textId="77777777" w:rsidTr="006F56DB">
        <w:tc>
          <w:tcPr>
            <w:tcW w:w="2500" w:type="pct"/>
          </w:tcPr>
          <w:p w14:paraId="6449CE98" w14:textId="250C448C" w:rsidR="006F56DB" w:rsidRPr="006F56DB" w:rsidRDefault="006F56DB" w:rsidP="006F56DB">
            <w:pPr>
              <w:spacing w:after="120"/>
              <w:rPr>
                <w:rFonts w:ascii="Arial" w:hAnsi="Arial" w:cs="Arial"/>
                <w:sz w:val="16"/>
              </w:rPr>
            </w:pPr>
            <w:r>
              <w:rPr>
                <w:rFonts w:ascii="Arial" w:hAnsi="Arial" w:cs="Arial"/>
                <w:sz w:val="16"/>
              </w:rPr>
              <w:t>Tenant</w:t>
            </w:r>
          </w:p>
        </w:tc>
        <w:tc>
          <w:tcPr>
            <w:tcW w:w="2500" w:type="pct"/>
          </w:tcPr>
          <w:p w14:paraId="7E878E6F" w14:textId="62AE719E" w:rsidR="006F56DB" w:rsidRPr="006F56DB" w:rsidRDefault="006F56DB" w:rsidP="006F56DB">
            <w:pPr>
              <w:spacing w:after="120"/>
              <w:rPr>
                <w:rFonts w:ascii="Arial" w:hAnsi="Arial" w:cs="Arial"/>
                <w:sz w:val="16"/>
              </w:rPr>
            </w:pPr>
            <w:r>
              <w:rPr>
                <w:rFonts w:ascii="Arial" w:hAnsi="Arial" w:cs="Arial"/>
                <w:sz w:val="16"/>
              </w:rPr>
              <w:t>contoso.onmicrosoft.com (11111111-1111-1111-1111-111111111111)</w:t>
            </w:r>
          </w:p>
        </w:tc>
      </w:tr>
      <w:tr w:rsidR="006F56DB" w:rsidRPr="006F56DB" w14:paraId="2FC6D9DA" w14:textId="77777777" w:rsidTr="006F56DB">
        <w:tc>
          <w:tcPr>
            <w:tcW w:w="2500" w:type="pct"/>
          </w:tcPr>
          <w:p w14:paraId="361928B0" w14:textId="5949B488" w:rsidR="006F56DB" w:rsidRPr="006F56DB" w:rsidRDefault="006F56DB" w:rsidP="006F56DB">
            <w:pPr>
              <w:spacing w:after="120"/>
              <w:rPr>
                <w:rFonts w:ascii="Arial" w:hAnsi="Arial" w:cs="Arial"/>
                <w:sz w:val="16"/>
              </w:rPr>
            </w:pPr>
            <w:r>
              <w:rPr>
                <w:rFonts w:ascii="Arial" w:hAnsi="Arial" w:cs="Arial"/>
                <w:sz w:val="16"/>
              </w:rPr>
              <w:t>ResourceGroup</w:t>
            </w:r>
          </w:p>
        </w:tc>
        <w:tc>
          <w:tcPr>
            <w:tcW w:w="2500" w:type="pct"/>
          </w:tcPr>
          <w:p w14:paraId="7E3AC5E5" w14:textId="7B9FA217" w:rsidR="006F56DB" w:rsidRPr="006F56DB" w:rsidRDefault="006F56DB" w:rsidP="006F56DB">
            <w:pPr>
              <w:spacing w:after="120"/>
              <w:rPr>
                <w:rFonts w:ascii="Arial" w:hAnsi="Arial" w:cs="Arial"/>
                <w:sz w:val="16"/>
              </w:rPr>
            </w:pPr>
            <w:r>
              <w:rPr>
                <w:rFonts w:ascii="Arial" w:hAnsi="Arial" w:cs="Arial"/>
                <w:sz w:val="16"/>
              </w:rPr>
              <w:t>rg-ahds-fhir-poc</w:t>
            </w:r>
          </w:p>
        </w:tc>
      </w:tr>
      <w:tr w:rsidR="006F56DB" w:rsidRPr="006F56DB" w14:paraId="71784258" w14:textId="77777777" w:rsidTr="006F56DB">
        <w:tc>
          <w:tcPr>
            <w:tcW w:w="2500" w:type="pct"/>
          </w:tcPr>
          <w:p w14:paraId="7AA05D2E" w14:textId="361A40A5" w:rsidR="006F56DB" w:rsidRPr="006F56DB" w:rsidRDefault="006F56DB" w:rsidP="006F56DB">
            <w:pPr>
              <w:spacing w:after="120"/>
              <w:rPr>
                <w:rFonts w:ascii="Arial" w:hAnsi="Arial" w:cs="Arial"/>
                <w:sz w:val="16"/>
              </w:rPr>
            </w:pPr>
            <w:r>
              <w:rPr>
                <w:rFonts w:ascii="Arial" w:hAnsi="Arial" w:cs="Arial"/>
                <w:sz w:val="16"/>
              </w:rPr>
              <w:t>Region</w:t>
            </w:r>
          </w:p>
        </w:tc>
        <w:tc>
          <w:tcPr>
            <w:tcW w:w="2500" w:type="pct"/>
          </w:tcPr>
          <w:p w14:paraId="75239782" w14:textId="282ED030" w:rsidR="006F56DB" w:rsidRPr="006F56DB" w:rsidRDefault="006F56DB" w:rsidP="006F56DB">
            <w:pPr>
              <w:spacing w:after="120"/>
              <w:rPr>
                <w:rFonts w:ascii="Arial" w:hAnsi="Arial" w:cs="Arial"/>
                <w:sz w:val="16"/>
              </w:rPr>
            </w:pPr>
            <w:r>
              <w:rPr>
                <w:rFonts w:ascii="Arial" w:hAnsi="Arial" w:cs="Arial"/>
                <w:sz w:val="16"/>
              </w:rPr>
              <w:t>East US 2</w:t>
            </w:r>
          </w:p>
        </w:tc>
      </w:tr>
      <w:tr w:rsidR="006F56DB" w:rsidRPr="006F56DB" w14:paraId="701C2F2A" w14:textId="77777777" w:rsidTr="006F56DB">
        <w:tc>
          <w:tcPr>
            <w:tcW w:w="2500" w:type="pct"/>
          </w:tcPr>
          <w:p w14:paraId="2D962E5E" w14:textId="26F5778A" w:rsidR="006F56DB" w:rsidRPr="006F56DB" w:rsidRDefault="006F56DB" w:rsidP="006F56DB">
            <w:pPr>
              <w:spacing w:after="120"/>
              <w:rPr>
                <w:rFonts w:ascii="Arial" w:hAnsi="Arial" w:cs="Arial"/>
                <w:sz w:val="16"/>
              </w:rPr>
            </w:pPr>
            <w:r>
              <w:rPr>
                <w:rFonts w:ascii="Arial" w:hAnsi="Arial" w:cs="Arial"/>
                <w:sz w:val="16"/>
              </w:rPr>
              <w:t>Apim</w:t>
            </w:r>
          </w:p>
        </w:tc>
        <w:tc>
          <w:tcPr>
            <w:tcW w:w="2500" w:type="pct"/>
          </w:tcPr>
          <w:p w14:paraId="757DA47C" w14:textId="31F7A228" w:rsidR="006F56DB" w:rsidRPr="006F56DB" w:rsidRDefault="006F56DB" w:rsidP="006F56DB">
            <w:pPr>
              <w:spacing w:after="120"/>
              <w:rPr>
                <w:rFonts w:ascii="Arial" w:hAnsi="Arial" w:cs="Arial"/>
                <w:sz w:val="16"/>
              </w:rPr>
            </w:pPr>
            <w:r>
              <w:rPr>
                <w:rFonts w:ascii="Arial" w:hAnsi="Arial" w:cs="Arial"/>
                <w:sz w:val="16"/>
              </w:rPr>
              <w:t>apim-poc-ahds-demo01</w:t>
            </w:r>
          </w:p>
        </w:tc>
      </w:tr>
      <w:tr w:rsidR="006F56DB" w:rsidRPr="006F56DB" w14:paraId="67D07D85" w14:textId="77777777" w:rsidTr="006F56DB">
        <w:tc>
          <w:tcPr>
            <w:tcW w:w="2500" w:type="pct"/>
          </w:tcPr>
          <w:p w14:paraId="044A63DC" w14:textId="041494C7" w:rsidR="006F56DB" w:rsidRPr="006F56DB" w:rsidRDefault="006F56DB" w:rsidP="006F56DB">
            <w:pPr>
              <w:spacing w:after="120"/>
              <w:rPr>
                <w:rFonts w:ascii="Arial" w:hAnsi="Arial" w:cs="Arial"/>
                <w:sz w:val="16"/>
              </w:rPr>
            </w:pPr>
            <w:r>
              <w:rPr>
                <w:rFonts w:ascii="Arial" w:hAnsi="Arial" w:cs="Arial"/>
                <w:sz w:val="16"/>
              </w:rPr>
              <w:t>ApimSku</w:t>
            </w:r>
          </w:p>
        </w:tc>
        <w:tc>
          <w:tcPr>
            <w:tcW w:w="2500" w:type="pct"/>
          </w:tcPr>
          <w:p w14:paraId="34E59D4E" w14:textId="249C4B45" w:rsidR="006F56DB" w:rsidRPr="006F56DB" w:rsidRDefault="006F56DB" w:rsidP="006F56DB">
            <w:pPr>
              <w:spacing w:after="120"/>
              <w:rPr>
                <w:rFonts w:ascii="Arial" w:hAnsi="Arial" w:cs="Arial"/>
                <w:sz w:val="16"/>
              </w:rPr>
            </w:pPr>
            <w:r>
              <w:rPr>
                <w:rFonts w:ascii="Arial" w:hAnsi="Arial" w:cs="Arial"/>
                <w:sz w:val="16"/>
              </w:rPr>
              <w:t>Basic v2</w:t>
            </w:r>
          </w:p>
        </w:tc>
      </w:tr>
      <w:tr w:rsidR="006F56DB" w:rsidRPr="006F56DB" w14:paraId="012BB8E2" w14:textId="77777777" w:rsidTr="006F56DB">
        <w:tc>
          <w:tcPr>
            <w:tcW w:w="2500" w:type="pct"/>
          </w:tcPr>
          <w:p w14:paraId="446C3C65" w14:textId="1B0059A8" w:rsidR="006F56DB" w:rsidRPr="006F56DB" w:rsidRDefault="006F56DB" w:rsidP="006F56DB">
            <w:pPr>
              <w:spacing w:after="120"/>
              <w:rPr>
                <w:rFonts w:ascii="Arial" w:hAnsi="Arial" w:cs="Arial"/>
                <w:sz w:val="16"/>
              </w:rPr>
            </w:pPr>
            <w:r>
              <w:rPr>
                <w:rFonts w:ascii="Arial" w:hAnsi="Arial" w:cs="Arial"/>
                <w:sz w:val="16"/>
              </w:rPr>
              <w:t>Gateway</w:t>
            </w:r>
          </w:p>
        </w:tc>
        <w:tc>
          <w:tcPr>
            <w:tcW w:w="2500" w:type="pct"/>
          </w:tcPr>
          <w:p w14:paraId="0755C9CF" w14:textId="777C2F5C" w:rsidR="006F56DB" w:rsidRPr="006F56DB" w:rsidRDefault="006F56DB" w:rsidP="006F56DB">
            <w:pPr>
              <w:spacing w:after="120"/>
              <w:rPr>
                <w:rFonts w:ascii="Arial" w:hAnsi="Arial" w:cs="Arial"/>
                <w:sz w:val="16"/>
              </w:rPr>
            </w:pPr>
            <w:r>
              <w:rPr>
                <w:rFonts w:ascii="Arial" w:hAnsi="Arial" w:cs="Arial"/>
                <w:sz w:val="16"/>
              </w:rPr>
              <w:t>https://apim-poc-ahds-demo01.azure-api.net</w:t>
            </w:r>
          </w:p>
        </w:tc>
      </w:tr>
      <w:tr w:rsidR="006F56DB" w:rsidRPr="006F56DB" w14:paraId="26BA1680" w14:textId="77777777" w:rsidTr="006F56DB">
        <w:tc>
          <w:tcPr>
            <w:tcW w:w="2500" w:type="pct"/>
          </w:tcPr>
          <w:p w14:paraId="05606FCD" w14:textId="7231D880" w:rsidR="006F56DB" w:rsidRPr="006F56DB" w:rsidRDefault="006F56DB" w:rsidP="006F56DB">
            <w:pPr>
              <w:spacing w:after="120"/>
              <w:rPr>
                <w:rFonts w:ascii="Arial" w:hAnsi="Arial" w:cs="Arial"/>
                <w:sz w:val="16"/>
              </w:rPr>
            </w:pPr>
            <w:r>
              <w:rPr>
                <w:rFonts w:ascii="Arial" w:hAnsi="Arial" w:cs="Arial"/>
                <w:sz w:val="16"/>
              </w:rPr>
              <w:t>ApimIdentity</w:t>
            </w:r>
          </w:p>
        </w:tc>
        <w:tc>
          <w:tcPr>
            <w:tcW w:w="2500" w:type="pct"/>
          </w:tcPr>
          <w:p w14:paraId="5FADB9B4" w14:textId="7D4B9EE8" w:rsidR="006F56DB" w:rsidRPr="006F56DB" w:rsidRDefault="006F56DB" w:rsidP="006F56DB">
            <w:pPr>
              <w:spacing w:after="120"/>
              <w:rPr>
                <w:rFonts w:ascii="Arial" w:hAnsi="Arial" w:cs="Arial"/>
                <w:sz w:val="16"/>
              </w:rPr>
            </w:pPr>
            <w:r>
              <w:rPr>
                <w:rFonts w:ascii="Arial" w:hAnsi="Arial" w:cs="Arial"/>
                <w:sz w:val="16"/>
              </w:rPr>
              <w:t>dddddddd-dddd-dddd-dddd-dddddddddddd</w:t>
            </w:r>
          </w:p>
        </w:tc>
      </w:tr>
      <w:tr w:rsidR="006F56DB" w:rsidRPr="006F56DB" w14:paraId="69696775" w14:textId="77777777" w:rsidTr="006F56DB">
        <w:tc>
          <w:tcPr>
            <w:tcW w:w="2500" w:type="pct"/>
          </w:tcPr>
          <w:p w14:paraId="4BFDFA80" w14:textId="591C2696" w:rsidR="006F56DB" w:rsidRPr="006F56DB" w:rsidRDefault="006F56DB" w:rsidP="006F56DB">
            <w:pPr>
              <w:spacing w:after="120"/>
              <w:rPr>
                <w:rFonts w:ascii="Arial" w:hAnsi="Arial" w:cs="Arial"/>
                <w:sz w:val="16"/>
              </w:rPr>
            </w:pPr>
            <w:r>
              <w:rPr>
                <w:rFonts w:ascii="Arial" w:hAnsi="Arial" w:cs="Arial"/>
                <w:sz w:val="16"/>
              </w:rPr>
              <w:t>Workspace</w:t>
            </w:r>
          </w:p>
        </w:tc>
        <w:tc>
          <w:tcPr>
            <w:tcW w:w="2500" w:type="pct"/>
          </w:tcPr>
          <w:p w14:paraId="697FDDB5" w14:textId="28012F85" w:rsidR="006F56DB" w:rsidRPr="006F56DB" w:rsidRDefault="006F56DB" w:rsidP="006F56DB">
            <w:pPr>
              <w:spacing w:after="120"/>
              <w:rPr>
                <w:rFonts w:ascii="Arial" w:hAnsi="Arial" w:cs="Arial"/>
                <w:sz w:val="16"/>
              </w:rPr>
            </w:pPr>
            <w:r>
              <w:rPr>
                <w:rFonts w:ascii="Arial" w:hAnsi="Arial" w:cs="Arial"/>
                <w:sz w:val="16"/>
              </w:rPr>
              <w:t>ahdspocdemo01</w:t>
            </w:r>
          </w:p>
        </w:tc>
      </w:tr>
      <w:tr w:rsidR="006F56DB" w:rsidRPr="006F56DB" w14:paraId="7B346C54" w14:textId="77777777" w:rsidTr="006F56DB">
        <w:tc>
          <w:tcPr>
            <w:tcW w:w="2500" w:type="pct"/>
          </w:tcPr>
          <w:p w14:paraId="0BB2D344" w14:textId="5088D1CA" w:rsidR="006F56DB" w:rsidRPr="006F56DB" w:rsidRDefault="006F56DB" w:rsidP="006F56DB">
            <w:pPr>
              <w:spacing w:after="120"/>
              <w:rPr>
                <w:rFonts w:ascii="Arial" w:hAnsi="Arial" w:cs="Arial"/>
                <w:sz w:val="16"/>
              </w:rPr>
            </w:pPr>
            <w:r>
              <w:rPr>
                <w:rFonts w:ascii="Arial" w:hAnsi="Arial" w:cs="Arial"/>
                <w:sz w:val="16"/>
              </w:rPr>
              <w:t>FhirPayerA</w:t>
            </w:r>
          </w:p>
        </w:tc>
        <w:tc>
          <w:tcPr>
            <w:tcW w:w="2500" w:type="pct"/>
          </w:tcPr>
          <w:p w14:paraId="665F906C" w14:textId="2BE50F5F" w:rsidR="006F56DB" w:rsidRPr="006F56DB" w:rsidRDefault="006F56DB" w:rsidP="006F56DB">
            <w:pPr>
              <w:spacing w:after="120"/>
              <w:rPr>
                <w:rFonts w:ascii="Arial" w:hAnsi="Arial" w:cs="Arial"/>
                <w:sz w:val="16"/>
              </w:rPr>
            </w:pPr>
            <w:r>
              <w:rPr>
                <w:rFonts w:ascii="Arial" w:hAnsi="Arial" w:cs="Arial"/>
                <w:sz w:val="16"/>
              </w:rPr>
              <w:t>https://ahdspocdemo01-fhir-payera.fhir.azurehealthcareapis.com</w:t>
            </w:r>
          </w:p>
        </w:tc>
      </w:tr>
      <w:tr w:rsidR="006F56DB" w:rsidRPr="006F56DB" w14:paraId="421234F4" w14:textId="77777777" w:rsidTr="006F56DB">
        <w:tc>
          <w:tcPr>
            <w:tcW w:w="2500" w:type="pct"/>
          </w:tcPr>
          <w:p w14:paraId="252CBE57" w14:textId="0D8B72F3" w:rsidR="006F56DB" w:rsidRPr="006F56DB" w:rsidRDefault="006F56DB" w:rsidP="006F56DB">
            <w:pPr>
              <w:spacing w:after="120"/>
              <w:rPr>
                <w:rFonts w:ascii="Arial" w:hAnsi="Arial" w:cs="Arial"/>
                <w:sz w:val="16"/>
              </w:rPr>
            </w:pPr>
            <w:r>
              <w:rPr>
                <w:rFonts w:ascii="Arial" w:hAnsi="Arial" w:cs="Arial"/>
                <w:sz w:val="16"/>
              </w:rPr>
              <w:t>FhirPayerB</w:t>
            </w:r>
          </w:p>
        </w:tc>
        <w:tc>
          <w:tcPr>
            <w:tcW w:w="2500" w:type="pct"/>
          </w:tcPr>
          <w:p w14:paraId="408ED1C4" w14:textId="39C59A09" w:rsidR="006F56DB" w:rsidRPr="006F56DB" w:rsidRDefault="006F56DB" w:rsidP="006F56DB">
            <w:pPr>
              <w:spacing w:after="120"/>
              <w:rPr>
                <w:rFonts w:ascii="Arial" w:hAnsi="Arial" w:cs="Arial"/>
                <w:sz w:val="16"/>
              </w:rPr>
            </w:pPr>
            <w:r>
              <w:rPr>
                <w:rFonts w:ascii="Arial" w:hAnsi="Arial" w:cs="Arial"/>
                <w:sz w:val="16"/>
              </w:rPr>
              <w:t>https://ahdspocdemo01-fhir-payerb.fhir.azurehealthcareapis.com</w:t>
            </w:r>
          </w:p>
        </w:tc>
      </w:tr>
      <w:tr w:rsidR="006F56DB" w:rsidRPr="006F56DB" w14:paraId="3DA3EA2A" w14:textId="77777777" w:rsidTr="006F56DB">
        <w:tc>
          <w:tcPr>
            <w:tcW w:w="2500" w:type="pct"/>
          </w:tcPr>
          <w:p w14:paraId="4F864BEE" w14:textId="6CB3293A" w:rsidR="006F56DB" w:rsidRPr="006F56DB" w:rsidRDefault="006F56DB" w:rsidP="006F56DB">
            <w:pPr>
              <w:spacing w:after="120"/>
              <w:rPr>
                <w:rFonts w:ascii="Arial" w:hAnsi="Arial" w:cs="Arial"/>
                <w:sz w:val="16"/>
              </w:rPr>
            </w:pPr>
            <w:r>
              <w:rPr>
                <w:rFonts w:ascii="Arial" w:hAnsi="Arial" w:cs="Arial"/>
                <w:sz w:val="16"/>
              </w:rPr>
              <w:t>KeyVault</w:t>
            </w:r>
          </w:p>
        </w:tc>
        <w:tc>
          <w:tcPr>
            <w:tcW w:w="2500" w:type="pct"/>
          </w:tcPr>
          <w:p w14:paraId="6E1BDAC0" w14:textId="30418DBB" w:rsidR="006F56DB" w:rsidRPr="006F56DB" w:rsidRDefault="006F56DB" w:rsidP="006F56DB">
            <w:pPr>
              <w:spacing w:after="120"/>
              <w:rPr>
                <w:rFonts w:ascii="Arial" w:hAnsi="Arial" w:cs="Arial"/>
                <w:sz w:val="16"/>
              </w:rPr>
            </w:pPr>
            <w:r>
              <w:rPr>
                <w:rFonts w:ascii="Arial" w:hAnsi="Arial" w:cs="Arial"/>
                <w:sz w:val="16"/>
              </w:rPr>
              <w:t>kv-poc-ahds-demo01</w:t>
            </w:r>
          </w:p>
        </w:tc>
      </w:tr>
      <w:tr w:rsidR="006F56DB" w:rsidRPr="006F56DB" w14:paraId="01A077F4" w14:textId="77777777" w:rsidTr="006F56DB">
        <w:tc>
          <w:tcPr>
            <w:tcW w:w="2500" w:type="pct"/>
          </w:tcPr>
          <w:p w14:paraId="545B352F" w14:textId="5DE71BEB" w:rsidR="006F56DB" w:rsidRPr="006F56DB" w:rsidRDefault="006F56DB" w:rsidP="006F56DB">
            <w:pPr>
              <w:spacing w:after="120"/>
              <w:rPr>
                <w:rFonts w:ascii="Arial" w:hAnsi="Arial" w:cs="Arial"/>
                <w:sz w:val="16"/>
              </w:rPr>
            </w:pPr>
            <w:r>
              <w:rPr>
                <w:rFonts w:ascii="Arial" w:hAnsi="Arial" w:cs="Arial"/>
                <w:sz w:val="16"/>
              </w:rPr>
              <w:t>Storage</w:t>
            </w:r>
          </w:p>
        </w:tc>
        <w:tc>
          <w:tcPr>
            <w:tcW w:w="2500" w:type="pct"/>
          </w:tcPr>
          <w:p w14:paraId="4A142371" w14:textId="0626F02C" w:rsidR="006F56DB" w:rsidRPr="006F56DB" w:rsidRDefault="006F56DB" w:rsidP="006F56DB">
            <w:pPr>
              <w:spacing w:after="120"/>
              <w:rPr>
                <w:rFonts w:ascii="Arial" w:hAnsi="Arial" w:cs="Arial"/>
                <w:sz w:val="16"/>
              </w:rPr>
            </w:pPr>
            <w:r>
              <w:rPr>
                <w:rFonts w:ascii="Arial" w:hAnsi="Arial" w:cs="Arial"/>
                <w:sz w:val="16"/>
              </w:rPr>
              <w:t>stpocahdsdemo01</w:t>
            </w:r>
          </w:p>
        </w:tc>
      </w:tr>
      <w:tr w:rsidR="006F56DB" w:rsidRPr="006F56DB" w14:paraId="7D8CB10E" w14:textId="77777777" w:rsidTr="006F56DB">
        <w:tc>
          <w:tcPr>
            <w:tcW w:w="2500" w:type="pct"/>
          </w:tcPr>
          <w:p w14:paraId="04266D36" w14:textId="1ED88DBF" w:rsidR="006F56DB" w:rsidRPr="006F56DB" w:rsidRDefault="006F56DB" w:rsidP="006F56DB">
            <w:pPr>
              <w:spacing w:after="120"/>
              <w:rPr>
                <w:rFonts w:ascii="Arial" w:hAnsi="Arial" w:cs="Arial"/>
                <w:sz w:val="16"/>
              </w:rPr>
            </w:pPr>
            <w:r>
              <w:rPr>
                <w:rFonts w:ascii="Arial" w:hAnsi="Arial" w:cs="Arial"/>
                <w:sz w:val="16"/>
              </w:rPr>
              <w:t>AppInsights</w:t>
            </w:r>
          </w:p>
        </w:tc>
        <w:tc>
          <w:tcPr>
            <w:tcW w:w="2500" w:type="pct"/>
          </w:tcPr>
          <w:p w14:paraId="5138727B" w14:textId="74C28FFB" w:rsidR="006F56DB" w:rsidRPr="006F56DB" w:rsidRDefault="006F56DB" w:rsidP="006F56DB">
            <w:pPr>
              <w:spacing w:after="120"/>
              <w:rPr>
                <w:rFonts w:ascii="Arial" w:hAnsi="Arial" w:cs="Arial"/>
                <w:sz w:val="16"/>
              </w:rPr>
            </w:pPr>
            <w:r>
              <w:rPr>
                <w:rFonts w:ascii="Arial" w:hAnsi="Arial" w:cs="Arial"/>
                <w:sz w:val="16"/>
              </w:rPr>
              <w:t>appi-ahds-demo01</w:t>
            </w:r>
          </w:p>
        </w:tc>
      </w:tr>
    </w:tbl>
    <w:p w14:paraId="34EB28CD" w14:textId="77777777" w:rsidR="006F56DB" w:rsidRDefault="006F56DB" w:rsidP="006F56DB">
      <w:pPr>
        <w:spacing w:after="120"/>
      </w:pPr>
    </w:p>
    <w:p w14:paraId="3663184F" w14:textId="2199AD1B" w:rsidR="006F56DB" w:rsidRDefault="006F56DB" w:rsidP="006F56DB">
      <w:pPr>
        <w:pStyle w:val="Heading2"/>
        <w:spacing w:after="160"/>
      </w:pPr>
      <w:bookmarkStart w:id="7" w:name="_Toc239065110"/>
      <w:r w:rsidRPr="006F56DB">
        <w:t>The four APIM APIs</w:t>
      </w:r>
      <w:bookmarkEnd w:id="7"/>
    </w:p>
    <w:p w14:paraId="07716660" w14:textId="3FEE0AAF" w:rsidR="006F56DB" w:rsidRDefault="006F56DB" w:rsidP="006F56DB">
      <w:pPr>
        <w:spacing w:after="120"/>
      </w:pPr>
      <w:r w:rsidRPr="006F56DB">
        <w:t>This table is the whole inbound / outbound answer in one place. Two payers, two directions, four separately authorised routes, two backing FHIR services.</w:t>
      </w:r>
    </w:p>
    <w:tbl>
      <w:tblPr>
        <w:tblStyle w:val="TableGrid"/>
        <w:tblW w:w="5000" w:type="pct"/>
        <w:tblLook w:val="04A0" w:firstRow="1" w:lastRow="0" w:firstColumn="1" w:lastColumn="0" w:noHBand="0" w:noVBand="1"/>
      </w:tblPr>
      <w:tblGrid>
        <w:gridCol w:w="2427"/>
        <w:gridCol w:w="2427"/>
        <w:gridCol w:w="2428"/>
        <w:gridCol w:w="2428"/>
      </w:tblGrid>
      <w:tr w:rsidR="006F56DB" w:rsidRPr="006F56DB" w14:paraId="410039B4" w14:textId="77777777" w:rsidTr="006F56DB">
        <w:trPr>
          <w:tblHeader/>
        </w:trPr>
        <w:tc>
          <w:tcPr>
            <w:tcW w:w="1250" w:type="pct"/>
          </w:tcPr>
          <w:p w14:paraId="5CDC3721" w14:textId="58F7ABFA" w:rsidR="006F56DB" w:rsidRPr="006F56DB" w:rsidRDefault="006F56DB" w:rsidP="006F56DB">
            <w:pPr>
              <w:spacing w:after="120"/>
              <w:rPr>
                <w:rFonts w:ascii="Arial" w:hAnsi="Arial" w:cs="Arial"/>
                <w:b/>
                <w:sz w:val="16"/>
              </w:rPr>
            </w:pPr>
            <w:r>
              <w:rPr>
                <w:rFonts w:ascii="Arial" w:hAnsi="Arial" w:cs="Arial"/>
                <w:b/>
                <w:sz w:val="16"/>
              </w:rPr>
              <w:t>API name</w:t>
            </w:r>
          </w:p>
        </w:tc>
        <w:tc>
          <w:tcPr>
            <w:tcW w:w="1250" w:type="pct"/>
          </w:tcPr>
          <w:p w14:paraId="073BCB40" w14:textId="308D73DB" w:rsidR="006F56DB" w:rsidRPr="006F56DB" w:rsidRDefault="006F56DB" w:rsidP="006F56DB">
            <w:pPr>
              <w:spacing w:after="120"/>
              <w:rPr>
                <w:rFonts w:ascii="Arial" w:hAnsi="Arial" w:cs="Arial"/>
                <w:b/>
                <w:sz w:val="16"/>
              </w:rPr>
            </w:pPr>
            <w:r>
              <w:rPr>
                <w:rFonts w:ascii="Arial" w:hAnsi="Arial" w:cs="Arial"/>
                <w:b/>
                <w:sz w:val="16"/>
              </w:rPr>
              <w:t>Display name</w:t>
            </w:r>
          </w:p>
        </w:tc>
        <w:tc>
          <w:tcPr>
            <w:tcW w:w="1250" w:type="pct"/>
          </w:tcPr>
          <w:p w14:paraId="1BF11D0F" w14:textId="3DA270D3" w:rsidR="006F56DB" w:rsidRPr="006F56DB" w:rsidRDefault="006F56DB" w:rsidP="006F56DB">
            <w:pPr>
              <w:spacing w:after="120"/>
              <w:rPr>
                <w:rFonts w:ascii="Arial" w:hAnsi="Arial" w:cs="Arial"/>
                <w:b/>
                <w:sz w:val="16"/>
              </w:rPr>
            </w:pPr>
            <w:r>
              <w:rPr>
                <w:rFonts w:ascii="Arial" w:hAnsi="Arial" w:cs="Arial"/>
                <w:b/>
                <w:sz w:val="16"/>
              </w:rPr>
              <w:t>Path</w:t>
            </w:r>
          </w:p>
        </w:tc>
        <w:tc>
          <w:tcPr>
            <w:tcW w:w="1250" w:type="pct"/>
          </w:tcPr>
          <w:p w14:paraId="0BF494E1" w14:textId="1BCF2772" w:rsidR="006F56DB" w:rsidRPr="006F56DB" w:rsidRDefault="006F56DB" w:rsidP="006F56DB">
            <w:pPr>
              <w:spacing w:after="120"/>
              <w:rPr>
                <w:rFonts w:ascii="Arial" w:hAnsi="Arial" w:cs="Arial"/>
                <w:b/>
                <w:sz w:val="16"/>
              </w:rPr>
            </w:pPr>
            <w:r>
              <w:rPr>
                <w:rFonts w:ascii="Arial" w:hAnsi="Arial" w:cs="Arial"/>
                <w:b/>
                <w:sz w:val="16"/>
              </w:rPr>
              <w:t>Backend</w:t>
            </w:r>
          </w:p>
        </w:tc>
      </w:tr>
      <w:tr w:rsidR="006F56DB" w:rsidRPr="006F56DB" w14:paraId="5382A5D3" w14:textId="77777777" w:rsidTr="006F56DB">
        <w:tc>
          <w:tcPr>
            <w:tcW w:w="1250" w:type="pct"/>
          </w:tcPr>
          <w:p w14:paraId="40B2908C" w14:textId="7528FD41" w:rsidR="006F56DB" w:rsidRPr="006F56DB" w:rsidRDefault="006F56DB" w:rsidP="006F56DB">
            <w:pPr>
              <w:spacing w:after="120"/>
              <w:rPr>
                <w:rFonts w:ascii="Arial" w:hAnsi="Arial" w:cs="Arial"/>
                <w:sz w:val="16"/>
              </w:rPr>
            </w:pPr>
            <w:r>
              <w:rPr>
                <w:rFonts w:ascii="Arial" w:hAnsi="Arial" w:cs="Arial"/>
                <w:sz w:val="16"/>
              </w:rPr>
              <w:t>fhir-payera-inbound</w:t>
            </w:r>
          </w:p>
        </w:tc>
        <w:tc>
          <w:tcPr>
            <w:tcW w:w="1250" w:type="pct"/>
          </w:tcPr>
          <w:p w14:paraId="1D6022C1" w14:textId="40889356" w:rsidR="006F56DB" w:rsidRPr="006F56DB" w:rsidRDefault="006F56DB" w:rsidP="006F56DB">
            <w:pPr>
              <w:spacing w:after="120"/>
              <w:rPr>
                <w:rFonts w:ascii="Arial" w:hAnsi="Arial" w:cs="Arial"/>
                <w:sz w:val="16"/>
              </w:rPr>
            </w:pPr>
            <w:r>
              <w:rPr>
                <w:rFonts w:ascii="Arial" w:hAnsi="Arial" w:cs="Arial"/>
                <w:sz w:val="16"/>
              </w:rPr>
              <w:t>Contoso Health Plan - Inbound (ingest)</w:t>
            </w:r>
          </w:p>
        </w:tc>
        <w:tc>
          <w:tcPr>
            <w:tcW w:w="1250" w:type="pct"/>
          </w:tcPr>
          <w:p w14:paraId="0C21FC11" w14:textId="5289134C" w:rsidR="006F56DB" w:rsidRPr="006F56DB" w:rsidRDefault="006F56DB" w:rsidP="006F56DB">
            <w:pPr>
              <w:spacing w:after="120"/>
              <w:rPr>
                <w:rFonts w:ascii="Arial" w:hAnsi="Arial" w:cs="Arial"/>
                <w:sz w:val="16"/>
              </w:rPr>
            </w:pPr>
            <w:r>
              <w:rPr>
                <w:rFonts w:ascii="Arial" w:hAnsi="Arial" w:cs="Arial"/>
                <w:sz w:val="16"/>
              </w:rPr>
              <w:t>payera/inbound</w:t>
            </w:r>
          </w:p>
        </w:tc>
        <w:tc>
          <w:tcPr>
            <w:tcW w:w="1250" w:type="pct"/>
          </w:tcPr>
          <w:p w14:paraId="0ECFC343" w14:textId="6FB62844" w:rsidR="006F56DB" w:rsidRPr="006F56DB" w:rsidRDefault="006F56DB" w:rsidP="006F56DB">
            <w:pPr>
              <w:spacing w:after="120"/>
              <w:rPr>
                <w:rFonts w:ascii="Arial" w:hAnsi="Arial" w:cs="Arial"/>
                <w:sz w:val="16"/>
              </w:rPr>
            </w:pPr>
            <w:r>
              <w:rPr>
                <w:rFonts w:ascii="Arial" w:hAnsi="Arial" w:cs="Arial"/>
                <w:sz w:val="16"/>
              </w:rPr>
              <w:t>fhir-payera</w:t>
            </w:r>
          </w:p>
        </w:tc>
      </w:tr>
      <w:tr w:rsidR="006F56DB" w:rsidRPr="006F56DB" w14:paraId="7C448A40" w14:textId="77777777" w:rsidTr="006F56DB">
        <w:tc>
          <w:tcPr>
            <w:tcW w:w="1250" w:type="pct"/>
          </w:tcPr>
          <w:p w14:paraId="56206A3D" w14:textId="3A33BADB" w:rsidR="006F56DB" w:rsidRPr="006F56DB" w:rsidRDefault="006F56DB" w:rsidP="006F56DB">
            <w:pPr>
              <w:spacing w:after="120"/>
              <w:rPr>
                <w:rFonts w:ascii="Arial" w:hAnsi="Arial" w:cs="Arial"/>
                <w:sz w:val="16"/>
              </w:rPr>
            </w:pPr>
            <w:r>
              <w:rPr>
                <w:rFonts w:ascii="Arial" w:hAnsi="Arial" w:cs="Arial"/>
                <w:sz w:val="16"/>
              </w:rPr>
              <w:t>fhir-payera-outbound</w:t>
            </w:r>
          </w:p>
        </w:tc>
        <w:tc>
          <w:tcPr>
            <w:tcW w:w="1250" w:type="pct"/>
          </w:tcPr>
          <w:p w14:paraId="34989727" w14:textId="6D942AAA" w:rsidR="006F56DB" w:rsidRPr="006F56DB" w:rsidRDefault="006F56DB" w:rsidP="006F56DB">
            <w:pPr>
              <w:spacing w:after="120"/>
              <w:rPr>
                <w:rFonts w:ascii="Arial" w:hAnsi="Arial" w:cs="Arial"/>
                <w:sz w:val="16"/>
              </w:rPr>
            </w:pPr>
            <w:r>
              <w:rPr>
                <w:rFonts w:ascii="Arial" w:hAnsi="Arial" w:cs="Arial"/>
                <w:sz w:val="16"/>
              </w:rPr>
              <w:t>Contoso Health Plan - Outbound (payer pull)</w:t>
            </w:r>
          </w:p>
        </w:tc>
        <w:tc>
          <w:tcPr>
            <w:tcW w:w="1250" w:type="pct"/>
          </w:tcPr>
          <w:p w14:paraId="5CEB89B5" w14:textId="6835A40E" w:rsidR="006F56DB" w:rsidRPr="006F56DB" w:rsidRDefault="006F56DB" w:rsidP="006F56DB">
            <w:pPr>
              <w:spacing w:after="120"/>
              <w:rPr>
                <w:rFonts w:ascii="Arial" w:hAnsi="Arial" w:cs="Arial"/>
                <w:sz w:val="16"/>
              </w:rPr>
            </w:pPr>
            <w:r>
              <w:rPr>
                <w:rFonts w:ascii="Arial" w:hAnsi="Arial" w:cs="Arial"/>
                <w:sz w:val="16"/>
              </w:rPr>
              <w:t>payera/outbound</w:t>
            </w:r>
          </w:p>
        </w:tc>
        <w:tc>
          <w:tcPr>
            <w:tcW w:w="1250" w:type="pct"/>
          </w:tcPr>
          <w:p w14:paraId="530EDD17" w14:textId="6CE3A74B" w:rsidR="006F56DB" w:rsidRPr="006F56DB" w:rsidRDefault="006F56DB" w:rsidP="006F56DB">
            <w:pPr>
              <w:spacing w:after="120"/>
              <w:rPr>
                <w:rFonts w:ascii="Arial" w:hAnsi="Arial" w:cs="Arial"/>
                <w:sz w:val="16"/>
              </w:rPr>
            </w:pPr>
            <w:r>
              <w:rPr>
                <w:rFonts w:ascii="Arial" w:hAnsi="Arial" w:cs="Arial"/>
                <w:sz w:val="16"/>
              </w:rPr>
              <w:t>fhir-payera</w:t>
            </w:r>
          </w:p>
        </w:tc>
      </w:tr>
      <w:tr w:rsidR="006F56DB" w:rsidRPr="006F56DB" w14:paraId="045DEDB8" w14:textId="77777777" w:rsidTr="006F56DB">
        <w:tc>
          <w:tcPr>
            <w:tcW w:w="1250" w:type="pct"/>
          </w:tcPr>
          <w:p w14:paraId="6C78C3B7" w14:textId="7495CBE6" w:rsidR="006F56DB" w:rsidRPr="006F56DB" w:rsidRDefault="006F56DB" w:rsidP="006F56DB">
            <w:pPr>
              <w:spacing w:after="120"/>
              <w:rPr>
                <w:rFonts w:ascii="Arial" w:hAnsi="Arial" w:cs="Arial"/>
                <w:sz w:val="16"/>
              </w:rPr>
            </w:pPr>
            <w:r>
              <w:rPr>
                <w:rFonts w:ascii="Arial" w:hAnsi="Arial" w:cs="Arial"/>
                <w:sz w:val="16"/>
              </w:rPr>
              <w:t>fhir-payerb-inbound</w:t>
            </w:r>
          </w:p>
        </w:tc>
        <w:tc>
          <w:tcPr>
            <w:tcW w:w="1250" w:type="pct"/>
          </w:tcPr>
          <w:p w14:paraId="6FF93718" w14:textId="31BC26E0" w:rsidR="006F56DB" w:rsidRPr="006F56DB" w:rsidRDefault="006F56DB" w:rsidP="006F56DB">
            <w:pPr>
              <w:spacing w:after="120"/>
              <w:rPr>
                <w:rFonts w:ascii="Arial" w:hAnsi="Arial" w:cs="Arial"/>
                <w:sz w:val="16"/>
              </w:rPr>
            </w:pPr>
            <w:r>
              <w:rPr>
                <w:rFonts w:ascii="Arial" w:hAnsi="Arial" w:cs="Arial"/>
                <w:sz w:val="16"/>
              </w:rPr>
              <w:t>Fabrikam Medicare Advantage - Inbound</w:t>
            </w:r>
          </w:p>
        </w:tc>
        <w:tc>
          <w:tcPr>
            <w:tcW w:w="1250" w:type="pct"/>
          </w:tcPr>
          <w:p w14:paraId="46C3780C" w14:textId="1A2C1DA5" w:rsidR="006F56DB" w:rsidRPr="006F56DB" w:rsidRDefault="006F56DB" w:rsidP="006F56DB">
            <w:pPr>
              <w:spacing w:after="120"/>
              <w:rPr>
                <w:rFonts w:ascii="Arial" w:hAnsi="Arial" w:cs="Arial"/>
                <w:sz w:val="16"/>
              </w:rPr>
            </w:pPr>
            <w:r>
              <w:rPr>
                <w:rFonts w:ascii="Arial" w:hAnsi="Arial" w:cs="Arial"/>
                <w:sz w:val="16"/>
              </w:rPr>
              <w:t>payerb/inbound</w:t>
            </w:r>
          </w:p>
        </w:tc>
        <w:tc>
          <w:tcPr>
            <w:tcW w:w="1250" w:type="pct"/>
          </w:tcPr>
          <w:p w14:paraId="53E14697" w14:textId="2979F43F" w:rsidR="006F56DB" w:rsidRPr="006F56DB" w:rsidRDefault="006F56DB" w:rsidP="006F56DB">
            <w:pPr>
              <w:spacing w:after="120"/>
              <w:rPr>
                <w:rFonts w:ascii="Arial" w:hAnsi="Arial" w:cs="Arial"/>
                <w:sz w:val="16"/>
              </w:rPr>
            </w:pPr>
            <w:r>
              <w:rPr>
                <w:rFonts w:ascii="Arial" w:hAnsi="Arial" w:cs="Arial"/>
                <w:sz w:val="16"/>
              </w:rPr>
              <w:t>fhir-payerb</w:t>
            </w:r>
          </w:p>
        </w:tc>
      </w:tr>
      <w:tr w:rsidR="006F56DB" w:rsidRPr="006F56DB" w14:paraId="2CEE9C87" w14:textId="77777777" w:rsidTr="006F56DB">
        <w:tc>
          <w:tcPr>
            <w:tcW w:w="1250" w:type="pct"/>
          </w:tcPr>
          <w:p w14:paraId="22755DAC" w14:textId="469BDC4B" w:rsidR="006F56DB" w:rsidRPr="006F56DB" w:rsidRDefault="006F56DB" w:rsidP="006F56DB">
            <w:pPr>
              <w:spacing w:after="120"/>
              <w:rPr>
                <w:rFonts w:ascii="Arial" w:hAnsi="Arial" w:cs="Arial"/>
                <w:sz w:val="16"/>
              </w:rPr>
            </w:pPr>
            <w:r>
              <w:rPr>
                <w:rFonts w:ascii="Arial" w:hAnsi="Arial" w:cs="Arial"/>
                <w:sz w:val="16"/>
              </w:rPr>
              <w:t>fhir-payerb-outbound</w:t>
            </w:r>
          </w:p>
        </w:tc>
        <w:tc>
          <w:tcPr>
            <w:tcW w:w="1250" w:type="pct"/>
          </w:tcPr>
          <w:p w14:paraId="0B97614F" w14:textId="645F070E" w:rsidR="006F56DB" w:rsidRPr="006F56DB" w:rsidRDefault="006F56DB" w:rsidP="006F56DB">
            <w:pPr>
              <w:spacing w:after="120"/>
              <w:rPr>
                <w:rFonts w:ascii="Arial" w:hAnsi="Arial" w:cs="Arial"/>
                <w:sz w:val="16"/>
              </w:rPr>
            </w:pPr>
            <w:r>
              <w:rPr>
                <w:rFonts w:ascii="Arial" w:hAnsi="Arial" w:cs="Arial"/>
                <w:sz w:val="16"/>
              </w:rPr>
              <w:t>Fabrikam Medicare Advantage - Outbound</w:t>
            </w:r>
          </w:p>
        </w:tc>
        <w:tc>
          <w:tcPr>
            <w:tcW w:w="1250" w:type="pct"/>
          </w:tcPr>
          <w:p w14:paraId="497CD4A9" w14:textId="2C9E8DD0" w:rsidR="006F56DB" w:rsidRPr="006F56DB" w:rsidRDefault="006F56DB" w:rsidP="006F56DB">
            <w:pPr>
              <w:spacing w:after="120"/>
              <w:rPr>
                <w:rFonts w:ascii="Arial" w:hAnsi="Arial" w:cs="Arial"/>
                <w:sz w:val="16"/>
              </w:rPr>
            </w:pPr>
            <w:r>
              <w:rPr>
                <w:rFonts w:ascii="Arial" w:hAnsi="Arial" w:cs="Arial"/>
                <w:sz w:val="16"/>
              </w:rPr>
              <w:t>payerb/outbound</w:t>
            </w:r>
          </w:p>
        </w:tc>
        <w:tc>
          <w:tcPr>
            <w:tcW w:w="1250" w:type="pct"/>
          </w:tcPr>
          <w:p w14:paraId="54F743BD" w14:textId="59B3235A" w:rsidR="006F56DB" w:rsidRPr="006F56DB" w:rsidRDefault="006F56DB" w:rsidP="006F56DB">
            <w:pPr>
              <w:spacing w:after="120"/>
              <w:rPr>
                <w:rFonts w:ascii="Arial" w:hAnsi="Arial" w:cs="Arial"/>
                <w:sz w:val="16"/>
              </w:rPr>
            </w:pPr>
            <w:r>
              <w:rPr>
                <w:rFonts w:ascii="Arial" w:hAnsi="Arial" w:cs="Arial"/>
                <w:sz w:val="16"/>
              </w:rPr>
              <w:t>fhir-payerb</w:t>
            </w:r>
          </w:p>
        </w:tc>
      </w:tr>
    </w:tbl>
    <w:p w14:paraId="27775711" w14:textId="77777777" w:rsidR="006F56DB" w:rsidRDefault="006F56DB" w:rsidP="006F56DB">
      <w:pPr>
        <w:spacing w:after="120"/>
      </w:pPr>
    </w:p>
    <w:p w14:paraId="29304438" w14:textId="3BB5D26A" w:rsidR="006F56DB" w:rsidRDefault="006F56DB">
      <w:r>
        <w:br w:type="page"/>
      </w:r>
    </w:p>
    <w:p w14:paraId="0047D88D" w14:textId="44DCDF05" w:rsidR="006F56DB" w:rsidRDefault="006F56DB" w:rsidP="006F56DB">
      <w:pPr>
        <w:pStyle w:val="Heading1"/>
        <w:spacing w:after="160"/>
      </w:pPr>
      <w:bookmarkStart w:id="8" w:name="_Toc239065111"/>
      <w:r w:rsidRPr="006F56DB">
        <w:t>3. Run of show</w:t>
      </w:r>
      <w:bookmarkEnd w:id="8"/>
    </w:p>
    <w:tbl>
      <w:tblPr>
        <w:tblStyle w:val="TableGrid"/>
        <w:tblW w:w="5000" w:type="pct"/>
        <w:tblLook w:val="04A0" w:firstRow="1" w:lastRow="0" w:firstColumn="1" w:lastColumn="0" w:noHBand="0" w:noVBand="1"/>
      </w:tblPr>
      <w:tblGrid>
        <w:gridCol w:w="2427"/>
        <w:gridCol w:w="2427"/>
        <w:gridCol w:w="2428"/>
        <w:gridCol w:w="2428"/>
      </w:tblGrid>
      <w:tr w:rsidR="006F56DB" w:rsidRPr="006F56DB" w14:paraId="0E3D9FDC" w14:textId="77777777" w:rsidTr="006F56DB">
        <w:trPr>
          <w:tblHeader/>
        </w:trPr>
        <w:tc>
          <w:tcPr>
            <w:tcW w:w="1250" w:type="pct"/>
          </w:tcPr>
          <w:p w14:paraId="2065DA6C" w14:textId="4A5122C8" w:rsidR="006F56DB" w:rsidRPr="006F56DB" w:rsidRDefault="006F56DB" w:rsidP="006F56DB">
            <w:pPr>
              <w:rPr>
                <w:rFonts w:ascii="Arial" w:hAnsi="Arial" w:cs="Arial"/>
                <w:b/>
                <w:sz w:val="18"/>
              </w:rPr>
            </w:pPr>
            <w:r>
              <w:rPr>
                <w:rFonts w:ascii="Arial" w:hAnsi="Arial" w:cs="Arial"/>
                <w:b/>
                <w:sz w:val="18"/>
              </w:rPr>
              <w:t>Time</w:t>
            </w:r>
          </w:p>
        </w:tc>
        <w:tc>
          <w:tcPr>
            <w:tcW w:w="1250" w:type="pct"/>
          </w:tcPr>
          <w:p w14:paraId="7E791678" w14:textId="25B034AA" w:rsidR="006F56DB" w:rsidRPr="006F56DB" w:rsidRDefault="006F56DB" w:rsidP="006F56DB">
            <w:pPr>
              <w:rPr>
                <w:rFonts w:ascii="Arial" w:hAnsi="Arial" w:cs="Arial"/>
                <w:b/>
                <w:sz w:val="18"/>
              </w:rPr>
            </w:pPr>
            <w:r>
              <w:rPr>
                <w:rFonts w:ascii="Arial" w:hAnsi="Arial" w:cs="Arial"/>
                <w:b/>
                <w:sz w:val="18"/>
              </w:rPr>
              <w:t>Topic</w:t>
            </w:r>
          </w:p>
        </w:tc>
        <w:tc>
          <w:tcPr>
            <w:tcW w:w="1250" w:type="pct"/>
          </w:tcPr>
          <w:p w14:paraId="065FE8C1" w14:textId="73E127B6" w:rsidR="006F56DB" w:rsidRPr="006F56DB" w:rsidRDefault="006F56DB" w:rsidP="006F56DB">
            <w:pPr>
              <w:rPr>
                <w:rFonts w:ascii="Arial" w:hAnsi="Arial" w:cs="Arial"/>
                <w:b/>
                <w:sz w:val="18"/>
              </w:rPr>
            </w:pPr>
            <w:r>
              <w:rPr>
                <w:rFonts w:ascii="Arial" w:hAnsi="Arial" w:cs="Arial"/>
                <w:b/>
                <w:sz w:val="18"/>
              </w:rPr>
              <w:t>Slides</w:t>
            </w:r>
          </w:p>
        </w:tc>
        <w:tc>
          <w:tcPr>
            <w:tcW w:w="1250" w:type="pct"/>
          </w:tcPr>
          <w:p w14:paraId="2870E63E" w14:textId="1FBD55AC" w:rsidR="006F56DB" w:rsidRPr="006F56DB" w:rsidRDefault="006F56DB" w:rsidP="006F56DB">
            <w:pPr>
              <w:rPr>
                <w:rFonts w:ascii="Arial" w:hAnsi="Arial" w:cs="Arial"/>
                <w:b/>
                <w:sz w:val="18"/>
              </w:rPr>
            </w:pPr>
            <w:r>
              <w:rPr>
                <w:rFonts w:ascii="Arial" w:hAnsi="Arial" w:cs="Arial"/>
                <w:b/>
                <w:sz w:val="18"/>
              </w:rPr>
              <w:t>Live artefact</w:t>
            </w:r>
          </w:p>
        </w:tc>
      </w:tr>
      <w:tr w:rsidR="006F56DB" w:rsidRPr="006F56DB" w14:paraId="358EA6FF" w14:textId="77777777" w:rsidTr="006F56DB">
        <w:tc>
          <w:tcPr>
            <w:tcW w:w="1250" w:type="pct"/>
          </w:tcPr>
          <w:p w14:paraId="6D2A6B66" w14:textId="3D8C7855" w:rsidR="006F56DB" w:rsidRPr="006F56DB" w:rsidRDefault="006F56DB" w:rsidP="006F56DB">
            <w:pPr>
              <w:rPr>
                <w:rFonts w:ascii="Arial" w:hAnsi="Arial" w:cs="Arial"/>
                <w:sz w:val="18"/>
              </w:rPr>
            </w:pPr>
            <w:r>
              <w:rPr>
                <w:rFonts w:ascii="Arial" w:hAnsi="Arial" w:cs="Arial"/>
                <w:sz w:val="18"/>
              </w:rPr>
              <w:t>00-05</w:t>
            </w:r>
          </w:p>
        </w:tc>
        <w:tc>
          <w:tcPr>
            <w:tcW w:w="1250" w:type="pct"/>
          </w:tcPr>
          <w:p w14:paraId="0F6715E7" w14:textId="50F12E58" w:rsidR="006F56DB" w:rsidRPr="006F56DB" w:rsidRDefault="006F56DB" w:rsidP="006F56DB">
            <w:pPr>
              <w:rPr>
                <w:rFonts w:ascii="Arial" w:hAnsi="Arial" w:cs="Arial"/>
                <w:sz w:val="18"/>
              </w:rPr>
            </w:pPr>
            <w:r>
              <w:rPr>
                <w:rFonts w:ascii="Arial" w:hAnsi="Arial" w:cs="Arial"/>
                <w:sz w:val="18"/>
              </w:rPr>
              <w:t>Objectives and scope</w:t>
            </w:r>
          </w:p>
        </w:tc>
        <w:tc>
          <w:tcPr>
            <w:tcW w:w="1250" w:type="pct"/>
          </w:tcPr>
          <w:p w14:paraId="00BFFD7D" w14:textId="4F8BBB29" w:rsidR="006F56DB" w:rsidRPr="006F56DB" w:rsidRDefault="006F56DB" w:rsidP="006F56DB">
            <w:pPr>
              <w:rPr>
                <w:rFonts w:ascii="Arial" w:hAnsi="Arial" w:cs="Arial"/>
                <w:sz w:val="18"/>
              </w:rPr>
            </w:pPr>
            <w:r>
              <w:rPr>
                <w:rFonts w:ascii="Arial" w:hAnsi="Arial" w:cs="Arial"/>
                <w:sz w:val="18"/>
              </w:rPr>
              <w:t>1-2</w:t>
            </w:r>
          </w:p>
        </w:tc>
        <w:tc>
          <w:tcPr>
            <w:tcW w:w="1250" w:type="pct"/>
          </w:tcPr>
          <w:p w14:paraId="606C4B39" w14:textId="3E9801E4" w:rsidR="006F56DB" w:rsidRPr="006F56DB" w:rsidRDefault="006F56DB" w:rsidP="006F56DB">
            <w:pPr>
              <w:rPr>
                <w:rFonts w:ascii="Arial" w:hAnsi="Arial" w:cs="Arial"/>
                <w:sz w:val="18"/>
              </w:rPr>
            </w:pPr>
            <w:r>
              <w:rPr>
                <w:rFonts w:ascii="Arial" w:hAnsi="Arial" w:cs="Arial"/>
                <w:sz w:val="18"/>
              </w:rPr>
              <w:t>none</w:t>
            </w:r>
          </w:p>
        </w:tc>
      </w:tr>
      <w:tr w:rsidR="006F56DB" w:rsidRPr="006F56DB" w14:paraId="602CEAC4" w14:textId="77777777" w:rsidTr="006F56DB">
        <w:tc>
          <w:tcPr>
            <w:tcW w:w="1250" w:type="pct"/>
          </w:tcPr>
          <w:p w14:paraId="3CA9490C" w14:textId="688D542E" w:rsidR="006F56DB" w:rsidRPr="006F56DB" w:rsidRDefault="006F56DB" w:rsidP="006F56DB">
            <w:pPr>
              <w:rPr>
                <w:rFonts w:ascii="Arial" w:hAnsi="Arial" w:cs="Arial"/>
                <w:sz w:val="18"/>
              </w:rPr>
            </w:pPr>
            <w:r>
              <w:rPr>
                <w:rFonts w:ascii="Arial" w:hAnsi="Arial" w:cs="Arial"/>
                <w:sz w:val="18"/>
              </w:rPr>
              <w:t>05-12</w:t>
            </w:r>
          </w:p>
        </w:tc>
        <w:tc>
          <w:tcPr>
            <w:tcW w:w="1250" w:type="pct"/>
          </w:tcPr>
          <w:p w14:paraId="456424FB" w14:textId="10E34613" w:rsidR="006F56DB" w:rsidRPr="006F56DB" w:rsidRDefault="006F56DB" w:rsidP="006F56DB">
            <w:pPr>
              <w:rPr>
                <w:rFonts w:ascii="Arial" w:hAnsi="Arial" w:cs="Arial"/>
                <w:sz w:val="18"/>
              </w:rPr>
            </w:pPr>
            <w:r>
              <w:rPr>
                <w:rFonts w:ascii="Arial" w:hAnsi="Arial" w:cs="Arial"/>
                <w:sz w:val="18"/>
              </w:rPr>
              <w:t>APIM in the CMS-0057-F architecture</w:t>
            </w:r>
          </w:p>
        </w:tc>
        <w:tc>
          <w:tcPr>
            <w:tcW w:w="1250" w:type="pct"/>
          </w:tcPr>
          <w:p w14:paraId="2DEB7FEF" w14:textId="7A0406D0" w:rsidR="006F56DB" w:rsidRPr="006F56DB" w:rsidRDefault="006F56DB" w:rsidP="006F56DB">
            <w:pPr>
              <w:rPr>
                <w:rFonts w:ascii="Arial" w:hAnsi="Arial" w:cs="Arial"/>
                <w:sz w:val="18"/>
              </w:rPr>
            </w:pPr>
            <w:r>
              <w:rPr>
                <w:rFonts w:ascii="Arial" w:hAnsi="Arial" w:cs="Arial"/>
                <w:sz w:val="18"/>
              </w:rPr>
              <w:t>3-5</w:t>
            </w:r>
          </w:p>
        </w:tc>
        <w:tc>
          <w:tcPr>
            <w:tcW w:w="1250" w:type="pct"/>
          </w:tcPr>
          <w:p w14:paraId="3E97C9FE" w14:textId="07865772" w:rsidR="006F56DB" w:rsidRPr="006F56DB" w:rsidRDefault="006F56DB" w:rsidP="006F56DB">
            <w:pPr>
              <w:rPr>
                <w:rFonts w:ascii="Arial" w:hAnsi="Arial" w:cs="Arial"/>
                <w:sz w:val="18"/>
              </w:rPr>
            </w:pPr>
            <w:r>
              <w:rPr>
                <w:rFonts w:ascii="Arial" w:hAnsi="Arial" w:cs="Arial"/>
                <w:sz w:val="18"/>
              </w:rPr>
              <w:t>Segment A - portal</w:t>
            </w:r>
          </w:p>
        </w:tc>
      </w:tr>
      <w:tr w:rsidR="006F56DB" w:rsidRPr="006F56DB" w14:paraId="621981C6" w14:textId="77777777" w:rsidTr="006F56DB">
        <w:tc>
          <w:tcPr>
            <w:tcW w:w="1250" w:type="pct"/>
          </w:tcPr>
          <w:p w14:paraId="363744B5" w14:textId="47D569E2" w:rsidR="006F56DB" w:rsidRPr="006F56DB" w:rsidRDefault="006F56DB" w:rsidP="006F56DB">
            <w:pPr>
              <w:rPr>
                <w:rFonts w:ascii="Arial" w:hAnsi="Arial" w:cs="Arial"/>
                <w:sz w:val="18"/>
              </w:rPr>
            </w:pPr>
            <w:r>
              <w:rPr>
                <w:rFonts w:ascii="Arial" w:hAnsi="Arial" w:cs="Arial"/>
                <w:sz w:val="18"/>
              </w:rPr>
              <w:t>12-20</w:t>
            </w:r>
          </w:p>
        </w:tc>
        <w:tc>
          <w:tcPr>
            <w:tcW w:w="1250" w:type="pct"/>
          </w:tcPr>
          <w:p w14:paraId="0153B5FD" w14:textId="614BE927" w:rsidR="006F56DB" w:rsidRPr="006F56DB" w:rsidRDefault="006F56DB" w:rsidP="006F56DB">
            <w:pPr>
              <w:rPr>
                <w:rFonts w:ascii="Arial" w:hAnsi="Arial" w:cs="Arial"/>
                <w:sz w:val="18"/>
              </w:rPr>
            </w:pPr>
            <w:r>
              <w:rPr>
                <w:rFonts w:ascii="Arial" w:hAnsi="Arial" w:cs="Arial"/>
                <w:sz w:val="18"/>
              </w:rPr>
              <w:t>Inbound vs outbound partitioning model</w:t>
            </w:r>
          </w:p>
        </w:tc>
        <w:tc>
          <w:tcPr>
            <w:tcW w:w="1250" w:type="pct"/>
          </w:tcPr>
          <w:p w14:paraId="03796369" w14:textId="383C6625" w:rsidR="006F56DB" w:rsidRPr="006F56DB" w:rsidRDefault="006F56DB" w:rsidP="006F56DB">
            <w:pPr>
              <w:rPr>
                <w:rFonts w:ascii="Arial" w:hAnsi="Arial" w:cs="Arial"/>
                <w:sz w:val="18"/>
              </w:rPr>
            </w:pPr>
            <w:r>
              <w:rPr>
                <w:rFonts w:ascii="Arial" w:hAnsi="Arial" w:cs="Arial"/>
                <w:sz w:val="18"/>
              </w:rPr>
              <w:t>6</w:t>
            </w:r>
          </w:p>
        </w:tc>
        <w:tc>
          <w:tcPr>
            <w:tcW w:w="1250" w:type="pct"/>
          </w:tcPr>
          <w:p w14:paraId="62E764F9" w14:textId="00275F47" w:rsidR="006F56DB" w:rsidRPr="006F56DB" w:rsidRDefault="006F56DB" w:rsidP="006F56DB">
            <w:pPr>
              <w:rPr>
                <w:rFonts w:ascii="Arial" w:hAnsi="Arial" w:cs="Arial"/>
                <w:sz w:val="18"/>
              </w:rPr>
            </w:pPr>
            <w:r>
              <w:rPr>
                <w:rFonts w:ascii="Arial" w:hAnsi="Arial" w:cs="Arial"/>
                <w:sz w:val="18"/>
              </w:rPr>
              <w:t>Segment B - portal</w:t>
            </w:r>
          </w:p>
        </w:tc>
      </w:tr>
      <w:tr w:rsidR="006F56DB" w:rsidRPr="006F56DB" w14:paraId="4F7CB7A2" w14:textId="77777777" w:rsidTr="006F56DB">
        <w:tc>
          <w:tcPr>
            <w:tcW w:w="1250" w:type="pct"/>
          </w:tcPr>
          <w:p w14:paraId="0794774E" w14:textId="017EE55D" w:rsidR="006F56DB" w:rsidRPr="006F56DB" w:rsidRDefault="006F56DB" w:rsidP="006F56DB">
            <w:pPr>
              <w:rPr>
                <w:rFonts w:ascii="Arial" w:hAnsi="Arial" w:cs="Arial"/>
                <w:sz w:val="18"/>
              </w:rPr>
            </w:pPr>
            <w:r>
              <w:rPr>
                <w:rFonts w:ascii="Arial" w:hAnsi="Arial" w:cs="Arial"/>
                <w:sz w:val="18"/>
              </w:rPr>
              <w:t>20-35</w:t>
            </w:r>
          </w:p>
        </w:tc>
        <w:tc>
          <w:tcPr>
            <w:tcW w:w="1250" w:type="pct"/>
          </w:tcPr>
          <w:p w14:paraId="65B18DCD" w14:textId="7C31C799" w:rsidR="006F56DB" w:rsidRPr="006F56DB" w:rsidRDefault="006F56DB" w:rsidP="006F56DB">
            <w:pPr>
              <w:rPr>
                <w:rFonts w:ascii="Arial" w:hAnsi="Arial" w:cs="Arial"/>
                <w:sz w:val="18"/>
              </w:rPr>
            </w:pPr>
            <w:r>
              <w:rPr>
                <w:rFonts w:ascii="Arial" w:hAnsi="Arial" w:cs="Arial"/>
                <w:sz w:val="18"/>
              </w:rPr>
              <w:t>Live demo - gateway isolation tests</w:t>
            </w:r>
          </w:p>
        </w:tc>
        <w:tc>
          <w:tcPr>
            <w:tcW w:w="1250" w:type="pct"/>
          </w:tcPr>
          <w:p w14:paraId="6799E097" w14:textId="1CC3243E" w:rsidR="006F56DB" w:rsidRPr="006F56DB" w:rsidRDefault="006F56DB" w:rsidP="006F56DB">
            <w:pPr>
              <w:rPr>
                <w:rFonts w:ascii="Arial" w:hAnsi="Arial" w:cs="Arial"/>
                <w:sz w:val="18"/>
              </w:rPr>
            </w:pPr>
            <w:r>
              <w:rPr>
                <w:rFonts w:ascii="Arial" w:hAnsi="Arial" w:cs="Arial"/>
                <w:sz w:val="18"/>
              </w:rPr>
              <w:t>12</w:t>
            </w:r>
          </w:p>
        </w:tc>
        <w:tc>
          <w:tcPr>
            <w:tcW w:w="1250" w:type="pct"/>
          </w:tcPr>
          <w:p w14:paraId="1549E902" w14:textId="05522DBA" w:rsidR="006F56DB" w:rsidRPr="006F56DB" w:rsidRDefault="006F56DB" w:rsidP="006F56DB">
            <w:pPr>
              <w:rPr>
                <w:rFonts w:ascii="Arial" w:hAnsi="Arial" w:cs="Arial"/>
                <w:sz w:val="18"/>
              </w:rPr>
            </w:pPr>
            <w:r>
              <w:rPr>
                <w:rFonts w:ascii="Arial" w:hAnsi="Arial" w:cs="Arial"/>
                <w:sz w:val="18"/>
              </w:rPr>
              <w:t>Segments C, D, E, F</w:t>
            </w:r>
          </w:p>
        </w:tc>
      </w:tr>
      <w:tr w:rsidR="006F56DB" w:rsidRPr="006F56DB" w14:paraId="7AF5E203" w14:textId="77777777" w:rsidTr="006F56DB">
        <w:tc>
          <w:tcPr>
            <w:tcW w:w="1250" w:type="pct"/>
          </w:tcPr>
          <w:p w14:paraId="7E9DADBF" w14:textId="3CB0EBD2" w:rsidR="006F56DB" w:rsidRPr="006F56DB" w:rsidRDefault="006F56DB" w:rsidP="006F56DB">
            <w:pPr>
              <w:rPr>
                <w:rFonts w:ascii="Arial" w:hAnsi="Arial" w:cs="Arial"/>
                <w:sz w:val="18"/>
              </w:rPr>
            </w:pPr>
            <w:r>
              <w:rPr>
                <w:rFonts w:ascii="Arial" w:hAnsi="Arial" w:cs="Arial"/>
                <w:sz w:val="18"/>
              </w:rPr>
              <w:t>35-45</w:t>
            </w:r>
          </w:p>
        </w:tc>
        <w:tc>
          <w:tcPr>
            <w:tcW w:w="1250" w:type="pct"/>
          </w:tcPr>
          <w:p w14:paraId="021F67CF" w14:textId="6A53BA6B" w:rsidR="006F56DB" w:rsidRPr="006F56DB" w:rsidRDefault="006F56DB" w:rsidP="006F56DB">
            <w:pPr>
              <w:rPr>
                <w:rFonts w:ascii="Arial" w:hAnsi="Arial" w:cs="Arial"/>
                <w:sz w:val="18"/>
              </w:rPr>
            </w:pPr>
            <w:r>
              <w:rPr>
                <w:rFonts w:ascii="Arial" w:hAnsi="Arial" w:cs="Arial"/>
                <w:sz w:val="18"/>
              </w:rPr>
              <w:t>Policy walkthrough and debug trace</w:t>
            </w:r>
          </w:p>
        </w:tc>
        <w:tc>
          <w:tcPr>
            <w:tcW w:w="1250" w:type="pct"/>
          </w:tcPr>
          <w:p w14:paraId="09DE2793" w14:textId="292380A0" w:rsidR="006F56DB" w:rsidRPr="006F56DB" w:rsidRDefault="006F56DB" w:rsidP="006F56DB">
            <w:pPr>
              <w:rPr>
                <w:rFonts w:ascii="Arial" w:hAnsi="Arial" w:cs="Arial"/>
                <w:sz w:val="18"/>
              </w:rPr>
            </w:pPr>
            <w:r>
              <w:rPr>
                <w:rFonts w:ascii="Arial" w:hAnsi="Arial" w:cs="Arial"/>
                <w:sz w:val="18"/>
              </w:rPr>
              <w:t>7-11</w:t>
            </w:r>
          </w:p>
        </w:tc>
        <w:tc>
          <w:tcPr>
            <w:tcW w:w="1250" w:type="pct"/>
          </w:tcPr>
          <w:p w14:paraId="2AA0EECC" w14:textId="520A473A" w:rsidR="006F56DB" w:rsidRPr="006F56DB" w:rsidRDefault="006F56DB" w:rsidP="006F56DB">
            <w:pPr>
              <w:rPr>
                <w:rFonts w:ascii="Arial" w:hAnsi="Arial" w:cs="Arial"/>
                <w:sz w:val="18"/>
              </w:rPr>
            </w:pPr>
            <w:r>
              <w:rPr>
                <w:rFonts w:ascii="Arial" w:hAnsi="Arial" w:cs="Arial"/>
                <w:sz w:val="18"/>
              </w:rPr>
              <w:t>Segments G, H</w:t>
            </w:r>
          </w:p>
        </w:tc>
      </w:tr>
      <w:tr w:rsidR="006F56DB" w:rsidRPr="006F56DB" w14:paraId="4CEA5489" w14:textId="77777777" w:rsidTr="006F56DB">
        <w:tc>
          <w:tcPr>
            <w:tcW w:w="1250" w:type="pct"/>
          </w:tcPr>
          <w:p w14:paraId="45EC7CD8" w14:textId="6F5B5263" w:rsidR="006F56DB" w:rsidRPr="006F56DB" w:rsidRDefault="006F56DB" w:rsidP="006F56DB">
            <w:pPr>
              <w:rPr>
                <w:rFonts w:ascii="Arial" w:hAnsi="Arial" w:cs="Arial"/>
                <w:sz w:val="18"/>
              </w:rPr>
            </w:pPr>
            <w:r>
              <w:rPr>
                <w:rFonts w:ascii="Arial" w:hAnsi="Arial" w:cs="Arial"/>
                <w:sz w:val="18"/>
              </w:rPr>
              <w:t>45-52</w:t>
            </w:r>
          </w:p>
        </w:tc>
        <w:tc>
          <w:tcPr>
            <w:tcW w:w="1250" w:type="pct"/>
          </w:tcPr>
          <w:p w14:paraId="1C7E5458" w14:textId="1D748366" w:rsidR="006F56DB" w:rsidRPr="006F56DB" w:rsidRDefault="006F56DB" w:rsidP="006F56DB">
            <w:pPr>
              <w:rPr>
                <w:rFonts w:ascii="Arial" w:hAnsi="Arial" w:cs="Arial"/>
                <w:sz w:val="18"/>
              </w:rPr>
            </w:pPr>
            <w:r>
              <w:rPr>
                <w:rFonts w:ascii="Arial" w:hAnsi="Arial" w:cs="Arial"/>
                <w:sz w:val="18"/>
              </w:rPr>
              <w:t>Payer credential and identity options</w:t>
            </w:r>
          </w:p>
        </w:tc>
        <w:tc>
          <w:tcPr>
            <w:tcW w:w="1250" w:type="pct"/>
          </w:tcPr>
          <w:p w14:paraId="357680B2" w14:textId="19E19508" w:rsidR="006F56DB" w:rsidRPr="006F56DB" w:rsidRDefault="006F56DB" w:rsidP="006F56DB">
            <w:pPr>
              <w:rPr>
                <w:rFonts w:ascii="Arial" w:hAnsi="Arial" w:cs="Arial"/>
                <w:sz w:val="18"/>
              </w:rPr>
            </w:pPr>
            <w:r>
              <w:rPr>
                <w:rFonts w:ascii="Arial" w:hAnsi="Arial" w:cs="Arial"/>
                <w:sz w:val="18"/>
              </w:rPr>
              <w:t>13</w:t>
            </w:r>
          </w:p>
        </w:tc>
        <w:tc>
          <w:tcPr>
            <w:tcW w:w="1250" w:type="pct"/>
          </w:tcPr>
          <w:p w14:paraId="1E340681" w14:textId="7E1F177D" w:rsidR="006F56DB" w:rsidRPr="006F56DB" w:rsidRDefault="006F56DB" w:rsidP="006F56DB">
            <w:pPr>
              <w:rPr>
                <w:rFonts w:ascii="Arial" w:hAnsi="Arial" w:cs="Arial"/>
                <w:sz w:val="18"/>
              </w:rPr>
            </w:pPr>
            <w:r>
              <w:rPr>
                <w:rFonts w:ascii="Arial" w:hAnsi="Arial" w:cs="Arial"/>
                <w:sz w:val="18"/>
              </w:rPr>
              <w:t>none</w:t>
            </w:r>
          </w:p>
        </w:tc>
      </w:tr>
      <w:tr w:rsidR="006F56DB" w:rsidRPr="006F56DB" w14:paraId="11385AB8" w14:textId="77777777" w:rsidTr="006F56DB">
        <w:tc>
          <w:tcPr>
            <w:tcW w:w="1250" w:type="pct"/>
          </w:tcPr>
          <w:p w14:paraId="54B9E528" w14:textId="09D51079" w:rsidR="006F56DB" w:rsidRPr="006F56DB" w:rsidRDefault="006F56DB" w:rsidP="006F56DB">
            <w:pPr>
              <w:rPr>
                <w:rFonts w:ascii="Arial" w:hAnsi="Arial" w:cs="Arial"/>
                <w:sz w:val="18"/>
              </w:rPr>
            </w:pPr>
            <w:r>
              <w:rPr>
                <w:rFonts w:ascii="Arial" w:hAnsi="Arial" w:cs="Arial"/>
                <w:sz w:val="18"/>
              </w:rPr>
              <w:t>52-58</w:t>
            </w:r>
          </w:p>
        </w:tc>
        <w:tc>
          <w:tcPr>
            <w:tcW w:w="1250" w:type="pct"/>
          </w:tcPr>
          <w:p w14:paraId="7A99241E" w14:textId="4DE5A163" w:rsidR="006F56DB" w:rsidRPr="006F56DB" w:rsidRDefault="006F56DB" w:rsidP="006F56DB">
            <w:pPr>
              <w:rPr>
                <w:rFonts w:ascii="Arial" w:hAnsi="Arial" w:cs="Arial"/>
                <w:sz w:val="18"/>
              </w:rPr>
            </w:pPr>
            <w:r>
              <w:rPr>
                <w:rFonts w:ascii="Arial" w:hAnsi="Arial" w:cs="Arial"/>
                <w:sz w:val="18"/>
              </w:rPr>
              <w:t>Deployment options at Northwind Health</w:t>
            </w:r>
          </w:p>
        </w:tc>
        <w:tc>
          <w:tcPr>
            <w:tcW w:w="1250" w:type="pct"/>
          </w:tcPr>
          <w:p w14:paraId="600B8503" w14:textId="7D6D2BFA" w:rsidR="006F56DB" w:rsidRPr="006F56DB" w:rsidRDefault="006F56DB" w:rsidP="006F56DB">
            <w:pPr>
              <w:rPr>
                <w:rFonts w:ascii="Arial" w:hAnsi="Arial" w:cs="Arial"/>
                <w:sz w:val="18"/>
              </w:rPr>
            </w:pPr>
            <w:r>
              <w:rPr>
                <w:rFonts w:ascii="Arial" w:hAnsi="Arial" w:cs="Arial"/>
                <w:sz w:val="18"/>
              </w:rPr>
              <w:t>14-15</w:t>
            </w:r>
          </w:p>
        </w:tc>
        <w:tc>
          <w:tcPr>
            <w:tcW w:w="1250" w:type="pct"/>
          </w:tcPr>
          <w:p w14:paraId="34FAB682" w14:textId="603D0DEE" w:rsidR="006F56DB" w:rsidRPr="006F56DB" w:rsidRDefault="006F56DB" w:rsidP="006F56DB">
            <w:pPr>
              <w:rPr>
                <w:rFonts w:ascii="Arial" w:hAnsi="Arial" w:cs="Arial"/>
                <w:sz w:val="18"/>
              </w:rPr>
            </w:pPr>
            <w:r>
              <w:rPr>
                <w:rFonts w:ascii="Arial" w:hAnsi="Arial" w:cs="Arial"/>
                <w:sz w:val="18"/>
              </w:rPr>
              <w:t>none</w:t>
            </w:r>
          </w:p>
        </w:tc>
      </w:tr>
      <w:tr w:rsidR="006F56DB" w:rsidRPr="006F56DB" w14:paraId="5FDA0726" w14:textId="77777777" w:rsidTr="006F56DB">
        <w:tc>
          <w:tcPr>
            <w:tcW w:w="1250" w:type="pct"/>
          </w:tcPr>
          <w:p w14:paraId="39FCEEE1" w14:textId="214C43E5" w:rsidR="006F56DB" w:rsidRPr="006F56DB" w:rsidRDefault="006F56DB" w:rsidP="006F56DB">
            <w:pPr>
              <w:rPr>
                <w:rFonts w:ascii="Arial" w:hAnsi="Arial" w:cs="Arial"/>
                <w:sz w:val="18"/>
              </w:rPr>
            </w:pPr>
            <w:r>
              <w:rPr>
                <w:rFonts w:ascii="Arial" w:hAnsi="Arial" w:cs="Arial"/>
                <w:sz w:val="18"/>
              </w:rPr>
              <w:t>58-60</w:t>
            </w:r>
          </w:p>
        </w:tc>
        <w:tc>
          <w:tcPr>
            <w:tcW w:w="1250" w:type="pct"/>
          </w:tcPr>
          <w:p w14:paraId="376503C2" w14:textId="05D57945" w:rsidR="006F56DB" w:rsidRPr="006F56DB" w:rsidRDefault="006F56DB" w:rsidP="006F56DB">
            <w:pPr>
              <w:rPr>
                <w:rFonts w:ascii="Arial" w:hAnsi="Arial" w:cs="Arial"/>
                <w:sz w:val="18"/>
              </w:rPr>
            </w:pPr>
            <w:r>
              <w:rPr>
                <w:rFonts w:ascii="Arial" w:hAnsi="Arial" w:cs="Arial"/>
                <w:sz w:val="18"/>
              </w:rPr>
              <w:t>Decisions, actions, next steps</w:t>
            </w:r>
          </w:p>
        </w:tc>
        <w:tc>
          <w:tcPr>
            <w:tcW w:w="1250" w:type="pct"/>
          </w:tcPr>
          <w:p w14:paraId="394DF109" w14:textId="6999EDB5" w:rsidR="006F56DB" w:rsidRPr="006F56DB" w:rsidRDefault="006F56DB" w:rsidP="006F56DB">
            <w:pPr>
              <w:rPr>
                <w:rFonts w:ascii="Arial" w:hAnsi="Arial" w:cs="Arial"/>
                <w:sz w:val="18"/>
              </w:rPr>
            </w:pPr>
            <w:r>
              <w:rPr>
                <w:rFonts w:ascii="Arial" w:hAnsi="Arial" w:cs="Arial"/>
                <w:sz w:val="18"/>
              </w:rPr>
              <w:t>16-17</w:t>
            </w:r>
          </w:p>
        </w:tc>
        <w:tc>
          <w:tcPr>
            <w:tcW w:w="1250" w:type="pct"/>
          </w:tcPr>
          <w:p w14:paraId="7E24ABA6" w14:textId="514127F2" w:rsidR="006F56DB" w:rsidRPr="006F56DB" w:rsidRDefault="006F56DB" w:rsidP="006F56DB">
            <w:pPr>
              <w:rPr>
                <w:rFonts w:ascii="Arial" w:hAnsi="Arial" w:cs="Arial"/>
                <w:sz w:val="18"/>
              </w:rPr>
            </w:pPr>
            <w:r>
              <w:rPr>
                <w:rFonts w:ascii="Arial" w:hAnsi="Arial" w:cs="Arial"/>
                <w:sz w:val="18"/>
              </w:rPr>
              <w:t>none</w:t>
            </w:r>
          </w:p>
        </w:tc>
      </w:tr>
    </w:tbl>
    <w:p w14:paraId="774AC5A8" w14:textId="77777777" w:rsidR="006F56DB" w:rsidRDefault="006F56DB" w:rsidP="006F56DB"/>
    <w:p w14:paraId="64FF68F4" w14:textId="4D771EF5" w:rsidR="006F56DB" w:rsidRDefault="006F56DB" w:rsidP="006F56DB">
      <w:pPr>
        <w:spacing w:after="200"/>
      </w:pPr>
      <w:r w:rsidRPr="006F56DB">
        <w:t>Time discipline: the live demo is the centre of gravity. If you are running late, compress the policy walkthrough (Segments G and H), never the demo.</w:t>
      </w:r>
    </w:p>
    <w:p w14:paraId="00294C64" w14:textId="4B644A01" w:rsidR="006F56DB" w:rsidRDefault="006F56DB">
      <w:r>
        <w:br w:type="page"/>
      </w:r>
    </w:p>
    <w:p w14:paraId="002608EE" w14:textId="7EEB60E3" w:rsidR="006F56DB" w:rsidRDefault="006F56DB" w:rsidP="006F56DB">
      <w:pPr>
        <w:pStyle w:val="Heading1"/>
        <w:spacing w:after="160"/>
      </w:pPr>
      <w:bookmarkStart w:id="9" w:name="_Toc239065112"/>
      <w:r w:rsidRPr="006F56DB">
        <w:t>4. Demo segments</w:t>
      </w:r>
      <w:bookmarkEnd w:id="9"/>
    </w:p>
    <w:p w14:paraId="52887436" w14:textId="1295C458" w:rsidR="006F56DB" w:rsidRDefault="006F56DB" w:rsidP="006F56DB">
      <w:pPr>
        <w:pStyle w:val="Heading2"/>
        <w:spacing w:after="160"/>
      </w:pPr>
      <w:bookmarkStart w:id="10" w:name="_Toc239065113"/>
      <w:r w:rsidRPr="006F56DB">
        <w:t>Segment A - Physical separation is real, not a diagram</w:t>
      </w:r>
      <w:bookmarkEnd w:id="10"/>
    </w:p>
    <w:p w14:paraId="0C5CDB9D" w14:textId="7A86BCDB" w:rsidR="006F56DB" w:rsidRDefault="006F56DB" w:rsidP="006F56DB">
      <w:pPr>
        <w:spacing w:after="120"/>
      </w:pPr>
      <w:r w:rsidRPr="006F56DB">
        <w:t>Goal: establish that the payer boundary is a separate FHIR service, before any policy is discussed. Two minutes.</w:t>
      </w:r>
    </w:p>
    <w:p w14:paraId="708AEE34" w14:textId="5AB321A1" w:rsidR="006F56DB" w:rsidRDefault="006F56DB" w:rsidP="006F56DB">
      <w:pPr>
        <w:spacing w:after="80"/>
      </w:pPr>
      <w:r w:rsidRPr="006F56DB">
        <w:t>DO:  Tab 1. Resource group rg-ahds-fhir-poc, Overview. Point at the two FHIR service rows: fhir-payera and fhir-payerb.</w:t>
      </w:r>
    </w:p>
    <w:p w14:paraId="13A0A4ED" w14:textId="6BC9BFA1" w:rsidR="006F56DB" w:rsidRDefault="006F56DB" w:rsidP="006F56DB">
      <w:r w:rsidRPr="006F56DB">
        <w:t>SAY:  Before we talk about a single policy, I want you to see where the boundary actually is. Contoso and Fabrikam are not two filters over one database. They are two separate FHIR services, each with its own URL and its own access control. If every policy I show you today were deleted, Fabrikam still could not read Contoso data, because there is no route from one to the other. That is the decision this group made on the twelfth - physical where a mistake would be unrecoverable, logical where it is recoverable.</w:t>
      </w:r>
    </w:p>
    <w:p w14:paraId="7A40B3F8" w14:textId="5D704E61" w:rsidR="006F56DB" w:rsidRDefault="006F56DB" w:rsidP="006F56DB">
      <w:r w:rsidRPr="006F56DB">
        <w:t>EXPECT:  Ten resources listed, including ahdspocdemo01/fhir-payera and ahdspocdemo01/fhir-payerb.</w:t>
      </w:r>
    </w:p>
    <w:p w14:paraId="19D870FF" w14:textId="0C893DA1" w:rsidR="006F56DB" w:rsidRDefault="006F56DB" w:rsidP="006F56DB">
      <w:pPr>
        <w:spacing w:after="200"/>
      </w:pPr>
      <w:r w:rsidRPr="006F56DB">
        <w:t>IF IT FAILS:  Use the environment reference table in section 2 and move on. Do not troubleshoot the portal live.</w:t>
      </w:r>
    </w:p>
    <w:p w14:paraId="2D993BF8" w14:textId="77777777" w:rsidR="006F56DB" w:rsidRDefault="006F56DB" w:rsidP="006F56DB">
      <w:pPr>
        <w:spacing w:after="200"/>
        <w:ind w:left="360"/>
        <w:jc w:val="center"/>
        <w:rPr>
          <w:i/>
        </w:rPr>
      </w:pPr>
      <w:r>
        <w:rPr>
          <w:i/>
          <w:noProof/>
        </w:rPr>
        <w:drawing>
          <wp:inline distT="0" distB="0" distL="0" distR="0" wp14:anchorId="2AEDB07A" wp14:editId="55DF3A68">
            <wp:extent cx="5943600" cy="2157307"/>
            <wp:effectExtent l="0" t="0" r="0" b="0"/>
            <wp:docPr id="1964471775" name="Picture 1" descr="Resource group rg-ahds-fhir-poc. Two FHIR services under one workspace - the physical payer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71775" name="Picture 1" descr="Resource group rg-ahds-fhir-poc. Two FHIR services under one workspace - the physical payer boundary."/>
                    <pic:cNvPicPr/>
                  </pic:nvPicPr>
                  <pic:blipFill>
                    <a:blip r:embed="rId7">
                      <a:extLst>
                        <a:ext uri="{28A0092B-C50C-407E-A947-70E740481C1C}">
                          <a14:useLocalDpi xmlns:a14="http://schemas.microsoft.com/office/drawing/2010/main" val="0"/>
                        </a:ext>
                      </a:extLst>
                    </a:blip>
                    <a:stretch>
                      <a:fillRect/>
                    </a:stretch>
                  </pic:blipFill>
                  <pic:spPr>
                    <a:xfrm>
                      <a:off x="0" y="0"/>
                      <a:ext cx="5943600" cy="2157307"/>
                    </a:xfrm>
                    <a:prstGeom prst="rect">
                      <a:avLst/>
                    </a:prstGeom>
                  </pic:spPr>
                </pic:pic>
              </a:graphicData>
            </a:graphic>
          </wp:inline>
        </w:drawing>
      </w:r>
    </w:p>
    <w:p w14:paraId="5978A5D8" w14:textId="16296880" w:rsidR="006F56DB" w:rsidRDefault="006F56DB" w:rsidP="006F56DB">
      <w:pPr>
        <w:pStyle w:val="Caption"/>
        <w:spacing w:after="240"/>
        <w:jc w:val="center"/>
        <w:rPr>
          <w:i w:val="0"/>
        </w:rPr>
      </w:pPr>
      <w:r w:rsidRPr="006F56DB">
        <w:rPr>
          <w:i w:val="0"/>
        </w:rPr>
        <w:t>Figure 1. Resource group rg-ahds-fhir-poc. Two FHIR services under one workspace - the physical payer boundary.</w:t>
      </w:r>
    </w:p>
    <w:p w14:paraId="6BA1C45B" w14:textId="4E4ABA73" w:rsidR="006F56DB" w:rsidRDefault="006F56DB" w:rsidP="006F56DB">
      <w:pPr>
        <w:pStyle w:val="Heading2"/>
        <w:spacing w:after="160"/>
      </w:pPr>
      <w:bookmarkStart w:id="11" w:name="_Toc239065114"/>
      <w:r w:rsidRPr="006F56DB">
        <w:t>Segment B - Four routes: the direction split</w:t>
      </w:r>
      <w:bookmarkEnd w:id="11"/>
    </w:p>
    <w:p w14:paraId="4FA130E9" w14:textId="6C6C5E76" w:rsidR="006F56DB" w:rsidRDefault="006F56DB" w:rsidP="006F56DB">
      <w:pPr>
        <w:spacing w:after="120"/>
      </w:pPr>
      <w:r w:rsidRPr="006F56DB">
        <w:t>Goal: answer the question Platform Engineering asked on the twelfth and Ashay reopened on the eighteenth. Three minutes.</w:t>
      </w:r>
    </w:p>
    <w:p w14:paraId="5DC049AE" w14:textId="3CAB790A" w:rsidR="006F56DB" w:rsidRDefault="006F56DB" w:rsidP="006F56DB">
      <w:pPr>
        <w:spacing w:after="80"/>
      </w:pPr>
      <w:r w:rsidRPr="006F56DB">
        <w:t>DO:  Tab 2. API Management, APIs blade. Point at the four APIs, then at the Path column.</w:t>
      </w:r>
    </w:p>
    <w:p w14:paraId="0D788B1E" w14:textId="4768CB46" w:rsidR="006F56DB" w:rsidRDefault="006F56DB" w:rsidP="006F56DB">
      <w:r w:rsidRPr="006F56DB">
        <w:t>SAY:  The question was: within one FHIR service, can inbound and outbound be isolated from each other - we do not want a payer querying our inbound data. The answer is yes, and here is the shape of it. One FHIR service per payer, but two APIs in front of it. Different path, different credential, different allow list. Isolation is not a property of the FHIR service. It is a property of the route. A credential entitled to the inbound route can write and import but cannot export. A credential entitled to the outbound route can export but cannot write. Neither can reach the other, because the entitlement record names the route.</w:t>
      </w:r>
    </w:p>
    <w:p w14:paraId="06BFE9A5" w14:textId="2AC60A15" w:rsidR="006F56DB" w:rsidRDefault="006F56DB" w:rsidP="006F56DB">
      <w:r w:rsidRPr="006F56DB">
        <w:t>EXPECT:  Four APIs listed with paths payera/inbound, payera/outbound, payerb/inbound, payerb/outbound.</w:t>
      </w:r>
    </w:p>
    <w:p w14:paraId="1893787C" w14:textId="77777777" w:rsidR="006F56DB" w:rsidRDefault="006F56DB" w:rsidP="006F56DB">
      <w:pPr>
        <w:ind w:left="360"/>
        <w:jc w:val="center"/>
      </w:pPr>
      <w:r>
        <w:rPr>
          <w:noProof/>
        </w:rPr>
        <w:drawing>
          <wp:inline distT="0" distB="0" distL="0" distR="0" wp14:anchorId="202195CC" wp14:editId="3666AA29">
            <wp:extent cx="5943600" cy="2043995"/>
            <wp:effectExtent l="0" t="0" r="0" b="0"/>
            <wp:docPr id="1123753600" name="Picture 2" descr="Four APIs - two payers by two directions. The direction split is a routing decision, not a data-layer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53600" name="Picture 2" descr="Four APIs - two payers by two directions. The direction split is a routing decision, not a data-layer feature."/>
                    <pic:cNvPicPr/>
                  </pic:nvPicPr>
                  <pic:blipFill>
                    <a:blip r:embed="rId8">
                      <a:extLst>
                        <a:ext uri="{28A0092B-C50C-407E-A947-70E740481C1C}">
                          <a14:useLocalDpi xmlns:a14="http://schemas.microsoft.com/office/drawing/2010/main" val="0"/>
                        </a:ext>
                      </a:extLst>
                    </a:blip>
                    <a:stretch>
                      <a:fillRect/>
                    </a:stretch>
                  </pic:blipFill>
                  <pic:spPr>
                    <a:xfrm>
                      <a:off x="0" y="0"/>
                      <a:ext cx="5943600" cy="2043995"/>
                    </a:xfrm>
                    <a:prstGeom prst="rect">
                      <a:avLst/>
                    </a:prstGeom>
                  </pic:spPr>
                </pic:pic>
              </a:graphicData>
            </a:graphic>
          </wp:inline>
        </w:drawing>
      </w:r>
    </w:p>
    <w:p w14:paraId="4D9DA5B4" w14:textId="6ADD24D4" w:rsidR="006F56DB" w:rsidRDefault="006F56DB" w:rsidP="006F56DB">
      <w:pPr>
        <w:pStyle w:val="Caption"/>
        <w:spacing w:after="240"/>
        <w:jc w:val="center"/>
        <w:rPr>
          <w:i w:val="0"/>
        </w:rPr>
      </w:pPr>
      <w:r w:rsidRPr="006F56DB">
        <w:rPr>
          <w:i w:val="0"/>
        </w:rPr>
        <w:t>Figure 2. Four APIs - two payers by two directions. The direction split is a routing decision, not a data-layer feature.</w:t>
      </w:r>
    </w:p>
    <w:p w14:paraId="7EA545D6" w14:textId="293D7BC8" w:rsidR="006F56DB" w:rsidRDefault="006F56DB" w:rsidP="006F56DB">
      <w:pPr>
        <w:pStyle w:val="Heading2"/>
        <w:spacing w:after="160"/>
      </w:pPr>
      <w:bookmarkStart w:id="12" w:name="_Toc239065115"/>
      <w:r w:rsidRPr="006F56DB">
        <w:t>Segment C - The outbound policy, read top to bottom</w:t>
      </w:r>
      <w:bookmarkEnd w:id="12"/>
    </w:p>
    <w:p w14:paraId="4B06EFB0" w14:textId="25AB3C99" w:rsidR="006F56DB" w:rsidRDefault="006F56DB" w:rsidP="006F56DB">
      <w:pPr>
        <w:spacing w:after="120"/>
      </w:pPr>
      <w:r w:rsidRPr="006F56DB">
        <w:t>Goal: show that the controls are ordered by cost - cheapest rejection first. Four minutes. This is the segment to compress if you are behind.</w:t>
      </w:r>
    </w:p>
    <w:p w14:paraId="5AD18D9C" w14:textId="0101255B" w:rsidR="006F56DB" w:rsidRDefault="006F56DB" w:rsidP="006F56DB">
      <w:pPr>
        <w:spacing w:after="80"/>
      </w:pPr>
      <w:r w:rsidRPr="006F56DB">
        <w:t>DO:  Tab 2. Select Contoso Health Plan - Outbound (payer pull), then All operations, then the policy code editor icon (&lt;/&gt;).</w:t>
      </w:r>
    </w:p>
    <w:p w14:paraId="6CD67266" w14:textId="30EA626F" w:rsidR="006F56DB" w:rsidRDefault="006F56DB" w:rsidP="006F56DB">
      <w:r w:rsidRPr="006F56DB">
        <w:t>SAY:  Six layers, and the order is deliberate - each one is cheaper than the one below it, so we reject as early as we can. Layer one, validate the token signature and audience. Layer two, resolve the calling application to the contracts it holds; if it maps to nothing, it is done here for the price of a dictionary lookup. Layer three is the route allow list - this endpoint is read only, so every write verb dies here. Layer four is scoping: a payer may only export a Group that belongs to one of its own contracts, which is what stops the open query. Layer five is rate limiting. Layer six is the part I care most about, and I will show it separately.</w:t>
      </w:r>
    </w:p>
    <w:p w14:paraId="1D48620E" w14:textId="4BE47B57" w:rsidR="006F56DB" w:rsidRDefault="006F56DB" w:rsidP="006F56DB">
      <w:pPr>
        <w:spacing w:after="80"/>
      </w:pPr>
      <w:r w:rsidRPr="006F56DB">
        <w:t>DO:  Scroll to the cross-payer guard block and pause on it.</w:t>
      </w:r>
    </w:p>
    <w:p w14:paraId="1E35C768" w14:textId="268328DF" w:rsidR="006F56DB" w:rsidRDefault="006F56DB" w:rsidP="006F56DB">
      <w:r w:rsidRPr="006F56DB">
        <w:t>SAY:  This block is worth ten seconds on its own. Even if the token is completely valid and correctly audienced, if the entitlement says Contoso and the endpoint is Fabrikam, it is refused. A valid token from the wrong payer is still the wrong payer.</w:t>
      </w:r>
    </w:p>
    <w:p w14:paraId="5B0E6818" w14:textId="7EC3DD8A" w:rsidR="006F56DB" w:rsidRDefault="006F56DB" w:rsidP="006F56DB">
      <w:r w:rsidRPr="006F56DB">
        <w:t>EXPECT:  Policy XML opens with validate-jwt at the top and clearly commented layer blocks.</w:t>
      </w:r>
    </w:p>
    <w:p w14:paraId="39262F61" w14:textId="4A1756DF" w:rsidR="006F56DB" w:rsidRDefault="006F56DB" w:rsidP="006F56DB">
      <w:pPr>
        <w:spacing w:after="200"/>
      </w:pPr>
      <w:r w:rsidRPr="006F56DB">
        <w:t>IF IT FAILS:  The same file is in the repo at v4/apim/policies/payer-outbound.xml. Open it in the editor instead - it is the identical content with fuller comments.</w:t>
      </w:r>
    </w:p>
    <w:p w14:paraId="7EDA9EC1" w14:textId="77777777" w:rsidR="006F56DB" w:rsidRDefault="006F56DB" w:rsidP="006F56DB">
      <w:pPr>
        <w:spacing w:after="200"/>
        <w:ind w:left="360"/>
        <w:jc w:val="center"/>
        <w:rPr>
          <w:i/>
        </w:rPr>
      </w:pPr>
      <w:r>
        <w:rPr>
          <w:i/>
          <w:noProof/>
        </w:rPr>
        <w:drawing>
          <wp:inline distT="0" distB="0" distL="0" distR="0" wp14:anchorId="78B48D4F" wp14:editId="58A36AAA">
            <wp:extent cx="4486217" cy="5461000"/>
            <wp:effectExtent l="0" t="0" r="0" b="6350"/>
            <wp:docPr id="628698603" name="Picture 3" descr="The outbound policy. Layers ordered by cost: signature, entitlement, route, scope, rate,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98603" name="Picture 3" descr="The outbound policy. Layers ordered by cost: signature, entitlement, route, scope, rate, identity."/>
                    <pic:cNvPicPr/>
                  </pic:nvPicPr>
                  <pic:blipFill>
                    <a:blip r:embed="rId9">
                      <a:extLst>
                        <a:ext uri="{28A0092B-C50C-407E-A947-70E740481C1C}">
                          <a14:useLocalDpi xmlns:a14="http://schemas.microsoft.com/office/drawing/2010/main" val="0"/>
                        </a:ext>
                      </a:extLst>
                    </a:blip>
                    <a:stretch>
                      <a:fillRect/>
                    </a:stretch>
                  </pic:blipFill>
                  <pic:spPr>
                    <a:xfrm>
                      <a:off x="0" y="0"/>
                      <a:ext cx="4486217" cy="5461000"/>
                    </a:xfrm>
                    <a:prstGeom prst="rect">
                      <a:avLst/>
                    </a:prstGeom>
                  </pic:spPr>
                </pic:pic>
              </a:graphicData>
            </a:graphic>
          </wp:inline>
        </w:drawing>
      </w:r>
    </w:p>
    <w:p w14:paraId="159C141C" w14:textId="0A169C32" w:rsidR="006F56DB" w:rsidRDefault="006F56DB" w:rsidP="006F56DB">
      <w:pPr>
        <w:pStyle w:val="Caption"/>
        <w:spacing w:after="240"/>
        <w:jc w:val="center"/>
        <w:rPr>
          <w:i w:val="0"/>
        </w:rPr>
      </w:pPr>
      <w:r w:rsidRPr="006F56DB">
        <w:rPr>
          <w:i w:val="0"/>
        </w:rPr>
        <w:t>Figure 3. The outbound policy. Layers ordered by cost: signature, entitlement, route, scope, rate, identity.</w:t>
      </w:r>
    </w:p>
    <w:p w14:paraId="795D2E41" w14:textId="2BFA3C3B" w:rsidR="006F56DB" w:rsidRDefault="006F56DB" w:rsidP="006F56DB">
      <w:pPr>
        <w:pStyle w:val="Heading2"/>
        <w:spacing w:after="160"/>
      </w:pPr>
      <w:bookmarkStart w:id="13" w:name="_Toc239065116"/>
      <w:r w:rsidRPr="006F56DB">
        <w:t>Segment D - Entitlements are data, not code</w:t>
      </w:r>
      <w:bookmarkEnd w:id="13"/>
    </w:p>
    <w:p w14:paraId="1AF7C3FB" w14:textId="253477E9" w:rsidR="006F56DB" w:rsidRDefault="006F56DB" w:rsidP="006F56DB">
      <w:pPr>
        <w:spacing w:after="120"/>
      </w:pPr>
      <w:r w:rsidRPr="006F56DB">
        <w:t>Goal: pre-empt the operational objection that onboarding a payer means editing policy. Two minutes.</w:t>
      </w:r>
    </w:p>
    <w:p w14:paraId="11DFAECB" w14:textId="5282B69F" w:rsidR="006F56DB" w:rsidRDefault="006F56DB" w:rsidP="006F56DB">
      <w:pPr>
        <w:spacing w:after="80"/>
      </w:pPr>
      <w:r w:rsidRPr="006F56DB">
        <w:t>DO:  Tab 3. Named values. Open payer-entitlements and show the JSON.</w:t>
      </w:r>
    </w:p>
    <w:p w14:paraId="401AD0C8" w14:textId="532497EA" w:rsidR="006F56DB" w:rsidRDefault="006F56DB" w:rsidP="006F56DB">
      <w:r w:rsidRPr="006F56DB">
        <w:t>SAY:  Notice that onboarding a payer is not a policy change. The entitlement map is data. Application identifier maps to a payer and a list of contracts. In production this is a cached lookup against your contract master rather than a named value, but the policy does not change - only the source of the answer does. That matters for your change control: adding a payer is a data change, not a gateway deployment.</w:t>
      </w:r>
    </w:p>
    <w:p w14:paraId="6A4F571F" w14:textId="352AEF3A" w:rsidR="006F56DB" w:rsidRDefault="006F56DB" w:rsidP="006F56DB">
      <w:r w:rsidRPr="006F56DB">
        <w:t>EXPECT:  payer-entitlements and ingest-principals are both visible and not marked secret, so the values display.</w:t>
      </w:r>
    </w:p>
    <w:p w14:paraId="5F7708B6" w14:textId="77777777" w:rsidR="006F56DB" w:rsidRDefault="006F56DB" w:rsidP="006F56DB">
      <w:pPr>
        <w:ind w:left="360"/>
        <w:jc w:val="center"/>
      </w:pPr>
      <w:r>
        <w:rPr>
          <w:noProof/>
        </w:rPr>
        <w:drawing>
          <wp:inline distT="0" distB="0" distL="0" distR="0" wp14:anchorId="21A3B963" wp14:editId="4A5ABBB9">
            <wp:extent cx="4691676" cy="5461000"/>
            <wp:effectExtent l="0" t="0" r="0" b="6350"/>
            <wp:docPr id="664367028" name="Picture 4" descr="Entitlements held as data. Onboarding a payer is a data change, not a policy deployment. Secret named values are withheld by the platform even from an authorised r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67028" name="Picture 4" descr="Entitlements held as data. Onboarding a payer is a data change, not a policy deployment. Secret named values are withheld by the platform even from an authorised reader."/>
                    <pic:cNvPicPr/>
                  </pic:nvPicPr>
                  <pic:blipFill>
                    <a:blip r:embed="rId10">
                      <a:extLst>
                        <a:ext uri="{28A0092B-C50C-407E-A947-70E740481C1C}">
                          <a14:useLocalDpi xmlns:a14="http://schemas.microsoft.com/office/drawing/2010/main" val="0"/>
                        </a:ext>
                      </a:extLst>
                    </a:blip>
                    <a:stretch>
                      <a:fillRect/>
                    </a:stretch>
                  </pic:blipFill>
                  <pic:spPr>
                    <a:xfrm>
                      <a:off x="0" y="0"/>
                      <a:ext cx="4691676" cy="5461000"/>
                    </a:xfrm>
                    <a:prstGeom prst="rect">
                      <a:avLst/>
                    </a:prstGeom>
                  </pic:spPr>
                </pic:pic>
              </a:graphicData>
            </a:graphic>
          </wp:inline>
        </w:drawing>
      </w:r>
    </w:p>
    <w:p w14:paraId="3F98BBAE" w14:textId="41771162" w:rsidR="006F56DB" w:rsidRDefault="006F56DB" w:rsidP="006F56DB">
      <w:pPr>
        <w:pStyle w:val="Caption"/>
        <w:spacing w:after="240"/>
        <w:jc w:val="center"/>
        <w:rPr>
          <w:i w:val="0"/>
        </w:rPr>
      </w:pPr>
      <w:r w:rsidRPr="006F56DB">
        <w:rPr>
          <w:i w:val="0"/>
        </w:rPr>
        <w:t>Figure 4. Entitlements held as data. Onboarding a payer is a data change, not a policy deployment. Secret named values are withheld by the platform even from an authorised reader.</w:t>
      </w:r>
    </w:p>
    <w:p w14:paraId="79CB3C52" w14:textId="73520FA3" w:rsidR="006F56DB" w:rsidRDefault="006F56DB" w:rsidP="006F56DB">
      <w:pPr>
        <w:pStyle w:val="Heading2"/>
        <w:spacing w:after="160"/>
      </w:pPr>
      <w:bookmarkStart w:id="14" w:name="_Toc239065117"/>
      <w:r w:rsidRPr="006F56DB">
        <w:t>Segment E - Why the gateway cannot be bypassed</w:t>
      </w:r>
      <w:bookmarkEnd w:id="14"/>
    </w:p>
    <w:p w14:paraId="52FEA93D" w14:textId="0F01FC36" w:rsidR="006F56DB" w:rsidRDefault="006F56DB" w:rsidP="006F56DB">
      <w:pPr>
        <w:spacing w:after="120"/>
      </w:pPr>
      <w:r w:rsidRPr="006F56DB">
        <w:t>Goal: this is the keystone control and the single most important two minutes in the session. Everything else is only as good as this.</w:t>
      </w:r>
    </w:p>
    <w:p w14:paraId="2A1E26F6" w14:textId="76060368" w:rsidR="006F56DB" w:rsidRDefault="006F56DB" w:rsidP="006F56DB">
      <w:pPr>
        <w:spacing w:after="80"/>
      </w:pPr>
      <w:r w:rsidRPr="006F56DB">
        <w:t>DO:  Tab 4. API Management, Managed identities. Show the system-assigned identity is On.</w:t>
      </w:r>
    </w:p>
    <w:p w14:paraId="3C69E36F" w14:textId="24FA7E50" w:rsidR="006F56DB" w:rsidRDefault="006F56DB" w:rsidP="006F56DB">
      <w:pPr>
        <w:spacing w:after="80"/>
      </w:pPr>
      <w:r w:rsidRPr="006F56DB">
        <w:t>DO:  Tab 5. FHIR service fhir-payera, Access control (IAM), Role assignments. Show that the APIM managed identity holds FHIR Data Contributor, and that neither payer application appears anywhere in the list.</w:t>
      </w:r>
    </w:p>
    <w:p w14:paraId="53ECBBE4" w14:textId="65E5F5C4" w:rsidR="006F56DB" w:rsidRDefault="006F56DB" w:rsidP="006F56DB">
      <w:r w:rsidRPr="006F56DB">
        <w:t>SAY:  Here is the control that makes all of this a boundary rather than a speed bump. The payer application has no Azure role on the FHIR service at all. None. Only the gateway managed identity holds the data role, and the gateway only ever uses it after every check above has passed. So if a payer takes their perfectly valid token and sends it straight to the FHIR service, skipping us entirely, they do not get a 401 - they get a 403. Entra authenticated them just fine. They simply hold no permission. That is assertion twelve in the test run, and it is the one I would put in front of your security review.</w:t>
      </w:r>
    </w:p>
    <w:p w14:paraId="74C498B5" w14:textId="07D8C9D5" w:rsidR="006F56DB" w:rsidRDefault="006F56DB" w:rsidP="006F56DB">
      <w:r w:rsidRPr="006F56DB">
        <w:t>EXPECT:  Role assignment list shows the APIM identity with a FHIR data role and no payer application entries.</w:t>
      </w:r>
    </w:p>
    <w:p w14:paraId="16E254B5" w14:textId="2FB56F52" w:rsidR="006F56DB" w:rsidRDefault="006F56DB" w:rsidP="006F56DB">
      <w:pPr>
        <w:spacing w:after="200"/>
      </w:pPr>
      <w:r w:rsidRPr="006F56DB">
        <w:t>IF IT FAILS:  Assertion 12 in the live run proves the same thing empirically. Lean on that instead.</w:t>
      </w:r>
    </w:p>
    <w:p w14:paraId="019AF53D" w14:textId="77777777" w:rsidR="006F56DB" w:rsidRDefault="006F56DB" w:rsidP="006F56DB">
      <w:pPr>
        <w:spacing w:after="200"/>
        <w:ind w:left="360"/>
        <w:jc w:val="center"/>
        <w:rPr>
          <w:i/>
        </w:rPr>
      </w:pPr>
      <w:r>
        <w:rPr>
          <w:i/>
          <w:noProof/>
        </w:rPr>
        <w:drawing>
          <wp:inline distT="0" distB="0" distL="0" distR="0" wp14:anchorId="12ACB68E" wp14:editId="6F53562F">
            <wp:extent cx="5943643" cy="2066940"/>
            <wp:effectExtent l="0" t="0" r="0" b="9525"/>
            <wp:docPr id="1159222880" name="Picture 5" descr="The APIM system-assigned managed identity - the only principal holding a FHIR data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22880" name="Picture 5" descr="The APIM system-assigned managed identity - the only principal holding a FHIR data role."/>
                    <pic:cNvPicPr/>
                  </pic:nvPicPr>
                  <pic:blipFill>
                    <a:blip r:embed="rId11">
                      <a:extLst>
                        <a:ext uri="{28A0092B-C50C-407E-A947-70E740481C1C}">
                          <a14:useLocalDpi xmlns:a14="http://schemas.microsoft.com/office/drawing/2010/main" val="0"/>
                        </a:ext>
                      </a:extLst>
                    </a:blip>
                    <a:stretch>
                      <a:fillRect/>
                    </a:stretch>
                  </pic:blipFill>
                  <pic:spPr>
                    <a:xfrm>
                      <a:off x="0" y="0"/>
                      <a:ext cx="5943643" cy="2066940"/>
                    </a:xfrm>
                    <a:prstGeom prst="rect">
                      <a:avLst/>
                    </a:prstGeom>
                  </pic:spPr>
                </pic:pic>
              </a:graphicData>
            </a:graphic>
          </wp:inline>
        </w:drawing>
      </w:r>
    </w:p>
    <w:p w14:paraId="25D727E3" w14:textId="0346D5C2" w:rsidR="006F56DB" w:rsidRDefault="006F56DB" w:rsidP="006F56DB">
      <w:pPr>
        <w:pStyle w:val="Caption"/>
        <w:spacing w:after="240"/>
        <w:jc w:val="center"/>
        <w:rPr>
          <w:i w:val="0"/>
        </w:rPr>
      </w:pPr>
      <w:r w:rsidRPr="006F56DB">
        <w:rPr>
          <w:i w:val="0"/>
        </w:rPr>
        <w:t>Figure 5. The APIM system-assigned managed identity - the only principal holding a FHIR data role.</w:t>
      </w:r>
    </w:p>
    <w:p w14:paraId="23172643" w14:textId="77777777" w:rsidR="006F56DB" w:rsidRDefault="006F56DB" w:rsidP="006F56DB">
      <w:pPr>
        <w:jc w:val="center"/>
      </w:pPr>
      <w:r>
        <w:rPr>
          <w:noProof/>
        </w:rPr>
        <w:drawing>
          <wp:inline distT="0" distB="0" distL="0" distR="0" wp14:anchorId="7BEC9616" wp14:editId="6E8CD268">
            <wp:extent cx="4346436" cy="5461000"/>
            <wp:effectExtent l="0" t="0" r="0" b="6350"/>
            <wp:docPr id="1834676260" name="Picture 6" descr="Verified live: each FHIR service has exactly two direct role assignments - the APIM managed identity and an admin break-glass account. Both payer applications hold zero Azure role assignments anywhere in the subscription. Bypass is not blocked, it is unrepresen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76260" name="Picture 6" descr="Verified live: each FHIR service has exactly two direct role assignments - the APIM managed identity and an admin break-glass account. Both payer applications hold zero Azure role assignments anywhere in the subscription. Bypass is not blocked, it is unrepresentable."/>
                    <pic:cNvPicPr/>
                  </pic:nvPicPr>
                  <pic:blipFill>
                    <a:blip r:embed="rId12">
                      <a:extLst>
                        <a:ext uri="{28A0092B-C50C-407E-A947-70E740481C1C}">
                          <a14:useLocalDpi xmlns:a14="http://schemas.microsoft.com/office/drawing/2010/main" val="0"/>
                        </a:ext>
                      </a:extLst>
                    </a:blip>
                    <a:stretch>
                      <a:fillRect/>
                    </a:stretch>
                  </pic:blipFill>
                  <pic:spPr>
                    <a:xfrm>
                      <a:off x="0" y="0"/>
                      <a:ext cx="4346436" cy="5461000"/>
                    </a:xfrm>
                    <a:prstGeom prst="rect">
                      <a:avLst/>
                    </a:prstGeom>
                  </pic:spPr>
                </pic:pic>
              </a:graphicData>
            </a:graphic>
          </wp:inline>
        </w:drawing>
      </w:r>
    </w:p>
    <w:p w14:paraId="55270F83" w14:textId="69C91D89" w:rsidR="006F56DB" w:rsidRDefault="006F56DB" w:rsidP="006F56DB">
      <w:pPr>
        <w:pStyle w:val="Caption"/>
        <w:spacing w:after="240"/>
        <w:jc w:val="center"/>
        <w:rPr>
          <w:i w:val="0"/>
        </w:rPr>
      </w:pPr>
      <w:r w:rsidRPr="006F56DB">
        <w:rPr>
          <w:i w:val="0"/>
        </w:rPr>
        <w:t>Figure 6. Verified live: each FHIR service has exactly two direct role assignments - the APIM managed identity and an admin break-glass account. Both payer applications hold zero Azure role assignments anywhere in the subscription. Bypass is not blocked, it is unrepresentable.</w:t>
      </w:r>
    </w:p>
    <w:p w14:paraId="19AFF52E" w14:textId="0E5D9D03" w:rsidR="006F56DB" w:rsidRDefault="006F56DB">
      <w:r>
        <w:br w:type="page"/>
      </w:r>
    </w:p>
    <w:p w14:paraId="6872B3E0" w14:textId="7A8045CF" w:rsidR="006F56DB" w:rsidRDefault="006F56DB" w:rsidP="006F56DB">
      <w:pPr>
        <w:pStyle w:val="Heading2"/>
        <w:spacing w:after="160"/>
      </w:pPr>
      <w:bookmarkStart w:id="15" w:name="_Toc239065118"/>
      <w:r w:rsidRPr="006F56DB">
        <w:t>Segment F - The live proof run</w:t>
      </w:r>
      <w:bookmarkEnd w:id="15"/>
    </w:p>
    <w:p w14:paraId="1B70D4BB" w14:textId="458AFFF6" w:rsidR="006F56DB" w:rsidRDefault="006F56DB" w:rsidP="006F56DB">
      <w:pPr>
        <w:spacing w:after="120"/>
      </w:pPr>
      <w:r w:rsidRPr="006F56DB">
        <w:t>Goal: replace assertion with evidence. Six minutes including narration. This is the centrepiece.</w:t>
      </w:r>
    </w:p>
    <w:p w14:paraId="1405BE4E" w14:textId="0471781F" w:rsidR="006F56DB" w:rsidRDefault="006F56DB" w:rsidP="006F56DB">
      <w:pPr>
        <w:spacing w:after="80"/>
      </w:pPr>
      <w:r w:rsidRPr="006F56DB">
        <w:t>DO:  Tab 6. Run the suite.</w:t>
      </w:r>
    </w:p>
    <w:p w14:paraId="1992BE27" w14:textId="6219078C" w:rsidR="006F56DB" w:rsidRDefault="006F56DB" w:rsidP="006F56DB">
      <w:pPr>
        <w:spacing w:after="0"/>
      </w:pPr>
      <w:r w:rsidRPr="006F56DB">
        <w:t>./scripts/run-isolation-tests.ps1</w:t>
      </w:r>
    </w:p>
    <w:p w14:paraId="25263278" w14:textId="77777777" w:rsidR="006F56DB" w:rsidRDefault="006F56DB" w:rsidP="006F56DB">
      <w:pPr>
        <w:spacing w:after="120"/>
      </w:pPr>
    </w:p>
    <w:p w14:paraId="15B31CD1" w14:textId="102365CE" w:rsidR="006F56DB" w:rsidRDefault="006F56DB" w:rsidP="006F56DB">
      <w:r w:rsidRPr="006F56DB">
        <w:t>SAY:  While this runs - it is minting a short lived credential for each of two payers, exercising sixteen assertions against the live gateway, and then revoking the credentials. Nothing is written to disk. The point is that these assertions are the security guarantees themselves. If the model is wrong, this goes red in front of you.</w:t>
      </w:r>
    </w:p>
    <w:p w14:paraId="5206E47A" w14:textId="6130CB48" w:rsidR="006F56DB" w:rsidRDefault="006F56DB" w:rsidP="006F56DB">
      <w:r w:rsidRPr="006F56DB">
        <w:t>EXPECT:  A green table, sixteen PASS rows, ending with "All 16 assertions passed."</w:t>
      </w:r>
    </w:p>
    <w:p w14:paraId="287ED80F" w14:textId="70B22751" w:rsidR="006F56DB" w:rsidRDefault="006F56DB" w:rsidP="006F56DB">
      <w:pPr>
        <w:spacing w:after="200"/>
      </w:pPr>
      <w:r w:rsidRPr="006F56DB">
        <w:t>IF IT FAILS:  Open briefing/evidence/isolation-run.txt and walk the captured result instead. Say plainly that you are showing a captured run - do not present it as live.</w:t>
      </w:r>
    </w:p>
    <w:p w14:paraId="5EF7036C" w14:textId="77777777" w:rsidR="006F56DB" w:rsidRDefault="006F56DB" w:rsidP="006F56DB">
      <w:pPr>
        <w:spacing w:after="200"/>
        <w:ind w:left="360"/>
        <w:jc w:val="center"/>
        <w:rPr>
          <w:i/>
        </w:rPr>
      </w:pPr>
      <w:r>
        <w:rPr>
          <w:i/>
          <w:noProof/>
        </w:rPr>
        <w:drawing>
          <wp:inline distT="0" distB="0" distL="0" distR="0" wp14:anchorId="4C102CDE" wp14:editId="293B7E7A">
            <wp:extent cx="5943600" cy="1713983"/>
            <wp:effectExtent l="0" t="0" r="0" b="635"/>
            <wp:docPr id="166235186" name="Picture 7" descr="Sixteen assertions against the live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5186" name="Picture 7" descr="Sixteen assertions against the live gateway."/>
                    <pic:cNvPicPr/>
                  </pic:nvPicPr>
                  <pic:blipFill>
                    <a:blip r:embed="rId13">
                      <a:extLst>
                        <a:ext uri="{28A0092B-C50C-407E-A947-70E740481C1C}">
                          <a14:useLocalDpi xmlns:a14="http://schemas.microsoft.com/office/drawing/2010/main" val="0"/>
                        </a:ext>
                      </a:extLst>
                    </a:blip>
                    <a:stretch>
                      <a:fillRect/>
                    </a:stretch>
                  </pic:blipFill>
                  <pic:spPr>
                    <a:xfrm>
                      <a:off x="0" y="0"/>
                      <a:ext cx="5943600" cy="1713983"/>
                    </a:xfrm>
                    <a:prstGeom prst="rect">
                      <a:avLst/>
                    </a:prstGeom>
                  </pic:spPr>
                </pic:pic>
              </a:graphicData>
            </a:graphic>
          </wp:inline>
        </w:drawing>
      </w:r>
    </w:p>
    <w:p w14:paraId="7192829C" w14:textId="409AD7F9" w:rsidR="006F56DB" w:rsidRDefault="006F56DB" w:rsidP="006F56DB">
      <w:pPr>
        <w:pStyle w:val="Caption"/>
        <w:spacing w:after="240"/>
        <w:jc w:val="center"/>
        <w:rPr>
          <w:i w:val="0"/>
        </w:rPr>
      </w:pPr>
      <w:r w:rsidRPr="006F56DB">
        <w:rPr>
          <w:i w:val="0"/>
        </w:rPr>
        <w:t>Figure 7. Sixteen assertions against the live gateway.</w:t>
      </w:r>
    </w:p>
    <w:p w14:paraId="51E2DDB7" w14:textId="68A3B582" w:rsidR="006F56DB" w:rsidRDefault="006F56DB" w:rsidP="006F56DB">
      <w:r w:rsidRPr="006F56DB">
        <w:t>Then stop on exactly three lines. Do not narrate all sixteen - you will lose the room.</w:t>
      </w:r>
    </w:p>
    <w:tbl>
      <w:tblPr>
        <w:tblStyle w:val="TableGrid"/>
        <w:tblW w:w="5000" w:type="pct"/>
        <w:tblLook w:val="04A0" w:firstRow="1" w:lastRow="0" w:firstColumn="1" w:lastColumn="0" w:noHBand="0" w:noVBand="1"/>
      </w:tblPr>
      <w:tblGrid>
        <w:gridCol w:w="4855"/>
        <w:gridCol w:w="4855"/>
      </w:tblGrid>
      <w:tr w:rsidR="006F56DB" w:rsidRPr="006F56DB" w14:paraId="1D40910D" w14:textId="77777777" w:rsidTr="006F56DB">
        <w:trPr>
          <w:tblHeader/>
        </w:trPr>
        <w:tc>
          <w:tcPr>
            <w:tcW w:w="2500" w:type="pct"/>
          </w:tcPr>
          <w:p w14:paraId="6F42B105" w14:textId="727A4ABB" w:rsidR="006F56DB" w:rsidRPr="006F56DB" w:rsidRDefault="006F56DB" w:rsidP="006F56DB">
            <w:pPr>
              <w:rPr>
                <w:rFonts w:ascii="Arial" w:hAnsi="Arial" w:cs="Arial"/>
                <w:b/>
                <w:sz w:val="18"/>
              </w:rPr>
            </w:pPr>
            <w:r>
              <w:rPr>
                <w:rFonts w:ascii="Arial" w:hAnsi="Arial" w:cs="Arial"/>
                <w:b/>
                <w:sz w:val="18"/>
              </w:rPr>
              <w:t>Line</w:t>
            </w:r>
          </w:p>
        </w:tc>
        <w:tc>
          <w:tcPr>
            <w:tcW w:w="2500" w:type="pct"/>
          </w:tcPr>
          <w:p w14:paraId="6C8DF6C3" w14:textId="5891D21B" w:rsidR="006F56DB" w:rsidRPr="006F56DB" w:rsidRDefault="006F56DB" w:rsidP="006F56DB">
            <w:pPr>
              <w:rPr>
                <w:rFonts w:ascii="Arial" w:hAnsi="Arial" w:cs="Arial"/>
                <w:b/>
                <w:sz w:val="18"/>
              </w:rPr>
            </w:pPr>
            <w:r>
              <w:rPr>
                <w:rFonts w:ascii="Arial" w:hAnsi="Arial" w:cs="Arial"/>
                <w:b/>
                <w:sz w:val="18"/>
              </w:rPr>
              <w:t>What to say</w:t>
            </w:r>
          </w:p>
        </w:tc>
      </w:tr>
      <w:tr w:rsidR="006F56DB" w:rsidRPr="006F56DB" w14:paraId="46EF207C" w14:textId="77777777" w:rsidTr="006F56DB">
        <w:tc>
          <w:tcPr>
            <w:tcW w:w="2500" w:type="pct"/>
          </w:tcPr>
          <w:p w14:paraId="51095D17" w14:textId="6D363E7B" w:rsidR="006F56DB" w:rsidRPr="006F56DB" w:rsidRDefault="006F56DB" w:rsidP="006F56DB">
            <w:pPr>
              <w:rPr>
                <w:rFonts w:ascii="Arial" w:hAnsi="Arial" w:cs="Arial"/>
                <w:sz w:val="18"/>
              </w:rPr>
            </w:pPr>
            <w:r>
              <w:rPr>
                <w:rFonts w:ascii="Arial" w:hAnsi="Arial" w:cs="Arial"/>
                <w:sz w:val="18"/>
              </w:rPr>
              <w:t>4</w:t>
            </w:r>
          </w:p>
        </w:tc>
        <w:tc>
          <w:tcPr>
            <w:tcW w:w="2500" w:type="pct"/>
          </w:tcPr>
          <w:p w14:paraId="6F450C20" w14:textId="5507EB5E" w:rsidR="006F56DB" w:rsidRPr="006F56DB" w:rsidRDefault="006F56DB" w:rsidP="006F56DB">
            <w:pPr>
              <w:rPr>
                <w:rFonts w:ascii="Arial" w:hAnsi="Arial" w:cs="Arial"/>
                <w:sz w:val="18"/>
              </w:rPr>
            </w:pPr>
            <w:r>
              <w:rPr>
                <w:rFonts w:ascii="Arial" w:hAnsi="Arial" w:cs="Arial"/>
                <w:sz w:val="18"/>
              </w:rPr>
              <w:t>A valid, correctly audienced token from the wrong payer is refused. This is the PHI boundary, and it holds even when the token itself is entirely legitimate.</w:t>
            </w:r>
          </w:p>
        </w:tc>
      </w:tr>
      <w:tr w:rsidR="006F56DB" w:rsidRPr="006F56DB" w14:paraId="7EC258C2" w14:textId="77777777" w:rsidTr="006F56DB">
        <w:tc>
          <w:tcPr>
            <w:tcW w:w="2500" w:type="pct"/>
          </w:tcPr>
          <w:p w14:paraId="5EBE0E6F" w14:textId="2BDD6A90" w:rsidR="006F56DB" w:rsidRPr="006F56DB" w:rsidRDefault="006F56DB" w:rsidP="006F56DB">
            <w:pPr>
              <w:rPr>
                <w:rFonts w:ascii="Arial" w:hAnsi="Arial" w:cs="Arial"/>
                <w:sz w:val="18"/>
              </w:rPr>
            </w:pPr>
            <w:r>
              <w:rPr>
                <w:rFonts w:ascii="Arial" w:hAnsi="Arial" w:cs="Arial"/>
                <w:sz w:val="18"/>
              </w:rPr>
              <w:t>12</w:t>
            </w:r>
          </w:p>
        </w:tc>
        <w:tc>
          <w:tcPr>
            <w:tcW w:w="2500" w:type="pct"/>
          </w:tcPr>
          <w:p w14:paraId="3C3CACEA" w14:textId="684DE1FD" w:rsidR="006F56DB" w:rsidRPr="006F56DB" w:rsidRDefault="006F56DB" w:rsidP="006F56DB">
            <w:pPr>
              <w:rPr>
                <w:rFonts w:ascii="Arial" w:hAnsi="Arial" w:cs="Arial"/>
                <w:sz w:val="18"/>
              </w:rPr>
            </w:pPr>
            <w:r>
              <w:rPr>
                <w:rFonts w:ascii="Arial" w:hAnsi="Arial" w:cs="Arial"/>
                <w:sz w:val="18"/>
              </w:rPr>
              <w:t>The payer token sent directly to the FHIR service returns 403, not 401. Entra issued the token. The application simply holds no role. This is why I call the gateway a boundary and not a speed bump.</w:t>
            </w:r>
          </w:p>
        </w:tc>
      </w:tr>
      <w:tr w:rsidR="006F56DB" w:rsidRPr="006F56DB" w14:paraId="35289F76" w14:textId="77777777" w:rsidTr="006F56DB">
        <w:tc>
          <w:tcPr>
            <w:tcW w:w="2500" w:type="pct"/>
          </w:tcPr>
          <w:p w14:paraId="00D3FCD2" w14:textId="0EE39249" w:rsidR="006F56DB" w:rsidRPr="006F56DB" w:rsidRDefault="006F56DB" w:rsidP="006F56DB">
            <w:pPr>
              <w:rPr>
                <w:rFonts w:ascii="Arial" w:hAnsi="Arial" w:cs="Arial"/>
                <w:sz w:val="18"/>
              </w:rPr>
            </w:pPr>
            <w:r>
              <w:rPr>
                <w:rFonts w:ascii="Arial" w:hAnsi="Arial" w:cs="Arial"/>
                <w:sz w:val="18"/>
              </w:rPr>
              <w:t>13b</w:t>
            </w:r>
          </w:p>
        </w:tc>
        <w:tc>
          <w:tcPr>
            <w:tcW w:w="2500" w:type="pct"/>
          </w:tcPr>
          <w:p w14:paraId="5F96BEF5" w14:textId="4B6FB929" w:rsidR="006F56DB" w:rsidRPr="006F56DB" w:rsidRDefault="006F56DB" w:rsidP="006F56DB">
            <w:pPr>
              <w:rPr>
                <w:rFonts w:ascii="Arial" w:hAnsi="Arial" w:cs="Arial"/>
                <w:sz w:val="18"/>
              </w:rPr>
            </w:pPr>
            <w:r>
              <w:rPr>
                <w:rFonts w:ascii="Arial" w:hAnsi="Arial" w:cs="Arial"/>
                <w:sz w:val="18"/>
              </w:rPr>
              <w:t>We inspected the response body, not just the status code. Only the caller own contracts came back - CT-3456, and not CT-7788.</w:t>
            </w:r>
          </w:p>
        </w:tc>
      </w:tr>
    </w:tbl>
    <w:p w14:paraId="55569C29" w14:textId="77777777" w:rsidR="006F56DB" w:rsidRDefault="006F56DB" w:rsidP="006F56DB"/>
    <w:p w14:paraId="28804EF0" w14:textId="0AB71A13" w:rsidR="006F56DB" w:rsidRDefault="006F56DB" w:rsidP="006F56DB">
      <w:r w:rsidRPr="006F56DB">
        <w:t>SAY:  That is the entire argument on one screen. Physical separation between payers, logical separation between contracts, and a gateway that cannot be walked around.</w:t>
      </w:r>
    </w:p>
    <w:p w14:paraId="2994D7CF" w14:textId="70929488" w:rsidR="006F56DB" w:rsidRDefault="006F56DB" w:rsidP="006F56DB">
      <w:pPr>
        <w:pStyle w:val="Heading2"/>
        <w:spacing w:after="160"/>
      </w:pPr>
      <w:bookmarkStart w:id="16" w:name="_Toc239065119"/>
      <w:r w:rsidRPr="006F56DB">
        <w:t>Segment G - Rate limiting and the service limits conversation</w:t>
      </w:r>
      <w:bookmarkEnd w:id="16"/>
    </w:p>
    <w:p w14:paraId="2CE63CA3" w14:textId="250E852B" w:rsidR="006F56DB" w:rsidRDefault="006F56DB" w:rsidP="006F56DB">
      <w:pPr>
        <w:spacing w:after="120"/>
      </w:pPr>
      <w:r w:rsidRPr="006F56DB">
        <w:t>Goal: connect the gateway to the AHDS capacity issue this group already raised. Three minutes.</w:t>
      </w:r>
    </w:p>
    <w:p w14:paraId="4E426189" w14:textId="170684D5" w:rsidR="006F56DB" w:rsidRDefault="006F56DB" w:rsidP="006F56DB">
      <w:pPr>
        <w:spacing w:after="80"/>
      </w:pPr>
      <w:r w:rsidRPr="006F56DB">
        <w:t>DO:  Point at assertion 15 in the completed run - second export within five minutes returns 429.</w:t>
      </w:r>
    </w:p>
    <w:p w14:paraId="5F26B179" w14:textId="5A37B539" w:rsidR="006F56DB" w:rsidRDefault="006F56DB" w:rsidP="006F56DB">
      <w:r w:rsidRPr="006F56DB">
        <w:t>SAY:  This one connects to the service limits thread you have already been pulling on. The FHIR service has request throughput limits, and a payer running concurrent bulk exports is the fastest way to find them. Rather than letting a payer discover your ceiling, the gateway enforces its own: one concurrent export per payer, and a per-application request ceiling. A payer that pushes too hard gets a clean 429 with a Retry-After, not a degraded experience for everyone else. This is also why the instance count conversation and the gateway conversation are the same conversation.</w:t>
      </w:r>
    </w:p>
    <w:p w14:paraId="62D88182" w14:textId="17A0930C" w:rsidR="006F56DB" w:rsidRDefault="006F56DB" w:rsidP="006F56DB">
      <w:r w:rsidRPr="006F56DB">
        <w:t>EXPECT:  Assertion 15 shows expect 429, got 429, PASS.</w:t>
      </w:r>
    </w:p>
    <w:p w14:paraId="762B36BC" w14:textId="02C1C613" w:rsidR="006F56DB" w:rsidRDefault="006F56DB" w:rsidP="006F56DB">
      <w:pPr>
        <w:pStyle w:val="Heading2"/>
        <w:spacing w:after="160"/>
      </w:pPr>
      <w:bookmarkStart w:id="17" w:name="_Toc239065120"/>
      <w:r w:rsidRPr="006F56DB">
        <w:t>Segment H - The inbound policy, mirrored</w:t>
      </w:r>
      <w:bookmarkEnd w:id="17"/>
    </w:p>
    <w:p w14:paraId="531368BB" w14:textId="48A564FF" w:rsidR="006F56DB" w:rsidRDefault="006F56DB" w:rsidP="006F56DB">
      <w:pPr>
        <w:spacing w:after="120"/>
      </w:pPr>
      <w:r w:rsidRPr="006F56DB">
        <w:t>Goal: close the loop on the direction question. Two minutes. Compress or cut if behind.</w:t>
      </w:r>
    </w:p>
    <w:p w14:paraId="4D42E74F" w14:textId="0A5360C9" w:rsidR="006F56DB" w:rsidRDefault="006F56DB" w:rsidP="006F56DB">
      <w:pPr>
        <w:spacing w:after="80"/>
      </w:pPr>
      <w:r w:rsidRPr="006F56DB">
        <w:t>DO:  Tab 2. Select Contoso Health Plan - Inbound (ingest), open the policy editor, scroll to the $export deny block and the contract stamping block.</w:t>
      </w:r>
    </w:p>
    <w:p w14:paraId="397CBF7E" w14:textId="20706C6B" w:rsidR="006F56DB" w:rsidRDefault="006F56DB" w:rsidP="006F56DB">
      <w:r w:rsidRPr="006F56DB">
        <w:t>SAY:  The inbound route is the mirror image. Bulk export is refused outright here, so a compromised ingest credential cannot be turned into an exfiltration tool. And every write is stamped with the contract it arrived under. That stamping is what makes the outbound filter meaningful - if ingest does not tag, export cannot filter. We deliberately reject untagged writes rather than accept them, because silently untagged data is invisible to every payer and effectively lost.</w:t>
      </w:r>
    </w:p>
    <w:p w14:paraId="1389F686" w14:textId="604F447E" w:rsidR="006F56DB" w:rsidRDefault="006F56DB" w:rsidP="006F56DB">
      <w:r w:rsidRPr="006F56DB">
        <w:t>EXPECT:  The policy shows the export deny block returning 403 and the mandatory X-Northwind Health-Contract header check.</w:t>
      </w:r>
    </w:p>
    <w:p w14:paraId="36F85321" w14:textId="77777777" w:rsidR="006F56DB" w:rsidRDefault="006F56DB" w:rsidP="006F56DB">
      <w:pPr>
        <w:ind w:left="360"/>
        <w:jc w:val="center"/>
      </w:pPr>
      <w:r>
        <w:rPr>
          <w:noProof/>
        </w:rPr>
        <w:drawing>
          <wp:inline distT="0" distB="0" distL="0" distR="0" wp14:anchorId="46C2D6AF" wp14:editId="75B8788F">
            <wp:extent cx="4140154" cy="5461000"/>
            <wp:effectExtent l="0" t="0" r="0" b="6350"/>
            <wp:docPr id="151724151" name="Picture 8" descr="The inbound policy. Export denied, contract stamping manda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4151" name="Picture 8" descr="The inbound policy. Export denied, contract stamping mandatory."/>
                    <pic:cNvPicPr/>
                  </pic:nvPicPr>
                  <pic:blipFill>
                    <a:blip r:embed="rId14">
                      <a:extLst>
                        <a:ext uri="{28A0092B-C50C-407E-A947-70E740481C1C}">
                          <a14:useLocalDpi xmlns:a14="http://schemas.microsoft.com/office/drawing/2010/main" val="0"/>
                        </a:ext>
                      </a:extLst>
                    </a:blip>
                    <a:stretch>
                      <a:fillRect/>
                    </a:stretch>
                  </pic:blipFill>
                  <pic:spPr>
                    <a:xfrm>
                      <a:off x="0" y="0"/>
                      <a:ext cx="4140154" cy="5461000"/>
                    </a:xfrm>
                    <a:prstGeom prst="rect">
                      <a:avLst/>
                    </a:prstGeom>
                  </pic:spPr>
                </pic:pic>
              </a:graphicData>
            </a:graphic>
          </wp:inline>
        </w:drawing>
      </w:r>
    </w:p>
    <w:p w14:paraId="7E08B793" w14:textId="2B4B3B3A" w:rsidR="006F56DB" w:rsidRDefault="006F56DB" w:rsidP="006F56DB">
      <w:pPr>
        <w:pStyle w:val="Caption"/>
        <w:spacing w:after="240"/>
        <w:jc w:val="center"/>
        <w:rPr>
          <w:i w:val="0"/>
        </w:rPr>
      </w:pPr>
      <w:r w:rsidRPr="006F56DB">
        <w:rPr>
          <w:i w:val="0"/>
        </w:rPr>
        <w:t>Figure 8. The inbound policy. Export denied, contract stamping mandatory.</w:t>
      </w:r>
    </w:p>
    <w:p w14:paraId="2FE04B2F" w14:textId="4AB10FAF" w:rsidR="006F56DB" w:rsidRDefault="006F56DB">
      <w:r>
        <w:br w:type="page"/>
      </w:r>
    </w:p>
    <w:p w14:paraId="7BE2936D" w14:textId="01B20E4E" w:rsidR="006F56DB" w:rsidRDefault="006F56DB" w:rsidP="006F56DB">
      <w:pPr>
        <w:pStyle w:val="Heading1"/>
        <w:spacing w:after="160"/>
      </w:pPr>
      <w:bookmarkStart w:id="18" w:name="_Toc239065121"/>
      <w:r w:rsidRPr="006F56DB">
        <w:t>5. What each assertion proves</w:t>
      </w:r>
      <w:bookmarkEnd w:id="18"/>
    </w:p>
    <w:p w14:paraId="15DC5AA4" w14:textId="3C72382A" w:rsidR="006F56DB" w:rsidRDefault="006F56DB" w:rsidP="006F56DB">
      <w:pPr>
        <w:spacing w:after="120"/>
      </w:pPr>
      <w:r w:rsidRPr="006F56DB">
        <w:t>Reference for questions. You will not walk this table live, but you should be able to answer from it.</w:t>
      </w:r>
    </w:p>
    <w:tbl>
      <w:tblPr>
        <w:tblStyle w:val="TableGrid"/>
        <w:tblW w:w="5000" w:type="pct"/>
        <w:tblLook w:val="04A0" w:firstRow="1" w:lastRow="0" w:firstColumn="1" w:lastColumn="0" w:noHBand="0" w:noVBand="1"/>
      </w:tblPr>
      <w:tblGrid>
        <w:gridCol w:w="3238"/>
        <w:gridCol w:w="3237"/>
        <w:gridCol w:w="3235"/>
      </w:tblGrid>
      <w:tr w:rsidR="006F56DB" w:rsidRPr="006F56DB" w14:paraId="586B38CC" w14:textId="77777777" w:rsidTr="006F56DB">
        <w:trPr>
          <w:tblHeader/>
        </w:trPr>
        <w:tc>
          <w:tcPr>
            <w:tcW w:w="1667" w:type="pct"/>
          </w:tcPr>
          <w:p w14:paraId="51F0CF89" w14:textId="3FAEE69E" w:rsidR="006F56DB" w:rsidRPr="006F56DB" w:rsidRDefault="006F56DB" w:rsidP="006F56DB">
            <w:pPr>
              <w:spacing w:after="120"/>
              <w:rPr>
                <w:rFonts w:ascii="Arial" w:hAnsi="Arial" w:cs="Arial"/>
                <w:b/>
                <w:sz w:val="16"/>
              </w:rPr>
            </w:pPr>
            <w:r>
              <w:rPr>
                <w:rFonts w:ascii="Arial" w:hAnsi="Arial" w:cs="Arial"/>
                <w:b/>
                <w:sz w:val="16"/>
              </w:rPr>
              <w:t>#</w:t>
            </w:r>
          </w:p>
        </w:tc>
        <w:tc>
          <w:tcPr>
            <w:tcW w:w="1667" w:type="pct"/>
          </w:tcPr>
          <w:p w14:paraId="1E56991B" w14:textId="33D1FED6" w:rsidR="006F56DB" w:rsidRPr="006F56DB" w:rsidRDefault="006F56DB" w:rsidP="006F56DB">
            <w:pPr>
              <w:spacing w:after="120"/>
              <w:rPr>
                <w:rFonts w:ascii="Arial" w:hAnsi="Arial" w:cs="Arial"/>
                <w:b/>
                <w:sz w:val="16"/>
              </w:rPr>
            </w:pPr>
            <w:r>
              <w:rPr>
                <w:rFonts w:ascii="Arial" w:hAnsi="Arial" w:cs="Arial"/>
                <w:b/>
                <w:sz w:val="16"/>
              </w:rPr>
              <w:t>Assertion</w:t>
            </w:r>
          </w:p>
        </w:tc>
        <w:tc>
          <w:tcPr>
            <w:tcW w:w="1667" w:type="pct"/>
          </w:tcPr>
          <w:p w14:paraId="7B3C6E95" w14:textId="1A2A1D81" w:rsidR="006F56DB" w:rsidRPr="006F56DB" w:rsidRDefault="006F56DB" w:rsidP="006F56DB">
            <w:pPr>
              <w:spacing w:after="120"/>
              <w:rPr>
                <w:rFonts w:ascii="Arial" w:hAnsi="Arial" w:cs="Arial"/>
                <w:b/>
                <w:sz w:val="16"/>
              </w:rPr>
            </w:pPr>
            <w:r>
              <w:rPr>
                <w:rFonts w:ascii="Arial" w:hAnsi="Arial" w:cs="Arial"/>
                <w:b/>
                <w:sz w:val="16"/>
              </w:rPr>
              <w:t>Proves</w:t>
            </w:r>
          </w:p>
        </w:tc>
      </w:tr>
      <w:tr w:rsidR="006F56DB" w:rsidRPr="006F56DB" w14:paraId="5C3BA4F3" w14:textId="77777777" w:rsidTr="006F56DB">
        <w:tc>
          <w:tcPr>
            <w:tcW w:w="1667" w:type="pct"/>
          </w:tcPr>
          <w:p w14:paraId="246ECEE4" w14:textId="5CBA9575" w:rsidR="006F56DB" w:rsidRPr="006F56DB" w:rsidRDefault="006F56DB" w:rsidP="006F56DB">
            <w:pPr>
              <w:spacing w:after="120"/>
              <w:rPr>
                <w:rFonts w:ascii="Arial" w:hAnsi="Arial" w:cs="Arial"/>
                <w:sz w:val="16"/>
              </w:rPr>
            </w:pPr>
            <w:r>
              <w:rPr>
                <w:rFonts w:ascii="Arial" w:hAnsi="Arial" w:cs="Arial"/>
                <w:sz w:val="16"/>
              </w:rPr>
              <w:t>1</w:t>
            </w:r>
          </w:p>
        </w:tc>
        <w:tc>
          <w:tcPr>
            <w:tcW w:w="1667" w:type="pct"/>
          </w:tcPr>
          <w:p w14:paraId="4A03C011" w14:textId="7D04A129" w:rsidR="006F56DB" w:rsidRPr="006F56DB" w:rsidRDefault="006F56DB" w:rsidP="006F56DB">
            <w:pPr>
              <w:spacing w:after="120"/>
              <w:rPr>
                <w:rFonts w:ascii="Arial" w:hAnsi="Arial" w:cs="Arial"/>
                <w:sz w:val="16"/>
              </w:rPr>
            </w:pPr>
            <w:r>
              <w:rPr>
                <w:rFonts w:ascii="Arial" w:hAnsi="Arial" w:cs="Arial"/>
                <w:sz w:val="16"/>
              </w:rPr>
              <w:t>own data readable</w:t>
            </w:r>
          </w:p>
        </w:tc>
        <w:tc>
          <w:tcPr>
            <w:tcW w:w="1667" w:type="pct"/>
          </w:tcPr>
          <w:p w14:paraId="0CEC31B5" w14:textId="35A7A52B" w:rsidR="006F56DB" w:rsidRPr="006F56DB" w:rsidRDefault="006F56DB" w:rsidP="006F56DB">
            <w:pPr>
              <w:spacing w:after="120"/>
              <w:rPr>
                <w:rFonts w:ascii="Arial" w:hAnsi="Arial" w:cs="Arial"/>
                <w:sz w:val="16"/>
              </w:rPr>
            </w:pPr>
            <w:r>
              <w:rPr>
                <w:rFonts w:ascii="Arial" w:hAnsi="Arial" w:cs="Arial"/>
                <w:sz w:val="16"/>
              </w:rPr>
              <w:t>The happy path works - a legitimate payer reads its own data.</w:t>
            </w:r>
          </w:p>
        </w:tc>
      </w:tr>
      <w:tr w:rsidR="006F56DB" w:rsidRPr="006F56DB" w14:paraId="38EEDC1D" w14:textId="77777777" w:rsidTr="006F56DB">
        <w:tc>
          <w:tcPr>
            <w:tcW w:w="1667" w:type="pct"/>
          </w:tcPr>
          <w:p w14:paraId="7733E0F4" w14:textId="7B784573" w:rsidR="006F56DB" w:rsidRPr="006F56DB" w:rsidRDefault="006F56DB" w:rsidP="006F56DB">
            <w:pPr>
              <w:spacing w:after="120"/>
              <w:rPr>
                <w:rFonts w:ascii="Arial" w:hAnsi="Arial" w:cs="Arial"/>
                <w:sz w:val="16"/>
              </w:rPr>
            </w:pPr>
            <w:r>
              <w:rPr>
                <w:rFonts w:ascii="Arial" w:hAnsi="Arial" w:cs="Arial"/>
                <w:sz w:val="16"/>
              </w:rPr>
              <w:t>2</w:t>
            </w:r>
          </w:p>
        </w:tc>
        <w:tc>
          <w:tcPr>
            <w:tcW w:w="1667" w:type="pct"/>
          </w:tcPr>
          <w:p w14:paraId="1C49F950" w14:textId="500D3D05" w:rsidR="006F56DB" w:rsidRPr="006F56DB" w:rsidRDefault="006F56DB" w:rsidP="006F56DB">
            <w:pPr>
              <w:spacing w:after="120"/>
              <w:rPr>
                <w:rFonts w:ascii="Arial" w:hAnsi="Arial" w:cs="Arial"/>
                <w:sz w:val="16"/>
              </w:rPr>
            </w:pPr>
            <w:r>
              <w:rPr>
                <w:rFonts w:ascii="Arial" w:hAnsi="Arial" w:cs="Arial"/>
                <w:sz w:val="16"/>
              </w:rPr>
              <w:t>Group export accepted</w:t>
            </w:r>
          </w:p>
        </w:tc>
        <w:tc>
          <w:tcPr>
            <w:tcW w:w="1667" w:type="pct"/>
          </w:tcPr>
          <w:p w14:paraId="5CEE3186" w14:textId="26EAC68E" w:rsidR="006F56DB" w:rsidRPr="006F56DB" w:rsidRDefault="006F56DB" w:rsidP="006F56DB">
            <w:pPr>
              <w:spacing w:after="120"/>
              <w:rPr>
                <w:rFonts w:ascii="Arial" w:hAnsi="Arial" w:cs="Arial"/>
                <w:sz w:val="16"/>
              </w:rPr>
            </w:pPr>
            <w:r>
              <w:rPr>
                <w:rFonts w:ascii="Arial" w:hAnsi="Arial" w:cs="Arial"/>
                <w:sz w:val="16"/>
              </w:rPr>
              <w:t>CMS-0057-F bulk export works through the gateway.</w:t>
            </w:r>
          </w:p>
        </w:tc>
      </w:tr>
      <w:tr w:rsidR="006F56DB" w:rsidRPr="006F56DB" w14:paraId="171BDECC" w14:textId="77777777" w:rsidTr="006F56DB">
        <w:tc>
          <w:tcPr>
            <w:tcW w:w="1667" w:type="pct"/>
          </w:tcPr>
          <w:p w14:paraId="3E7F16BB" w14:textId="17CFF1FB" w:rsidR="006F56DB" w:rsidRPr="006F56DB" w:rsidRDefault="006F56DB" w:rsidP="006F56DB">
            <w:pPr>
              <w:spacing w:after="120"/>
              <w:rPr>
                <w:rFonts w:ascii="Arial" w:hAnsi="Arial" w:cs="Arial"/>
                <w:sz w:val="16"/>
              </w:rPr>
            </w:pPr>
            <w:r>
              <w:rPr>
                <w:rFonts w:ascii="Arial" w:hAnsi="Arial" w:cs="Arial"/>
                <w:sz w:val="16"/>
              </w:rPr>
              <w:t>3</w:t>
            </w:r>
          </w:p>
        </w:tc>
        <w:tc>
          <w:tcPr>
            <w:tcW w:w="1667" w:type="pct"/>
          </w:tcPr>
          <w:p w14:paraId="2C97E7BD" w14:textId="1F82ED19" w:rsidR="006F56DB" w:rsidRPr="006F56DB" w:rsidRDefault="006F56DB" w:rsidP="006F56DB">
            <w:pPr>
              <w:spacing w:after="120"/>
              <w:rPr>
                <w:rFonts w:ascii="Arial" w:hAnsi="Arial" w:cs="Arial"/>
                <w:sz w:val="16"/>
              </w:rPr>
            </w:pPr>
            <w:r>
              <w:rPr>
                <w:rFonts w:ascii="Arial" w:hAnsi="Arial" w:cs="Arial"/>
                <w:sz w:val="16"/>
              </w:rPr>
              <w:t>capability statement</w:t>
            </w:r>
          </w:p>
        </w:tc>
        <w:tc>
          <w:tcPr>
            <w:tcW w:w="1667" w:type="pct"/>
          </w:tcPr>
          <w:p w14:paraId="5AA21566" w14:textId="7CCE936C" w:rsidR="006F56DB" w:rsidRPr="006F56DB" w:rsidRDefault="006F56DB" w:rsidP="006F56DB">
            <w:pPr>
              <w:spacing w:after="120"/>
              <w:rPr>
                <w:rFonts w:ascii="Arial" w:hAnsi="Arial" w:cs="Arial"/>
                <w:sz w:val="16"/>
              </w:rPr>
            </w:pPr>
            <w:r>
              <w:rPr>
                <w:rFonts w:ascii="Arial" w:hAnsi="Arial" w:cs="Arial"/>
                <w:sz w:val="16"/>
              </w:rPr>
              <w:t>Discovery endpoints stay reachable for conformance tooling.</w:t>
            </w:r>
          </w:p>
        </w:tc>
      </w:tr>
      <w:tr w:rsidR="006F56DB" w:rsidRPr="006F56DB" w14:paraId="5C7E651F" w14:textId="77777777" w:rsidTr="006F56DB">
        <w:tc>
          <w:tcPr>
            <w:tcW w:w="1667" w:type="pct"/>
          </w:tcPr>
          <w:p w14:paraId="233EEB70" w14:textId="1BFA910B" w:rsidR="006F56DB" w:rsidRPr="006F56DB" w:rsidRDefault="006F56DB" w:rsidP="006F56DB">
            <w:pPr>
              <w:spacing w:after="120"/>
              <w:rPr>
                <w:rFonts w:ascii="Arial" w:hAnsi="Arial" w:cs="Arial"/>
                <w:sz w:val="16"/>
              </w:rPr>
            </w:pPr>
            <w:r>
              <w:rPr>
                <w:rFonts w:ascii="Arial" w:hAnsi="Arial" w:cs="Arial"/>
                <w:sz w:val="16"/>
              </w:rPr>
              <w:t>4</w:t>
            </w:r>
          </w:p>
        </w:tc>
        <w:tc>
          <w:tcPr>
            <w:tcW w:w="1667" w:type="pct"/>
          </w:tcPr>
          <w:p w14:paraId="3FDAEB6C" w14:textId="769B21BE" w:rsidR="006F56DB" w:rsidRPr="006F56DB" w:rsidRDefault="006F56DB" w:rsidP="006F56DB">
            <w:pPr>
              <w:spacing w:after="120"/>
              <w:rPr>
                <w:rFonts w:ascii="Arial" w:hAnsi="Arial" w:cs="Arial"/>
                <w:sz w:val="16"/>
              </w:rPr>
            </w:pPr>
            <w:r>
              <w:rPr>
                <w:rFonts w:ascii="Arial" w:hAnsi="Arial" w:cs="Arial"/>
                <w:sz w:val="16"/>
              </w:rPr>
              <w:t>payer B app, valid payer A audience</w:t>
            </w:r>
          </w:p>
        </w:tc>
        <w:tc>
          <w:tcPr>
            <w:tcW w:w="1667" w:type="pct"/>
          </w:tcPr>
          <w:p w14:paraId="4C866FDE" w14:textId="386A728E" w:rsidR="006F56DB" w:rsidRPr="006F56DB" w:rsidRDefault="006F56DB" w:rsidP="006F56DB">
            <w:pPr>
              <w:spacing w:after="120"/>
              <w:rPr>
                <w:rFonts w:ascii="Arial" w:hAnsi="Arial" w:cs="Arial"/>
                <w:sz w:val="16"/>
              </w:rPr>
            </w:pPr>
            <w:r>
              <w:rPr>
                <w:rFonts w:ascii="Arial" w:hAnsi="Arial" w:cs="Arial"/>
                <w:sz w:val="16"/>
              </w:rPr>
              <w:t>The PHI boundary holds against a valid but wrong-payer token.</w:t>
            </w:r>
          </w:p>
        </w:tc>
      </w:tr>
      <w:tr w:rsidR="006F56DB" w:rsidRPr="006F56DB" w14:paraId="63AD70DD" w14:textId="77777777" w:rsidTr="006F56DB">
        <w:tc>
          <w:tcPr>
            <w:tcW w:w="1667" w:type="pct"/>
          </w:tcPr>
          <w:p w14:paraId="77FA4F6B" w14:textId="66B9873A" w:rsidR="006F56DB" w:rsidRPr="006F56DB" w:rsidRDefault="006F56DB" w:rsidP="006F56DB">
            <w:pPr>
              <w:spacing w:after="120"/>
              <w:rPr>
                <w:rFonts w:ascii="Arial" w:hAnsi="Arial" w:cs="Arial"/>
                <w:sz w:val="16"/>
              </w:rPr>
            </w:pPr>
            <w:r>
              <w:rPr>
                <w:rFonts w:ascii="Arial" w:hAnsi="Arial" w:cs="Arial"/>
                <w:sz w:val="16"/>
              </w:rPr>
              <w:t>5</w:t>
            </w:r>
          </w:p>
        </w:tc>
        <w:tc>
          <w:tcPr>
            <w:tcW w:w="1667" w:type="pct"/>
          </w:tcPr>
          <w:p w14:paraId="58C5B10F" w14:textId="7685AD82" w:rsidR="006F56DB" w:rsidRPr="006F56DB" w:rsidRDefault="006F56DB" w:rsidP="006F56DB">
            <w:pPr>
              <w:spacing w:after="120"/>
              <w:rPr>
                <w:rFonts w:ascii="Arial" w:hAnsi="Arial" w:cs="Arial"/>
                <w:sz w:val="16"/>
              </w:rPr>
            </w:pPr>
            <w:r>
              <w:rPr>
                <w:rFonts w:ascii="Arial" w:hAnsi="Arial" w:cs="Arial"/>
                <w:sz w:val="16"/>
              </w:rPr>
              <w:t>payer B token, payer B audience</w:t>
            </w:r>
          </w:p>
        </w:tc>
        <w:tc>
          <w:tcPr>
            <w:tcW w:w="1667" w:type="pct"/>
          </w:tcPr>
          <w:p w14:paraId="33266996" w14:textId="015E5495" w:rsidR="006F56DB" w:rsidRPr="006F56DB" w:rsidRDefault="006F56DB" w:rsidP="006F56DB">
            <w:pPr>
              <w:spacing w:after="120"/>
              <w:rPr>
                <w:rFonts w:ascii="Arial" w:hAnsi="Arial" w:cs="Arial"/>
                <w:sz w:val="16"/>
              </w:rPr>
            </w:pPr>
            <w:r>
              <w:rPr>
                <w:rFonts w:ascii="Arial" w:hAnsi="Arial" w:cs="Arial"/>
                <w:sz w:val="16"/>
              </w:rPr>
              <w:t>Audience confusion is rejected.</w:t>
            </w:r>
          </w:p>
        </w:tc>
      </w:tr>
      <w:tr w:rsidR="006F56DB" w:rsidRPr="006F56DB" w14:paraId="2CE67F66" w14:textId="77777777" w:rsidTr="006F56DB">
        <w:tc>
          <w:tcPr>
            <w:tcW w:w="1667" w:type="pct"/>
          </w:tcPr>
          <w:p w14:paraId="0FCFB22B" w14:textId="1ADF9174" w:rsidR="006F56DB" w:rsidRPr="006F56DB" w:rsidRDefault="006F56DB" w:rsidP="006F56DB">
            <w:pPr>
              <w:spacing w:after="120"/>
              <w:rPr>
                <w:rFonts w:ascii="Arial" w:hAnsi="Arial" w:cs="Arial"/>
                <w:sz w:val="16"/>
              </w:rPr>
            </w:pPr>
            <w:r>
              <w:rPr>
                <w:rFonts w:ascii="Arial" w:hAnsi="Arial" w:cs="Arial"/>
                <w:sz w:val="16"/>
              </w:rPr>
              <w:t>6</w:t>
            </w:r>
          </w:p>
        </w:tc>
        <w:tc>
          <w:tcPr>
            <w:tcW w:w="1667" w:type="pct"/>
          </w:tcPr>
          <w:p w14:paraId="2DF2D3F8" w14:textId="0DDBC0E6" w:rsidR="006F56DB" w:rsidRPr="006F56DB" w:rsidRDefault="006F56DB" w:rsidP="006F56DB">
            <w:pPr>
              <w:spacing w:after="120"/>
              <w:rPr>
                <w:rFonts w:ascii="Arial" w:hAnsi="Arial" w:cs="Arial"/>
                <w:sz w:val="16"/>
              </w:rPr>
            </w:pPr>
            <w:r>
              <w:rPr>
                <w:rFonts w:ascii="Arial" w:hAnsi="Arial" w:cs="Arial"/>
                <w:sz w:val="16"/>
              </w:rPr>
              <w:t>unentitled Group export</w:t>
            </w:r>
          </w:p>
        </w:tc>
        <w:tc>
          <w:tcPr>
            <w:tcW w:w="1667" w:type="pct"/>
          </w:tcPr>
          <w:p w14:paraId="57BA9B59" w14:textId="4283E78C" w:rsidR="006F56DB" w:rsidRPr="006F56DB" w:rsidRDefault="006F56DB" w:rsidP="006F56DB">
            <w:pPr>
              <w:spacing w:after="120"/>
              <w:rPr>
                <w:rFonts w:ascii="Arial" w:hAnsi="Arial" w:cs="Arial"/>
                <w:sz w:val="16"/>
              </w:rPr>
            </w:pPr>
            <w:r>
              <w:rPr>
                <w:rFonts w:ascii="Arial" w:hAnsi="Arial" w:cs="Arial"/>
                <w:sz w:val="16"/>
              </w:rPr>
              <w:t>Contract scoping - a payer cannot export another contract Group.</w:t>
            </w:r>
          </w:p>
        </w:tc>
      </w:tr>
      <w:tr w:rsidR="006F56DB" w:rsidRPr="006F56DB" w14:paraId="350F5BBA" w14:textId="77777777" w:rsidTr="006F56DB">
        <w:tc>
          <w:tcPr>
            <w:tcW w:w="1667" w:type="pct"/>
          </w:tcPr>
          <w:p w14:paraId="21B22C45" w14:textId="5956B997" w:rsidR="006F56DB" w:rsidRPr="006F56DB" w:rsidRDefault="006F56DB" w:rsidP="006F56DB">
            <w:pPr>
              <w:spacing w:after="120"/>
              <w:rPr>
                <w:rFonts w:ascii="Arial" w:hAnsi="Arial" w:cs="Arial"/>
                <w:sz w:val="16"/>
              </w:rPr>
            </w:pPr>
            <w:r>
              <w:rPr>
                <w:rFonts w:ascii="Arial" w:hAnsi="Arial" w:cs="Arial"/>
                <w:sz w:val="16"/>
              </w:rPr>
              <w:t>7</w:t>
            </w:r>
          </w:p>
        </w:tc>
        <w:tc>
          <w:tcPr>
            <w:tcW w:w="1667" w:type="pct"/>
          </w:tcPr>
          <w:p w14:paraId="4B592018" w14:textId="6F1AC233" w:rsidR="006F56DB" w:rsidRPr="006F56DB" w:rsidRDefault="006F56DB" w:rsidP="006F56DB">
            <w:pPr>
              <w:spacing w:after="120"/>
              <w:rPr>
                <w:rFonts w:ascii="Arial" w:hAnsi="Arial" w:cs="Arial"/>
                <w:sz w:val="16"/>
              </w:rPr>
            </w:pPr>
            <w:r>
              <w:rPr>
                <w:rFonts w:ascii="Arial" w:hAnsi="Arial" w:cs="Arial"/>
                <w:sz w:val="16"/>
              </w:rPr>
              <w:t>write on outbound route</w:t>
            </w:r>
          </w:p>
        </w:tc>
        <w:tc>
          <w:tcPr>
            <w:tcW w:w="1667" w:type="pct"/>
          </w:tcPr>
          <w:p w14:paraId="35310812" w14:textId="70991164" w:rsidR="006F56DB" w:rsidRPr="006F56DB" w:rsidRDefault="006F56DB" w:rsidP="006F56DB">
            <w:pPr>
              <w:spacing w:after="120"/>
              <w:rPr>
                <w:rFonts w:ascii="Arial" w:hAnsi="Arial" w:cs="Arial"/>
                <w:sz w:val="16"/>
              </w:rPr>
            </w:pPr>
            <w:r>
              <w:rPr>
                <w:rFonts w:ascii="Arial" w:hAnsi="Arial" w:cs="Arial"/>
                <w:sz w:val="16"/>
              </w:rPr>
              <w:t>The outbound route is genuinely read only.</w:t>
            </w:r>
          </w:p>
        </w:tc>
      </w:tr>
      <w:tr w:rsidR="006F56DB" w:rsidRPr="006F56DB" w14:paraId="79B0907D" w14:textId="77777777" w:rsidTr="006F56DB">
        <w:tc>
          <w:tcPr>
            <w:tcW w:w="1667" w:type="pct"/>
          </w:tcPr>
          <w:p w14:paraId="293EC976" w14:textId="3B3D14B3" w:rsidR="006F56DB" w:rsidRPr="006F56DB" w:rsidRDefault="006F56DB" w:rsidP="006F56DB">
            <w:pPr>
              <w:spacing w:after="120"/>
              <w:rPr>
                <w:rFonts w:ascii="Arial" w:hAnsi="Arial" w:cs="Arial"/>
                <w:sz w:val="16"/>
              </w:rPr>
            </w:pPr>
            <w:r>
              <w:rPr>
                <w:rFonts w:ascii="Arial" w:hAnsi="Arial" w:cs="Arial"/>
                <w:sz w:val="16"/>
              </w:rPr>
              <w:t>8</w:t>
            </w:r>
          </w:p>
        </w:tc>
        <w:tc>
          <w:tcPr>
            <w:tcW w:w="1667" w:type="pct"/>
          </w:tcPr>
          <w:p w14:paraId="68C37401" w14:textId="314FFC1B" w:rsidR="006F56DB" w:rsidRPr="006F56DB" w:rsidRDefault="006F56DB" w:rsidP="006F56DB">
            <w:pPr>
              <w:spacing w:after="120"/>
              <w:rPr>
                <w:rFonts w:ascii="Arial" w:hAnsi="Arial" w:cs="Arial"/>
                <w:sz w:val="16"/>
              </w:rPr>
            </w:pPr>
            <w:r>
              <w:rPr>
                <w:rFonts w:ascii="Arial" w:hAnsi="Arial" w:cs="Arial"/>
                <w:sz w:val="16"/>
              </w:rPr>
              <w:t>payer credential on inbound route</w:t>
            </w:r>
          </w:p>
        </w:tc>
        <w:tc>
          <w:tcPr>
            <w:tcW w:w="1667" w:type="pct"/>
          </w:tcPr>
          <w:p w14:paraId="2D4636C9" w14:textId="648772EB" w:rsidR="006F56DB" w:rsidRPr="006F56DB" w:rsidRDefault="006F56DB" w:rsidP="006F56DB">
            <w:pPr>
              <w:spacing w:after="120"/>
              <w:rPr>
                <w:rFonts w:ascii="Arial" w:hAnsi="Arial" w:cs="Arial"/>
                <w:sz w:val="16"/>
              </w:rPr>
            </w:pPr>
            <w:r>
              <w:rPr>
                <w:rFonts w:ascii="Arial" w:hAnsi="Arial" w:cs="Arial"/>
                <w:sz w:val="16"/>
              </w:rPr>
              <w:t>Payer credentials cannot reach the ingest route.</w:t>
            </w:r>
          </w:p>
        </w:tc>
      </w:tr>
      <w:tr w:rsidR="006F56DB" w:rsidRPr="006F56DB" w14:paraId="2A90E3D6" w14:textId="77777777" w:rsidTr="006F56DB">
        <w:tc>
          <w:tcPr>
            <w:tcW w:w="1667" w:type="pct"/>
          </w:tcPr>
          <w:p w14:paraId="05A3F297" w14:textId="3B509CC7" w:rsidR="006F56DB" w:rsidRPr="006F56DB" w:rsidRDefault="006F56DB" w:rsidP="006F56DB">
            <w:pPr>
              <w:spacing w:after="120"/>
              <w:rPr>
                <w:rFonts w:ascii="Arial" w:hAnsi="Arial" w:cs="Arial"/>
                <w:sz w:val="16"/>
              </w:rPr>
            </w:pPr>
            <w:r>
              <w:rPr>
                <w:rFonts w:ascii="Arial" w:hAnsi="Arial" w:cs="Arial"/>
                <w:sz w:val="16"/>
              </w:rPr>
              <w:t>9</w:t>
            </w:r>
          </w:p>
        </w:tc>
        <w:tc>
          <w:tcPr>
            <w:tcW w:w="1667" w:type="pct"/>
          </w:tcPr>
          <w:p w14:paraId="7D9E42F9" w14:textId="1E9B5E5A" w:rsidR="006F56DB" w:rsidRPr="006F56DB" w:rsidRDefault="006F56DB" w:rsidP="006F56DB">
            <w:pPr>
              <w:spacing w:after="120"/>
              <w:rPr>
                <w:rFonts w:ascii="Arial" w:hAnsi="Arial" w:cs="Arial"/>
                <w:sz w:val="16"/>
              </w:rPr>
            </w:pPr>
            <w:r>
              <w:rPr>
                <w:rFonts w:ascii="Arial" w:hAnsi="Arial" w:cs="Arial"/>
                <w:sz w:val="16"/>
              </w:rPr>
              <w:t>export on inbound route</w:t>
            </w:r>
          </w:p>
        </w:tc>
        <w:tc>
          <w:tcPr>
            <w:tcW w:w="1667" w:type="pct"/>
          </w:tcPr>
          <w:p w14:paraId="3B7C4C88" w14:textId="497F774A" w:rsidR="006F56DB" w:rsidRPr="006F56DB" w:rsidRDefault="006F56DB" w:rsidP="006F56DB">
            <w:pPr>
              <w:spacing w:after="120"/>
              <w:rPr>
                <w:rFonts w:ascii="Arial" w:hAnsi="Arial" w:cs="Arial"/>
                <w:sz w:val="16"/>
              </w:rPr>
            </w:pPr>
            <w:r>
              <w:rPr>
                <w:rFonts w:ascii="Arial" w:hAnsi="Arial" w:cs="Arial"/>
                <w:sz w:val="16"/>
              </w:rPr>
              <w:t>Ingest credentials cannot be used to exfiltrate.</w:t>
            </w:r>
          </w:p>
        </w:tc>
      </w:tr>
      <w:tr w:rsidR="006F56DB" w:rsidRPr="006F56DB" w14:paraId="701BB81F" w14:textId="77777777" w:rsidTr="006F56DB">
        <w:tc>
          <w:tcPr>
            <w:tcW w:w="1667" w:type="pct"/>
          </w:tcPr>
          <w:p w14:paraId="138147D6" w14:textId="3A102E7F" w:rsidR="006F56DB" w:rsidRPr="006F56DB" w:rsidRDefault="006F56DB" w:rsidP="006F56DB">
            <w:pPr>
              <w:spacing w:after="120"/>
              <w:rPr>
                <w:rFonts w:ascii="Arial" w:hAnsi="Arial" w:cs="Arial"/>
                <w:sz w:val="16"/>
              </w:rPr>
            </w:pPr>
            <w:r>
              <w:rPr>
                <w:rFonts w:ascii="Arial" w:hAnsi="Arial" w:cs="Arial"/>
                <w:sz w:val="16"/>
              </w:rPr>
              <w:t>10</w:t>
            </w:r>
          </w:p>
        </w:tc>
        <w:tc>
          <w:tcPr>
            <w:tcW w:w="1667" w:type="pct"/>
          </w:tcPr>
          <w:p w14:paraId="61AD8DF8" w14:textId="19D48519" w:rsidR="006F56DB" w:rsidRPr="006F56DB" w:rsidRDefault="006F56DB" w:rsidP="006F56DB">
            <w:pPr>
              <w:spacing w:after="120"/>
              <w:rPr>
                <w:rFonts w:ascii="Arial" w:hAnsi="Arial" w:cs="Arial"/>
                <w:sz w:val="16"/>
              </w:rPr>
            </w:pPr>
            <w:r>
              <w:rPr>
                <w:rFonts w:ascii="Arial" w:hAnsi="Arial" w:cs="Arial"/>
                <w:sz w:val="16"/>
              </w:rPr>
              <w:t>system-level export</w:t>
            </w:r>
          </w:p>
        </w:tc>
        <w:tc>
          <w:tcPr>
            <w:tcW w:w="1667" w:type="pct"/>
          </w:tcPr>
          <w:p w14:paraId="5A2C49E5" w14:textId="0902C416" w:rsidR="006F56DB" w:rsidRPr="006F56DB" w:rsidRDefault="006F56DB" w:rsidP="006F56DB">
            <w:pPr>
              <w:spacing w:after="120"/>
              <w:rPr>
                <w:rFonts w:ascii="Arial" w:hAnsi="Arial" w:cs="Arial"/>
                <w:sz w:val="16"/>
              </w:rPr>
            </w:pPr>
            <w:r>
              <w:rPr>
                <w:rFonts w:ascii="Arial" w:hAnsi="Arial" w:cs="Arial"/>
                <w:sz w:val="16"/>
              </w:rPr>
              <w:t>No unscoped bulk export.</w:t>
            </w:r>
          </w:p>
        </w:tc>
      </w:tr>
      <w:tr w:rsidR="006F56DB" w:rsidRPr="006F56DB" w14:paraId="382CCCBC" w14:textId="77777777" w:rsidTr="006F56DB">
        <w:tc>
          <w:tcPr>
            <w:tcW w:w="1667" w:type="pct"/>
          </w:tcPr>
          <w:p w14:paraId="7273669C" w14:textId="4A2935B7" w:rsidR="006F56DB" w:rsidRPr="006F56DB" w:rsidRDefault="006F56DB" w:rsidP="006F56DB">
            <w:pPr>
              <w:spacing w:after="120"/>
              <w:rPr>
                <w:rFonts w:ascii="Arial" w:hAnsi="Arial" w:cs="Arial"/>
                <w:sz w:val="16"/>
              </w:rPr>
            </w:pPr>
            <w:r>
              <w:rPr>
                <w:rFonts w:ascii="Arial" w:hAnsi="Arial" w:cs="Arial"/>
                <w:sz w:val="16"/>
              </w:rPr>
              <w:t>11</w:t>
            </w:r>
          </w:p>
        </w:tc>
        <w:tc>
          <w:tcPr>
            <w:tcW w:w="1667" w:type="pct"/>
          </w:tcPr>
          <w:p w14:paraId="5034577F" w14:textId="29FE9063" w:rsidR="006F56DB" w:rsidRPr="006F56DB" w:rsidRDefault="006F56DB" w:rsidP="006F56DB">
            <w:pPr>
              <w:spacing w:after="120"/>
              <w:rPr>
                <w:rFonts w:ascii="Arial" w:hAnsi="Arial" w:cs="Arial"/>
                <w:sz w:val="16"/>
              </w:rPr>
            </w:pPr>
            <w:r>
              <w:rPr>
                <w:rFonts w:ascii="Arial" w:hAnsi="Arial" w:cs="Arial"/>
                <w:sz w:val="16"/>
              </w:rPr>
              <w:t>patient-level export</w:t>
            </w:r>
          </w:p>
        </w:tc>
        <w:tc>
          <w:tcPr>
            <w:tcW w:w="1667" w:type="pct"/>
          </w:tcPr>
          <w:p w14:paraId="030D817A" w14:textId="25F5F6D0" w:rsidR="006F56DB" w:rsidRPr="006F56DB" w:rsidRDefault="006F56DB" w:rsidP="006F56DB">
            <w:pPr>
              <w:spacing w:after="120"/>
              <w:rPr>
                <w:rFonts w:ascii="Arial" w:hAnsi="Arial" w:cs="Arial"/>
                <w:sz w:val="16"/>
              </w:rPr>
            </w:pPr>
            <w:r>
              <w:rPr>
                <w:rFonts w:ascii="Arial" w:hAnsi="Arial" w:cs="Arial"/>
                <w:sz w:val="16"/>
              </w:rPr>
              <w:t>No patient-level bulk export for payers.</w:t>
            </w:r>
          </w:p>
        </w:tc>
      </w:tr>
      <w:tr w:rsidR="006F56DB" w:rsidRPr="006F56DB" w14:paraId="3AF4EB6C" w14:textId="77777777" w:rsidTr="006F56DB">
        <w:tc>
          <w:tcPr>
            <w:tcW w:w="1667" w:type="pct"/>
          </w:tcPr>
          <w:p w14:paraId="29B7109B" w14:textId="680A6306" w:rsidR="006F56DB" w:rsidRPr="006F56DB" w:rsidRDefault="006F56DB" w:rsidP="006F56DB">
            <w:pPr>
              <w:spacing w:after="120"/>
              <w:rPr>
                <w:rFonts w:ascii="Arial" w:hAnsi="Arial" w:cs="Arial"/>
                <w:sz w:val="16"/>
              </w:rPr>
            </w:pPr>
            <w:r>
              <w:rPr>
                <w:rFonts w:ascii="Arial" w:hAnsi="Arial" w:cs="Arial"/>
                <w:sz w:val="16"/>
              </w:rPr>
              <w:t>12</w:t>
            </w:r>
          </w:p>
        </w:tc>
        <w:tc>
          <w:tcPr>
            <w:tcW w:w="1667" w:type="pct"/>
          </w:tcPr>
          <w:p w14:paraId="6F04DFA6" w14:textId="7185D8BC" w:rsidR="006F56DB" w:rsidRPr="006F56DB" w:rsidRDefault="006F56DB" w:rsidP="006F56DB">
            <w:pPr>
              <w:spacing w:after="120"/>
              <w:rPr>
                <w:rFonts w:ascii="Arial" w:hAnsi="Arial" w:cs="Arial"/>
                <w:sz w:val="16"/>
              </w:rPr>
            </w:pPr>
            <w:r>
              <w:rPr>
                <w:rFonts w:ascii="Arial" w:hAnsi="Arial" w:cs="Arial"/>
                <w:sz w:val="16"/>
              </w:rPr>
              <w:t>payer token straight to AHDS</w:t>
            </w:r>
          </w:p>
        </w:tc>
        <w:tc>
          <w:tcPr>
            <w:tcW w:w="1667" w:type="pct"/>
          </w:tcPr>
          <w:p w14:paraId="2904DF3D" w14:textId="36D8924B" w:rsidR="006F56DB" w:rsidRPr="006F56DB" w:rsidRDefault="006F56DB" w:rsidP="006F56DB">
            <w:pPr>
              <w:spacing w:after="120"/>
              <w:rPr>
                <w:rFonts w:ascii="Arial" w:hAnsi="Arial" w:cs="Arial"/>
                <w:sz w:val="16"/>
              </w:rPr>
            </w:pPr>
            <w:r>
              <w:rPr>
                <w:rFonts w:ascii="Arial" w:hAnsi="Arial" w:cs="Arial"/>
                <w:sz w:val="16"/>
              </w:rPr>
              <w:t>The gateway cannot be bypassed. The keystone control.</w:t>
            </w:r>
          </w:p>
        </w:tc>
      </w:tr>
      <w:tr w:rsidR="006F56DB" w:rsidRPr="006F56DB" w14:paraId="00CED56E" w14:textId="77777777" w:rsidTr="006F56DB">
        <w:tc>
          <w:tcPr>
            <w:tcW w:w="1667" w:type="pct"/>
          </w:tcPr>
          <w:p w14:paraId="60F853EA" w14:textId="2D711399" w:rsidR="006F56DB" w:rsidRPr="006F56DB" w:rsidRDefault="006F56DB" w:rsidP="006F56DB">
            <w:pPr>
              <w:spacing w:after="120"/>
              <w:rPr>
                <w:rFonts w:ascii="Arial" w:hAnsi="Arial" w:cs="Arial"/>
                <w:sz w:val="16"/>
              </w:rPr>
            </w:pPr>
            <w:r>
              <w:rPr>
                <w:rFonts w:ascii="Arial" w:hAnsi="Arial" w:cs="Arial"/>
                <w:sz w:val="16"/>
              </w:rPr>
              <w:t>13</w:t>
            </w:r>
          </w:p>
        </w:tc>
        <w:tc>
          <w:tcPr>
            <w:tcW w:w="1667" w:type="pct"/>
          </w:tcPr>
          <w:p w14:paraId="31B8355D" w14:textId="6609B1F1" w:rsidR="006F56DB" w:rsidRPr="006F56DB" w:rsidRDefault="006F56DB" w:rsidP="006F56DB">
            <w:pPr>
              <w:spacing w:after="120"/>
              <w:rPr>
                <w:rFonts w:ascii="Arial" w:hAnsi="Arial" w:cs="Arial"/>
                <w:sz w:val="16"/>
              </w:rPr>
            </w:pPr>
            <w:r>
              <w:rPr>
                <w:rFonts w:ascii="Arial" w:hAnsi="Arial" w:cs="Arial"/>
                <w:sz w:val="16"/>
              </w:rPr>
              <w:t>caller-supplied _tag overridden</w:t>
            </w:r>
          </w:p>
        </w:tc>
        <w:tc>
          <w:tcPr>
            <w:tcW w:w="1667" w:type="pct"/>
          </w:tcPr>
          <w:p w14:paraId="02E40635" w14:textId="1CFC50D5" w:rsidR="006F56DB" w:rsidRPr="006F56DB" w:rsidRDefault="006F56DB" w:rsidP="006F56DB">
            <w:pPr>
              <w:spacing w:after="120"/>
              <w:rPr>
                <w:rFonts w:ascii="Arial" w:hAnsi="Arial" w:cs="Arial"/>
                <w:sz w:val="16"/>
              </w:rPr>
            </w:pPr>
            <w:r>
              <w:rPr>
                <w:rFonts w:ascii="Arial" w:hAnsi="Arial" w:cs="Arial"/>
                <w:sz w:val="16"/>
              </w:rPr>
              <w:t>A caller cannot widen its own scope by supplying tags.</w:t>
            </w:r>
          </w:p>
        </w:tc>
      </w:tr>
      <w:tr w:rsidR="006F56DB" w:rsidRPr="006F56DB" w14:paraId="6149674F" w14:textId="77777777" w:rsidTr="006F56DB">
        <w:tc>
          <w:tcPr>
            <w:tcW w:w="1667" w:type="pct"/>
          </w:tcPr>
          <w:p w14:paraId="19DE9CF4" w14:textId="16B5AC89" w:rsidR="006F56DB" w:rsidRPr="006F56DB" w:rsidRDefault="006F56DB" w:rsidP="006F56DB">
            <w:pPr>
              <w:spacing w:after="120"/>
              <w:rPr>
                <w:rFonts w:ascii="Arial" w:hAnsi="Arial" w:cs="Arial"/>
                <w:sz w:val="16"/>
              </w:rPr>
            </w:pPr>
            <w:r>
              <w:rPr>
                <w:rFonts w:ascii="Arial" w:hAnsi="Arial" w:cs="Arial"/>
                <w:sz w:val="16"/>
              </w:rPr>
              <w:t>13b</w:t>
            </w:r>
          </w:p>
        </w:tc>
        <w:tc>
          <w:tcPr>
            <w:tcW w:w="1667" w:type="pct"/>
          </w:tcPr>
          <w:p w14:paraId="0C380BC3" w14:textId="52A8BD3D" w:rsidR="006F56DB" w:rsidRPr="006F56DB" w:rsidRDefault="006F56DB" w:rsidP="006F56DB">
            <w:pPr>
              <w:spacing w:after="120"/>
              <w:rPr>
                <w:rFonts w:ascii="Arial" w:hAnsi="Arial" w:cs="Arial"/>
                <w:sz w:val="16"/>
              </w:rPr>
            </w:pPr>
            <w:r>
              <w:rPr>
                <w:rFonts w:ascii="Arial" w:hAnsi="Arial" w:cs="Arial"/>
                <w:sz w:val="16"/>
              </w:rPr>
              <w:t>body contains only own contracts</w:t>
            </w:r>
          </w:p>
        </w:tc>
        <w:tc>
          <w:tcPr>
            <w:tcW w:w="1667" w:type="pct"/>
          </w:tcPr>
          <w:p w14:paraId="5D27F75C" w14:textId="2E70B337" w:rsidR="006F56DB" w:rsidRPr="006F56DB" w:rsidRDefault="006F56DB" w:rsidP="006F56DB">
            <w:pPr>
              <w:spacing w:after="120"/>
              <w:rPr>
                <w:rFonts w:ascii="Arial" w:hAnsi="Arial" w:cs="Arial"/>
                <w:sz w:val="16"/>
              </w:rPr>
            </w:pPr>
            <w:r>
              <w:rPr>
                <w:rFonts w:ascii="Arial" w:hAnsi="Arial" w:cs="Arial"/>
                <w:sz w:val="16"/>
              </w:rPr>
              <w:t>Response body verified, not just the status code.</w:t>
            </w:r>
          </w:p>
        </w:tc>
      </w:tr>
      <w:tr w:rsidR="006F56DB" w:rsidRPr="006F56DB" w14:paraId="4537E241" w14:textId="77777777" w:rsidTr="006F56DB">
        <w:tc>
          <w:tcPr>
            <w:tcW w:w="1667" w:type="pct"/>
          </w:tcPr>
          <w:p w14:paraId="580D1A6A" w14:textId="34980798" w:rsidR="006F56DB" w:rsidRPr="006F56DB" w:rsidRDefault="006F56DB" w:rsidP="006F56DB">
            <w:pPr>
              <w:spacing w:after="120"/>
              <w:rPr>
                <w:rFonts w:ascii="Arial" w:hAnsi="Arial" w:cs="Arial"/>
                <w:sz w:val="16"/>
              </w:rPr>
            </w:pPr>
            <w:r>
              <w:rPr>
                <w:rFonts w:ascii="Arial" w:hAnsi="Arial" w:cs="Arial"/>
                <w:sz w:val="16"/>
              </w:rPr>
              <w:t>14</w:t>
            </w:r>
          </w:p>
        </w:tc>
        <w:tc>
          <w:tcPr>
            <w:tcW w:w="1667" w:type="pct"/>
          </w:tcPr>
          <w:p w14:paraId="09BB30C0" w14:textId="4768180D" w:rsidR="006F56DB" w:rsidRPr="006F56DB" w:rsidRDefault="006F56DB" w:rsidP="006F56DB">
            <w:pPr>
              <w:spacing w:after="120"/>
              <w:rPr>
                <w:rFonts w:ascii="Arial" w:hAnsi="Arial" w:cs="Arial"/>
                <w:sz w:val="16"/>
              </w:rPr>
            </w:pPr>
            <w:r>
              <w:rPr>
                <w:rFonts w:ascii="Arial" w:hAnsi="Arial" w:cs="Arial"/>
                <w:sz w:val="16"/>
              </w:rPr>
              <w:t>untagged inbound write rejected</w:t>
            </w:r>
          </w:p>
        </w:tc>
        <w:tc>
          <w:tcPr>
            <w:tcW w:w="1667" w:type="pct"/>
          </w:tcPr>
          <w:p w14:paraId="6D49D9DD" w14:textId="7F6F8FA6" w:rsidR="006F56DB" w:rsidRPr="006F56DB" w:rsidRDefault="006F56DB" w:rsidP="006F56DB">
            <w:pPr>
              <w:spacing w:after="120"/>
              <w:rPr>
                <w:rFonts w:ascii="Arial" w:hAnsi="Arial" w:cs="Arial"/>
                <w:sz w:val="16"/>
              </w:rPr>
            </w:pPr>
            <w:r>
              <w:rPr>
                <w:rFonts w:ascii="Arial" w:hAnsi="Arial" w:cs="Arial"/>
                <w:sz w:val="16"/>
              </w:rPr>
              <w:t>Ingest must stamp the contract or the write is refused.</w:t>
            </w:r>
          </w:p>
        </w:tc>
      </w:tr>
      <w:tr w:rsidR="006F56DB" w:rsidRPr="006F56DB" w14:paraId="1AE43416" w14:textId="77777777" w:rsidTr="006F56DB">
        <w:tc>
          <w:tcPr>
            <w:tcW w:w="1667" w:type="pct"/>
          </w:tcPr>
          <w:p w14:paraId="0BEFB1E8" w14:textId="75E6C6D7" w:rsidR="006F56DB" w:rsidRPr="006F56DB" w:rsidRDefault="006F56DB" w:rsidP="006F56DB">
            <w:pPr>
              <w:spacing w:after="120"/>
              <w:rPr>
                <w:rFonts w:ascii="Arial" w:hAnsi="Arial" w:cs="Arial"/>
                <w:sz w:val="16"/>
              </w:rPr>
            </w:pPr>
            <w:r>
              <w:rPr>
                <w:rFonts w:ascii="Arial" w:hAnsi="Arial" w:cs="Arial"/>
                <w:sz w:val="16"/>
              </w:rPr>
              <w:t>15</w:t>
            </w:r>
          </w:p>
        </w:tc>
        <w:tc>
          <w:tcPr>
            <w:tcW w:w="1667" w:type="pct"/>
          </w:tcPr>
          <w:p w14:paraId="0588C00A" w14:textId="316729E8" w:rsidR="006F56DB" w:rsidRPr="006F56DB" w:rsidRDefault="006F56DB" w:rsidP="006F56DB">
            <w:pPr>
              <w:spacing w:after="120"/>
              <w:rPr>
                <w:rFonts w:ascii="Arial" w:hAnsi="Arial" w:cs="Arial"/>
                <w:sz w:val="16"/>
              </w:rPr>
            </w:pPr>
            <w:r>
              <w:rPr>
                <w:rFonts w:ascii="Arial" w:hAnsi="Arial" w:cs="Arial"/>
                <w:sz w:val="16"/>
              </w:rPr>
              <w:t>second export within 5 min</w:t>
            </w:r>
          </w:p>
        </w:tc>
        <w:tc>
          <w:tcPr>
            <w:tcW w:w="1667" w:type="pct"/>
          </w:tcPr>
          <w:p w14:paraId="6A3C004B" w14:textId="5DBF703D" w:rsidR="006F56DB" w:rsidRPr="006F56DB" w:rsidRDefault="006F56DB" w:rsidP="006F56DB">
            <w:pPr>
              <w:spacing w:after="120"/>
              <w:rPr>
                <w:rFonts w:ascii="Arial" w:hAnsi="Arial" w:cs="Arial"/>
                <w:sz w:val="16"/>
              </w:rPr>
            </w:pPr>
            <w:r>
              <w:rPr>
                <w:rFonts w:ascii="Arial" w:hAnsi="Arial" w:cs="Arial"/>
                <w:sz w:val="16"/>
              </w:rPr>
              <w:t>Export concurrency limiting protects the FHIR service.</w:t>
            </w:r>
          </w:p>
        </w:tc>
      </w:tr>
    </w:tbl>
    <w:p w14:paraId="5A3571FE" w14:textId="77777777" w:rsidR="006F56DB" w:rsidRDefault="006F56DB" w:rsidP="006F56DB">
      <w:pPr>
        <w:spacing w:after="120"/>
      </w:pPr>
    </w:p>
    <w:p w14:paraId="36D126C4" w14:textId="10C9101D" w:rsidR="006F56DB" w:rsidRDefault="006F56DB">
      <w:r>
        <w:br w:type="page"/>
      </w:r>
    </w:p>
    <w:p w14:paraId="18BDDF5A" w14:textId="0832A7D0" w:rsidR="006F56DB" w:rsidRDefault="006F56DB" w:rsidP="006F56DB">
      <w:pPr>
        <w:pStyle w:val="Heading1"/>
        <w:spacing w:after="160"/>
      </w:pPr>
      <w:bookmarkStart w:id="19" w:name="_Toc239065122"/>
      <w:r w:rsidRPr="006F56DB">
        <w:t>6. Anticipated questions</w:t>
      </w:r>
      <w:bookmarkEnd w:id="19"/>
    </w:p>
    <w:p w14:paraId="27E8A9BA" w14:textId="02EA18CB" w:rsidR="006F56DB" w:rsidRDefault="006F56DB" w:rsidP="006F56DB">
      <w:pPr>
        <w:spacing w:after="120"/>
      </w:pPr>
      <w:r w:rsidRPr="006F56DB">
        <w:t>Ordered by how likely they are to come up, based on the 12 and 18 August sessions.</w:t>
      </w:r>
    </w:p>
    <w:p w14:paraId="339BDAEC" w14:textId="6E14931A" w:rsidR="006F56DB" w:rsidRDefault="006F56DB" w:rsidP="006F56DB">
      <w:pPr>
        <w:spacing w:after="40"/>
      </w:pPr>
      <w:r w:rsidRPr="006F56DB">
        <w:t>Q.  Do we actually need APIM for this?</w:t>
      </w:r>
    </w:p>
    <w:p w14:paraId="6417EEE1" w14:textId="178CD690" w:rsidR="006F56DB" w:rsidRDefault="006F56DB" w:rsidP="006F56DB">
      <w:pPr>
        <w:spacing w:after="200"/>
      </w:pPr>
      <w:r w:rsidRPr="006F56DB">
        <w:t>A.  Not for everything. Steve made this point on the eighteenth and it is worth repeating honestly: plan-level filtering can be done directly against the FHIR service endpoints using SMART scopes. APIM earns its place when you need contract-level scoping, inbound and outbound separation over one service, per-payer rate limiting, and a single enforcement point you can audit. If none of those apply, you do not need it.</w:t>
      </w:r>
    </w:p>
    <w:p w14:paraId="28135BA0" w14:textId="020F93B3" w:rsidR="006F56DB" w:rsidRDefault="006F56DB" w:rsidP="006F56DB">
      <w:pPr>
        <w:spacing w:after="40"/>
      </w:pPr>
      <w:r w:rsidRPr="006F56DB">
        <w:t>Q.  Why Basic v2 in the POC, and what would production be?</w:t>
      </w:r>
    </w:p>
    <w:p w14:paraId="68CA070C" w14:textId="0A9FEBA5" w:rsidR="006F56DB" w:rsidRDefault="006F56DB" w:rsidP="006F56DB">
      <w:pPr>
        <w:spacing w:after="200"/>
      </w:pPr>
      <w:r w:rsidRPr="006F56DB">
        <w:t>A.  Basic v2 is the cheapest tier that carries the full policy engine, which is all the POC needs. It does not support VNet injection. Production would be Standard v2 or Premium v2 depending on whether you need VNet integration, multi-region, and availability zones. That is one of the six decisions.</w:t>
      </w:r>
    </w:p>
    <w:p w14:paraId="405711BF" w14:textId="71183D30" w:rsidR="006F56DB" w:rsidRDefault="006F56DB" w:rsidP="006F56DB">
      <w:pPr>
        <w:spacing w:after="40"/>
      </w:pPr>
      <w:r w:rsidRPr="006F56DB">
        <w:t>Q.  Can we use our existing APIM estate rather than a new instance?</w:t>
      </w:r>
    </w:p>
    <w:p w14:paraId="6B6AAE1D" w14:textId="1EC0EF69" w:rsidR="006F56DB" w:rsidRDefault="006F56DB" w:rsidP="006F56DB">
      <w:pPr>
        <w:spacing w:after="200"/>
      </w:pPr>
      <w:r w:rsidRPr="006F56DB">
        <w:t>A.  Probably, and that is a decision for this group. The trade-off is blast radius and change control against cost and operational familiarity. If the existing estate is already in the payer network path, reusing it is likely the faster route.</w:t>
      </w:r>
    </w:p>
    <w:p w14:paraId="67B43BE9" w14:textId="1125E6E1" w:rsidR="006F56DB" w:rsidRDefault="006F56DB" w:rsidP="006F56DB">
      <w:pPr>
        <w:spacing w:after="40"/>
      </w:pPr>
      <w:r w:rsidRPr="006F56DB">
        <w:t>Q.  How long does it take to get an APIM instance provisioned here?</w:t>
      </w:r>
    </w:p>
    <w:p w14:paraId="01ECF0B8" w14:textId="4B07B03E" w:rsidR="006F56DB" w:rsidRDefault="006F56DB" w:rsidP="006F56DB">
      <w:pPr>
        <w:spacing w:after="200"/>
      </w:pPr>
      <w:r w:rsidRPr="006F56DB">
        <w:t>A.  Joe expects it to move faster than AHDS did, because Northwind Health already runs APIM elsewhere so it is past first-use review. Ashay estimated a couple of weeks regardless. The request needs to go to Sunil and Surya with the proxy and network team.</w:t>
      </w:r>
    </w:p>
    <w:p w14:paraId="43CD3B0A" w14:textId="3C26948C" w:rsidR="006F56DB" w:rsidRDefault="006F56DB" w:rsidP="006F56DB">
      <w:pPr>
        <w:spacing w:after="40"/>
      </w:pPr>
      <w:r w:rsidRPr="006F56DB">
        <w:t>Q.  What happens when a payer sends a client certificate instead of a secret?</w:t>
      </w:r>
    </w:p>
    <w:p w14:paraId="2CB218C2" w14:textId="4993E9B3" w:rsidR="006F56DB" w:rsidRDefault="006F56DB" w:rsidP="006F56DB">
      <w:pPr>
        <w:spacing w:after="200"/>
      </w:pPr>
      <w:r w:rsidRPr="006F56DB">
        <w:t>A.  APIM can terminate and validate it. You install the trusted certificate on the instance, issue the client certificate to the payer, and validate at the gateway. This is the direction Steve recommended - it gets you off shared secrets and it is a gateway feature, not an application change.</w:t>
      </w:r>
    </w:p>
    <w:p w14:paraId="6E0DDD31" w14:textId="38A62886" w:rsidR="006F56DB" w:rsidRDefault="006F56DB" w:rsidP="006F56DB">
      <w:pPr>
        <w:spacing w:after="40"/>
      </w:pPr>
      <w:r w:rsidRPr="006F56DB">
        <w:t>Q.  Where do payer identities live?</w:t>
      </w:r>
    </w:p>
    <w:p w14:paraId="2A9A5700" w14:textId="4E326C21" w:rsidR="006F56DB" w:rsidRDefault="006F56DB" w:rsidP="006F56DB">
      <w:pPr>
        <w:spacing w:after="200"/>
      </w:pPr>
      <w:r w:rsidRPr="006F56DB">
        <w:t>A.  Not in the Northwind Health enterprise tenant, in almost all cases. External ID gives you a separate tenant hanging off yours that keeps external parties out of your directory while still giving you Entra token issuance. Adding payers directly to the enterprise tenant is possible and makes RBAC simpler, but very few organisations want external parties in their corporate directory.</w:t>
      </w:r>
    </w:p>
    <w:p w14:paraId="6F554BB2" w14:textId="33298B05" w:rsidR="006F56DB" w:rsidRDefault="006F56DB" w:rsidP="006F56DB">
      <w:pPr>
        <w:spacing w:after="40"/>
      </w:pPr>
      <w:r w:rsidRPr="006F56DB">
        <w:t>Q.  What is the blast radius if someone makes a mistake in a policy?</w:t>
      </w:r>
    </w:p>
    <w:p w14:paraId="20C23AF1" w14:textId="6456B494" w:rsidR="006F56DB" w:rsidRDefault="006F56DB" w:rsidP="006F56DB">
      <w:pPr>
        <w:spacing w:after="200"/>
      </w:pPr>
      <w:r w:rsidRPr="006F56DB">
        <w:t>A.  Bounded by the physical separation. A policy bug can leak one contract to another inside a single payer. It cannot leak Contoso data to Fabrikam, because Fabrikam credentials have no path to the Contoso FHIR service. That is precisely why the physical boundary sits at the payer.</w:t>
      </w:r>
    </w:p>
    <w:p w14:paraId="3A7226F5" w14:textId="54E354FC" w:rsidR="006F56DB" w:rsidRDefault="006F56DB" w:rsidP="006F56DB">
      <w:pPr>
        <w:spacing w:after="40"/>
      </w:pPr>
      <w:r w:rsidRPr="006F56DB">
        <w:t>Q.  How do we manage policy across environments?</w:t>
      </w:r>
    </w:p>
    <w:p w14:paraId="699617C0" w14:textId="5EFF873F" w:rsidR="006F56DB" w:rsidRDefault="006F56DB" w:rsidP="006F56DB">
      <w:pPr>
        <w:spacing w:after="200"/>
      </w:pPr>
      <w:r w:rsidRPr="006F56DB">
        <w:t>A.  Policies are XML in source control and deploy with the rest of the infrastructure. APIOps is the usual pattern. The named values differ per environment. That is the sixth decision - who owns the policy lifecycle.</w:t>
      </w:r>
    </w:p>
    <w:p w14:paraId="3A834FF9" w14:textId="5A9FCAF0" w:rsidR="006F56DB" w:rsidRDefault="006F56DB">
      <w:r>
        <w:br w:type="page"/>
      </w:r>
    </w:p>
    <w:p w14:paraId="4DCB2C68" w14:textId="26DD7ED4" w:rsidR="006F56DB" w:rsidRDefault="006F56DB" w:rsidP="006F56DB">
      <w:pPr>
        <w:pStyle w:val="Heading1"/>
        <w:spacing w:after="160"/>
      </w:pPr>
      <w:bookmarkStart w:id="20" w:name="_Toc239065123"/>
      <w:r w:rsidRPr="006F56DB">
        <w:t>7. Decisions to close</w:t>
      </w:r>
      <w:bookmarkEnd w:id="20"/>
    </w:p>
    <w:p w14:paraId="7C400480" w14:textId="6D8F7B22" w:rsidR="006F56DB" w:rsidRDefault="006F56DB" w:rsidP="006F56DB">
      <w:pPr>
        <w:spacing w:after="120"/>
      </w:pPr>
      <w:r w:rsidRPr="006F56DB">
        <w:t>Capture the owner and the date live, on screen, in this table. A decision without a name against it did not happen.</w:t>
      </w:r>
    </w:p>
    <w:tbl>
      <w:tblPr>
        <w:tblStyle w:val="TableGrid"/>
        <w:tblW w:w="5000" w:type="pct"/>
        <w:tblLook w:val="04A0" w:firstRow="1" w:lastRow="0" w:firstColumn="1" w:lastColumn="0" w:noHBand="0" w:noVBand="1"/>
      </w:tblPr>
      <w:tblGrid>
        <w:gridCol w:w="2427"/>
        <w:gridCol w:w="2427"/>
        <w:gridCol w:w="2428"/>
        <w:gridCol w:w="2428"/>
      </w:tblGrid>
      <w:tr w:rsidR="006F56DB" w:rsidRPr="006F56DB" w14:paraId="50840A67" w14:textId="77777777" w:rsidTr="006F56DB">
        <w:trPr>
          <w:tblHeader/>
        </w:trPr>
        <w:tc>
          <w:tcPr>
            <w:tcW w:w="1250" w:type="pct"/>
          </w:tcPr>
          <w:p w14:paraId="341271F6" w14:textId="57679894" w:rsidR="006F56DB" w:rsidRPr="006F56DB" w:rsidRDefault="006F56DB" w:rsidP="006F56DB">
            <w:pPr>
              <w:spacing w:after="120"/>
              <w:rPr>
                <w:rFonts w:ascii="Arial" w:hAnsi="Arial" w:cs="Arial"/>
                <w:b/>
                <w:sz w:val="18"/>
              </w:rPr>
            </w:pPr>
            <w:r>
              <w:rPr>
                <w:rFonts w:ascii="Arial" w:hAnsi="Arial" w:cs="Arial"/>
                <w:b/>
                <w:sz w:val="18"/>
              </w:rPr>
              <w:t>#</w:t>
            </w:r>
          </w:p>
        </w:tc>
        <w:tc>
          <w:tcPr>
            <w:tcW w:w="1250" w:type="pct"/>
          </w:tcPr>
          <w:p w14:paraId="42AAB31F" w14:textId="3C55424D" w:rsidR="006F56DB" w:rsidRPr="006F56DB" w:rsidRDefault="006F56DB" w:rsidP="006F56DB">
            <w:pPr>
              <w:spacing w:after="120"/>
              <w:rPr>
                <w:rFonts w:ascii="Arial" w:hAnsi="Arial" w:cs="Arial"/>
                <w:b/>
                <w:sz w:val="18"/>
              </w:rPr>
            </w:pPr>
            <w:r>
              <w:rPr>
                <w:rFonts w:ascii="Arial" w:hAnsi="Arial" w:cs="Arial"/>
                <w:b/>
                <w:sz w:val="18"/>
              </w:rPr>
              <w:t>Decision</w:t>
            </w:r>
          </w:p>
        </w:tc>
        <w:tc>
          <w:tcPr>
            <w:tcW w:w="1250" w:type="pct"/>
          </w:tcPr>
          <w:p w14:paraId="29A6946A" w14:textId="2DDD6A53" w:rsidR="006F56DB" w:rsidRPr="006F56DB" w:rsidRDefault="006F56DB" w:rsidP="006F56DB">
            <w:pPr>
              <w:spacing w:after="120"/>
              <w:rPr>
                <w:rFonts w:ascii="Arial" w:hAnsi="Arial" w:cs="Arial"/>
                <w:b/>
                <w:sz w:val="18"/>
              </w:rPr>
            </w:pPr>
            <w:r>
              <w:rPr>
                <w:rFonts w:ascii="Arial" w:hAnsi="Arial" w:cs="Arial"/>
                <w:b/>
                <w:sz w:val="18"/>
              </w:rPr>
              <w:t>Owner</w:t>
            </w:r>
          </w:p>
        </w:tc>
        <w:tc>
          <w:tcPr>
            <w:tcW w:w="1250" w:type="pct"/>
          </w:tcPr>
          <w:p w14:paraId="76986C6A" w14:textId="2244D0A4" w:rsidR="006F56DB" w:rsidRPr="006F56DB" w:rsidRDefault="006F56DB" w:rsidP="006F56DB">
            <w:pPr>
              <w:spacing w:after="120"/>
              <w:rPr>
                <w:rFonts w:ascii="Arial" w:hAnsi="Arial" w:cs="Arial"/>
                <w:b/>
                <w:sz w:val="18"/>
              </w:rPr>
            </w:pPr>
            <w:r>
              <w:rPr>
                <w:rFonts w:ascii="Arial" w:hAnsi="Arial" w:cs="Arial"/>
                <w:b/>
                <w:sz w:val="18"/>
              </w:rPr>
              <w:t>By when</w:t>
            </w:r>
          </w:p>
        </w:tc>
      </w:tr>
      <w:tr w:rsidR="006F56DB" w:rsidRPr="006F56DB" w14:paraId="3C3A0BC8" w14:textId="77777777" w:rsidTr="006F56DB">
        <w:tc>
          <w:tcPr>
            <w:tcW w:w="1250" w:type="pct"/>
          </w:tcPr>
          <w:p w14:paraId="749000D5" w14:textId="4504D8ED" w:rsidR="006F56DB" w:rsidRPr="006F56DB" w:rsidRDefault="006F56DB" w:rsidP="006F56DB">
            <w:pPr>
              <w:spacing w:after="120"/>
              <w:rPr>
                <w:rFonts w:ascii="Arial" w:hAnsi="Arial" w:cs="Arial"/>
                <w:sz w:val="18"/>
              </w:rPr>
            </w:pPr>
            <w:r>
              <w:rPr>
                <w:rFonts w:ascii="Arial" w:hAnsi="Arial" w:cs="Arial"/>
                <w:sz w:val="18"/>
              </w:rPr>
              <w:t>1</w:t>
            </w:r>
          </w:p>
        </w:tc>
        <w:tc>
          <w:tcPr>
            <w:tcW w:w="1250" w:type="pct"/>
          </w:tcPr>
          <w:p w14:paraId="537CEF67" w14:textId="6602E286" w:rsidR="006F56DB" w:rsidRPr="006F56DB" w:rsidRDefault="006F56DB" w:rsidP="006F56DB">
            <w:pPr>
              <w:spacing w:after="120"/>
              <w:rPr>
                <w:rFonts w:ascii="Arial" w:hAnsi="Arial" w:cs="Arial"/>
                <w:sz w:val="18"/>
              </w:rPr>
            </w:pPr>
            <w:r>
              <w:rPr>
                <w:rFonts w:ascii="Arial" w:hAnsi="Arial" w:cs="Arial"/>
                <w:sz w:val="18"/>
              </w:rPr>
              <w:t>Dedicated APIM instance or existing Northwind Health estate</w:t>
            </w:r>
          </w:p>
        </w:tc>
        <w:tc>
          <w:tcPr>
            <w:tcW w:w="1250" w:type="pct"/>
          </w:tcPr>
          <w:p w14:paraId="7AF91E5A" w14:textId="77777777" w:rsidR="006F56DB" w:rsidRPr="006F56DB" w:rsidRDefault="006F56DB" w:rsidP="006F56DB">
            <w:pPr>
              <w:spacing w:after="120"/>
              <w:rPr>
                <w:rFonts w:ascii="Arial" w:hAnsi="Arial" w:cs="Arial"/>
                <w:sz w:val="18"/>
              </w:rPr>
            </w:pPr>
          </w:p>
        </w:tc>
        <w:tc>
          <w:tcPr>
            <w:tcW w:w="1250" w:type="pct"/>
          </w:tcPr>
          <w:p w14:paraId="420E5E07" w14:textId="77777777" w:rsidR="006F56DB" w:rsidRPr="006F56DB" w:rsidRDefault="006F56DB" w:rsidP="006F56DB">
            <w:pPr>
              <w:spacing w:after="120"/>
              <w:rPr>
                <w:rFonts w:ascii="Arial" w:hAnsi="Arial" w:cs="Arial"/>
                <w:sz w:val="18"/>
              </w:rPr>
            </w:pPr>
          </w:p>
        </w:tc>
      </w:tr>
      <w:tr w:rsidR="006F56DB" w:rsidRPr="006F56DB" w14:paraId="499B4C7B" w14:textId="77777777" w:rsidTr="006F56DB">
        <w:tc>
          <w:tcPr>
            <w:tcW w:w="1250" w:type="pct"/>
          </w:tcPr>
          <w:p w14:paraId="19E2DE50" w14:textId="17B91423" w:rsidR="006F56DB" w:rsidRPr="006F56DB" w:rsidRDefault="006F56DB" w:rsidP="006F56DB">
            <w:pPr>
              <w:spacing w:after="120"/>
              <w:rPr>
                <w:rFonts w:ascii="Arial" w:hAnsi="Arial" w:cs="Arial"/>
                <w:sz w:val="18"/>
              </w:rPr>
            </w:pPr>
            <w:r>
              <w:rPr>
                <w:rFonts w:ascii="Arial" w:hAnsi="Arial" w:cs="Arial"/>
                <w:sz w:val="18"/>
              </w:rPr>
              <w:t>2</w:t>
            </w:r>
          </w:p>
        </w:tc>
        <w:tc>
          <w:tcPr>
            <w:tcW w:w="1250" w:type="pct"/>
          </w:tcPr>
          <w:p w14:paraId="2F7750B2" w14:textId="324633F2" w:rsidR="006F56DB" w:rsidRPr="006F56DB" w:rsidRDefault="006F56DB" w:rsidP="006F56DB">
            <w:pPr>
              <w:spacing w:after="120"/>
              <w:rPr>
                <w:rFonts w:ascii="Arial" w:hAnsi="Arial" w:cs="Arial"/>
                <w:sz w:val="18"/>
              </w:rPr>
            </w:pPr>
            <w:r>
              <w:rPr>
                <w:rFonts w:ascii="Arial" w:hAnsi="Arial" w:cs="Arial"/>
                <w:sz w:val="18"/>
              </w:rPr>
              <w:t>Tier for POC and for production (VNet, multi-region, zones)</w:t>
            </w:r>
          </w:p>
        </w:tc>
        <w:tc>
          <w:tcPr>
            <w:tcW w:w="1250" w:type="pct"/>
          </w:tcPr>
          <w:p w14:paraId="0F5F87E5" w14:textId="77777777" w:rsidR="006F56DB" w:rsidRPr="006F56DB" w:rsidRDefault="006F56DB" w:rsidP="006F56DB">
            <w:pPr>
              <w:spacing w:after="120"/>
              <w:rPr>
                <w:rFonts w:ascii="Arial" w:hAnsi="Arial" w:cs="Arial"/>
                <w:sz w:val="18"/>
              </w:rPr>
            </w:pPr>
          </w:p>
        </w:tc>
        <w:tc>
          <w:tcPr>
            <w:tcW w:w="1250" w:type="pct"/>
          </w:tcPr>
          <w:p w14:paraId="5EED1DC1" w14:textId="77777777" w:rsidR="006F56DB" w:rsidRPr="006F56DB" w:rsidRDefault="006F56DB" w:rsidP="006F56DB">
            <w:pPr>
              <w:spacing w:after="120"/>
              <w:rPr>
                <w:rFonts w:ascii="Arial" w:hAnsi="Arial" w:cs="Arial"/>
                <w:sz w:val="18"/>
              </w:rPr>
            </w:pPr>
          </w:p>
        </w:tc>
      </w:tr>
      <w:tr w:rsidR="006F56DB" w:rsidRPr="006F56DB" w14:paraId="58C89CFB" w14:textId="77777777" w:rsidTr="006F56DB">
        <w:tc>
          <w:tcPr>
            <w:tcW w:w="1250" w:type="pct"/>
          </w:tcPr>
          <w:p w14:paraId="65D1DC94" w14:textId="4A438B5A" w:rsidR="006F56DB" w:rsidRPr="006F56DB" w:rsidRDefault="006F56DB" w:rsidP="006F56DB">
            <w:pPr>
              <w:spacing w:after="120"/>
              <w:rPr>
                <w:rFonts w:ascii="Arial" w:hAnsi="Arial" w:cs="Arial"/>
                <w:sz w:val="18"/>
              </w:rPr>
            </w:pPr>
            <w:r>
              <w:rPr>
                <w:rFonts w:ascii="Arial" w:hAnsi="Arial" w:cs="Arial"/>
                <w:sz w:val="18"/>
              </w:rPr>
              <w:t>3</w:t>
            </w:r>
          </w:p>
        </w:tc>
        <w:tc>
          <w:tcPr>
            <w:tcW w:w="1250" w:type="pct"/>
          </w:tcPr>
          <w:p w14:paraId="3F08080F" w14:textId="1C45DDA1" w:rsidR="006F56DB" w:rsidRPr="006F56DB" w:rsidRDefault="006F56DB" w:rsidP="006F56DB">
            <w:pPr>
              <w:spacing w:after="120"/>
              <w:rPr>
                <w:rFonts w:ascii="Arial" w:hAnsi="Arial" w:cs="Arial"/>
                <w:sz w:val="18"/>
              </w:rPr>
            </w:pPr>
            <w:r>
              <w:rPr>
                <w:rFonts w:ascii="Arial" w:hAnsi="Arial" w:cs="Arial"/>
                <w:sz w:val="18"/>
              </w:rPr>
              <w:t>Network mode and where the existing proxy terminates</w:t>
            </w:r>
          </w:p>
        </w:tc>
        <w:tc>
          <w:tcPr>
            <w:tcW w:w="1250" w:type="pct"/>
          </w:tcPr>
          <w:p w14:paraId="322A0FAD" w14:textId="77777777" w:rsidR="006F56DB" w:rsidRPr="006F56DB" w:rsidRDefault="006F56DB" w:rsidP="006F56DB">
            <w:pPr>
              <w:spacing w:after="120"/>
              <w:rPr>
                <w:rFonts w:ascii="Arial" w:hAnsi="Arial" w:cs="Arial"/>
                <w:sz w:val="18"/>
              </w:rPr>
            </w:pPr>
          </w:p>
        </w:tc>
        <w:tc>
          <w:tcPr>
            <w:tcW w:w="1250" w:type="pct"/>
          </w:tcPr>
          <w:p w14:paraId="12A82CBA" w14:textId="77777777" w:rsidR="006F56DB" w:rsidRPr="006F56DB" w:rsidRDefault="006F56DB" w:rsidP="006F56DB">
            <w:pPr>
              <w:spacing w:after="120"/>
              <w:rPr>
                <w:rFonts w:ascii="Arial" w:hAnsi="Arial" w:cs="Arial"/>
                <w:sz w:val="18"/>
              </w:rPr>
            </w:pPr>
          </w:p>
        </w:tc>
      </w:tr>
      <w:tr w:rsidR="006F56DB" w:rsidRPr="006F56DB" w14:paraId="3889CFB6" w14:textId="77777777" w:rsidTr="006F56DB">
        <w:tc>
          <w:tcPr>
            <w:tcW w:w="1250" w:type="pct"/>
          </w:tcPr>
          <w:p w14:paraId="233B38FB" w14:textId="3F542C79" w:rsidR="006F56DB" w:rsidRPr="006F56DB" w:rsidRDefault="006F56DB" w:rsidP="006F56DB">
            <w:pPr>
              <w:spacing w:after="120"/>
              <w:rPr>
                <w:rFonts w:ascii="Arial" w:hAnsi="Arial" w:cs="Arial"/>
                <w:sz w:val="18"/>
              </w:rPr>
            </w:pPr>
            <w:r>
              <w:rPr>
                <w:rFonts w:ascii="Arial" w:hAnsi="Arial" w:cs="Arial"/>
                <w:sz w:val="18"/>
              </w:rPr>
              <w:t>4</w:t>
            </w:r>
          </w:p>
        </w:tc>
        <w:tc>
          <w:tcPr>
            <w:tcW w:w="1250" w:type="pct"/>
          </w:tcPr>
          <w:p w14:paraId="3205A8F6" w14:textId="1B3B06A2" w:rsidR="006F56DB" w:rsidRPr="006F56DB" w:rsidRDefault="006F56DB" w:rsidP="006F56DB">
            <w:pPr>
              <w:spacing w:after="120"/>
              <w:rPr>
                <w:rFonts w:ascii="Arial" w:hAnsi="Arial" w:cs="Arial"/>
                <w:sz w:val="18"/>
              </w:rPr>
            </w:pPr>
            <w:r>
              <w:rPr>
                <w:rFonts w:ascii="Arial" w:hAnsi="Arial" w:cs="Arial"/>
                <w:sz w:val="18"/>
              </w:rPr>
              <w:t>Payer credential type - shared secret or certificate</w:t>
            </w:r>
          </w:p>
        </w:tc>
        <w:tc>
          <w:tcPr>
            <w:tcW w:w="1250" w:type="pct"/>
          </w:tcPr>
          <w:p w14:paraId="1E2FAC8D" w14:textId="77777777" w:rsidR="006F56DB" w:rsidRPr="006F56DB" w:rsidRDefault="006F56DB" w:rsidP="006F56DB">
            <w:pPr>
              <w:spacing w:after="120"/>
              <w:rPr>
                <w:rFonts w:ascii="Arial" w:hAnsi="Arial" w:cs="Arial"/>
                <w:sz w:val="18"/>
              </w:rPr>
            </w:pPr>
          </w:p>
        </w:tc>
        <w:tc>
          <w:tcPr>
            <w:tcW w:w="1250" w:type="pct"/>
          </w:tcPr>
          <w:p w14:paraId="25FB6621" w14:textId="77777777" w:rsidR="006F56DB" w:rsidRPr="006F56DB" w:rsidRDefault="006F56DB" w:rsidP="006F56DB">
            <w:pPr>
              <w:spacing w:after="120"/>
              <w:rPr>
                <w:rFonts w:ascii="Arial" w:hAnsi="Arial" w:cs="Arial"/>
                <w:sz w:val="18"/>
              </w:rPr>
            </w:pPr>
          </w:p>
        </w:tc>
      </w:tr>
      <w:tr w:rsidR="006F56DB" w:rsidRPr="006F56DB" w14:paraId="251D1CE8" w14:textId="77777777" w:rsidTr="006F56DB">
        <w:tc>
          <w:tcPr>
            <w:tcW w:w="1250" w:type="pct"/>
          </w:tcPr>
          <w:p w14:paraId="19F25D26" w14:textId="427A452D" w:rsidR="006F56DB" w:rsidRPr="006F56DB" w:rsidRDefault="006F56DB" w:rsidP="006F56DB">
            <w:pPr>
              <w:spacing w:after="120"/>
              <w:rPr>
                <w:rFonts w:ascii="Arial" w:hAnsi="Arial" w:cs="Arial"/>
                <w:sz w:val="18"/>
              </w:rPr>
            </w:pPr>
            <w:r>
              <w:rPr>
                <w:rFonts w:ascii="Arial" w:hAnsi="Arial" w:cs="Arial"/>
                <w:sz w:val="18"/>
              </w:rPr>
              <w:t>5</w:t>
            </w:r>
          </w:p>
        </w:tc>
        <w:tc>
          <w:tcPr>
            <w:tcW w:w="1250" w:type="pct"/>
          </w:tcPr>
          <w:p w14:paraId="01EC4117" w14:textId="67BC9E65" w:rsidR="006F56DB" w:rsidRPr="006F56DB" w:rsidRDefault="006F56DB" w:rsidP="006F56DB">
            <w:pPr>
              <w:spacing w:after="120"/>
              <w:rPr>
                <w:rFonts w:ascii="Arial" w:hAnsi="Arial" w:cs="Arial"/>
                <w:sz w:val="18"/>
              </w:rPr>
            </w:pPr>
            <w:r>
              <w:rPr>
                <w:rFonts w:ascii="Arial" w:hAnsi="Arial" w:cs="Arial"/>
                <w:sz w:val="18"/>
              </w:rPr>
              <w:t>Payer identity home - External ID or enterprise tenant</w:t>
            </w:r>
          </w:p>
        </w:tc>
        <w:tc>
          <w:tcPr>
            <w:tcW w:w="1250" w:type="pct"/>
          </w:tcPr>
          <w:p w14:paraId="5F89D15E" w14:textId="77777777" w:rsidR="006F56DB" w:rsidRPr="006F56DB" w:rsidRDefault="006F56DB" w:rsidP="006F56DB">
            <w:pPr>
              <w:spacing w:after="120"/>
              <w:rPr>
                <w:rFonts w:ascii="Arial" w:hAnsi="Arial" w:cs="Arial"/>
                <w:sz w:val="18"/>
              </w:rPr>
            </w:pPr>
          </w:p>
        </w:tc>
        <w:tc>
          <w:tcPr>
            <w:tcW w:w="1250" w:type="pct"/>
          </w:tcPr>
          <w:p w14:paraId="4531DDF7" w14:textId="77777777" w:rsidR="006F56DB" w:rsidRPr="006F56DB" w:rsidRDefault="006F56DB" w:rsidP="006F56DB">
            <w:pPr>
              <w:spacing w:after="120"/>
              <w:rPr>
                <w:rFonts w:ascii="Arial" w:hAnsi="Arial" w:cs="Arial"/>
                <w:sz w:val="18"/>
              </w:rPr>
            </w:pPr>
          </w:p>
        </w:tc>
      </w:tr>
      <w:tr w:rsidR="006F56DB" w:rsidRPr="006F56DB" w14:paraId="6F602B3C" w14:textId="77777777" w:rsidTr="006F56DB">
        <w:tc>
          <w:tcPr>
            <w:tcW w:w="1250" w:type="pct"/>
          </w:tcPr>
          <w:p w14:paraId="68EAB164" w14:textId="4A157ABB" w:rsidR="006F56DB" w:rsidRPr="006F56DB" w:rsidRDefault="006F56DB" w:rsidP="006F56DB">
            <w:pPr>
              <w:spacing w:after="120"/>
              <w:rPr>
                <w:rFonts w:ascii="Arial" w:hAnsi="Arial" w:cs="Arial"/>
                <w:sz w:val="18"/>
              </w:rPr>
            </w:pPr>
            <w:r>
              <w:rPr>
                <w:rFonts w:ascii="Arial" w:hAnsi="Arial" w:cs="Arial"/>
                <w:sz w:val="18"/>
              </w:rPr>
              <w:t>6</w:t>
            </w:r>
          </w:p>
        </w:tc>
        <w:tc>
          <w:tcPr>
            <w:tcW w:w="1250" w:type="pct"/>
          </w:tcPr>
          <w:p w14:paraId="0EA4439D" w14:textId="3512434F" w:rsidR="006F56DB" w:rsidRPr="006F56DB" w:rsidRDefault="006F56DB" w:rsidP="006F56DB">
            <w:pPr>
              <w:spacing w:after="120"/>
              <w:rPr>
                <w:rFonts w:ascii="Arial" w:hAnsi="Arial" w:cs="Arial"/>
                <w:sz w:val="18"/>
              </w:rPr>
            </w:pPr>
            <w:r>
              <w:rPr>
                <w:rFonts w:ascii="Arial" w:hAnsi="Arial" w:cs="Arial"/>
                <w:sz w:val="18"/>
              </w:rPr>
              <w:t>Policy lifecycle ownership and promotion path</w:t>
            </w:r>
          </w:p>
        </w:tc>
        <w:tc>
          <w:tcPr>
            <w:tcW w:w="1250" w:type="pct"/>
          </w:tcPr>
          <w:p w14:paraId="4EC2A24B" w14:textId="77777777" w:rsidR="006F56DB" w:rsidRPr="006F56DB" w:rsidRDefault="006F56DB" w:rsidP="006F56DB">
            <w:pPr>
              <w:spacing w:after="120"/>
              <w:rPr>
                <w:rFonts w:ascii="Arial" w:hAnsi="Arial" w:cs="Arial"/>
                <w:sz w:val="18"/>
              </w:rPr>
            </w:pPr>
          </w:p>
        </w:tc>
        <w:tc>
          <w:tcPr>
            <w:tcW w:w="1250" w:type="pct"/>
          </w:tcPr>
          <w:p w14:paraId="1BD9034C" w14:textId="77777777" w:rsidR="006F56DB" w:rsidRPr="006F56DB" w:rsidRDefault="006F56DB" w:rsidP="006F56DB">
            <w:pPr>
              <w:spacing w:after="120"/>
              <w:rPr>
                <w:rFonts w:ascii="Arial" w:hAnsi="Arial" w:cs="Arial"/>
                <w:sz w:val="18"/>
              </w:rPr>
            </w:pPr>
          </w:p>
        </w:tc>
      </w:tr>
    </w:tbl>
    <w:p w14:paraId="54CD5199" w14:textId="77777777" w:rsidR="006F56DB" w:rsidRDefault="006F56DB" w:rsidP="006F56DB">
      <w:pPr>
        <w:spacing w:after="120"/>
      </w:pPr>
    </w:p>
    <w:p w14:paraId="00FA77B2" w14:textId="071E7829" w:rsidR="006F56DB" w:rsidRDefault="006F56DB" w:rsidP="006F56DB">
      <w:pPr>
        <w:pStyle w:val="Heading2"/>
        <w:spacing w:after="160"/>
      </w:pPr>
      <w:bookmarkStart w:id="21" w:name="_Toc239065124"/>
      <w:r w:rsidRPr="006F56DB">
        <w:t>Actions</w:t>
      </w:r>
      <w:bookmarkEnd w:id="21"/>
    </w:p>
    <w:tbl>
      <w:tblPr>
        <w:tblStyle w:val="TableGrid"/>
        <w:tblW w:w="5000" w:type="pct"/>
        <w:tblLook w:val="04A0" w:firstRow="1" w:lastRow="0" w:firstColumn="1" w:lastColumn="0" w:noHBand="0" w:noVBand="1"/>
      </w:tblPr>
      <w:tblGrid>
        <w:gridCol w:w="3238"/>
        <w:gridCol w:w="3237"/>
        <w:gridCol w:w="3235"/>
      </w:tblGrid>
      <w:tr w:rsidR="006F56DB" w:rsidRPr="006F56DB" w14:paraId="2B654556" w14:textId="77777777" w:rsidTr="006F56DB">
        <w:trPr>
          <w:tblHeader/>
        </w:trPr>
        <w:tc>
          <w:tcPr>
            <w:tcW w:w="1667" w:type="pct"/>
          </w:tcPr>
          <w:p w14:paraId="09CA26F9" w14:textId="012ECE4E" w:rsidR="006F56DB" w:rsidRPr="006F56DB" w:rsidRDefault="006F56DB" w:rsidP="006F56DB">
            <w:pPr>
              <w:rPr>
                <w:rFonts w:ascii="Arial" w:hAnsi="Arial" w:cs="Arial"/>
                <w:b/>
                <w:sz w:val="18"/>
              </w:rPr>
            </w:pPr>
            <w:r>
              <w:rPr>
                <w:rFonts w:ascii="Arial" w:hAnsi="Arial" w:cs="Arial"/>
                <w:b/>
                <w:sz w:val="18"/>
              </w:rPr>
              <w:t>Action</w:t>
            </w:r>
          </w:p>
        </w:tc>
        <w:tc>
          <w:tcPr>
            <w:tcW w:w="1667" w:type="pct"/>
          </w:tcPr>
          <w:p w14:paraId="2B45E5F1" w14:textId="7BAD36E3" w:rsidR="006F56DB" w:rsidRPr="006F56DB" w:rsidRDefault="006F56DB" w:rsidP="006F56DB">
            <w:pPr>
              <w:rPr>
                <w:rFonts w:ascii="Arial" w:hAnsi="Arial" w:cs="Arial"/>
                <w:b/>
                <w:sz w:val="18"/>
              </w:rPr>
            </w:pPr>
            <w:r>
              <w:rPr>
                <w:rFonts w:ascii="Arial" w:hAnsi="Arial" w:cs="Arial"/>
                <w:b/>
                <w:sz w:val="18"/>
              </w:rPr>
              <w:t>Owner</w:t>
            </w:r>
          </w:p>
        </w:tc>
        <w:tc>
          <w:tcPr>
            <w:tcW w:w="1667" w:type="pct"/>
          </w:tcPr>
          <w:p w14:paraId="33930CF8" w14:textId="3F1F9748" w:rsidR="006F56DB" w:rsidRPr="006F56DB" w:rsidRDefault="006F56DB" w:rsidP="006F56DB">
            <w:pPr>
              <w:rPr>
                <w:rFonts w:ascii="Arial" w:hAnsi="Arial" w:cs="Arial"/>
                <w:b/>
                <w:sz w:val="18"/>
              </w:rPr>
            </w:pPr>
            <w:r>
              <w:rPr>
                <w:rFonts w:ascii="Arial" w:hAnsi="Arial" w:cs="Arial"/>
                <w:b/>
                <w:sz w:val="18"/>
              </w:rPr>
              <w:t>Notes</w:t>
            </w:r>
          </w:p>
        </w:tc>
      </w:tr>
      <w:tr w:rsidR="006F56DB" w:rsidRPr="006F56DB" w14:paraId="040621D4" w14:textId="77777777" w:rsidTr="006F56DB">
        <w:tc>
          <w:tcPr>
            <w:tcW w:w="1667" w:type="pct"/>
          </w:tcPr>
          <w:p w14:paraId="6721B368" w14:textId="39FB6B11" w:rsidR="006F56DB" w:rsidRPr="006F56DB" w:rsidRDefault="006F56DB" w:rsidP="006F56DB">
            <w:pPr>
              <w:rPr>
                <w:rFonts w:ascii="Arial" w:hAnsi="Arial" w:cs="Arial"/>
                <w:sz w:val="18"/>
              </w:rPr>
            </w:pPr>
            <w:r>
              <w:rPr>
                <w:rFonts w:ascii="Arial" w:hAnsi="Arial" w:cs="Arial"/>
                <w:sz w:val="18"/>
              </w:rPr>
              <w:t>File the APIM provisioning request</w:t>
            </w:r>
          </w:p>
        </w:tc>
        <w:tc>
          <w:tcPr>
            <w:tcW w:w="1667" w:type="pct"/>
          </w:tcPr>
          <w:p w14:paraId="12EC7B58" w14:textId="7D4730B5" w:rsidR="006F56DB" w:rsidRPr="006F56DB" w:rsidRDefault="006F56DB" w:rsidP="006F56DB">
            <w:pPr>
              <w:rPr>
                <w:rFonts w:ascii="Arial" w:hAnsi="Arial" w:cs="Arial"/>
                <w:sz w:val="18"/>
              </w:rPr>
            </w:pPr>
            <w:r>
              <w:rPr>
                <w:rFonts w:ascii="Arial" w:hAnsi="Arial" w:cs="Arial"/>
                <w:sz w:val="18"/>
              </w:rPr>
              <w:t>Northwind Health - Ashay</w:t>
            </w:r>
          </w:p>
        </w:tc>
        <w:tc>
          <w:tcPr>
            <w:tcW w:w="1667" w:type="pct"/>
          </w:tcPr>
          <w:p w14:paraId="15449B4A" w14:textId="2F247F2C" w:rsidR="006F56DB" w:rsidRPr="006F56DB" w:rsidRDefault="006F56DB" w:rsidP="006F56DB">
            <w:pPr>
              <w:rPr>
                <w:rFonts w:ascii="Arial" w:hAnsi="Arial" w:cs="Arial"/>
                <w:sz w:val="18"/>
              </w:rPr>
            </w:pPr>
            <w:r>
              <w:rPr>
                <w:rFonts w:ascii="Arial" w:hAnsi="Arial" w:cs="Arial"/>
                <w:sz w:val="18"/>
              </w:rPr>
              <w:t>Route to Sunil, Surya, and the proxy and network team. Names to be confirmed - the 18 August recording garbled them.</w:t>
            </w:r>
          </w:p>
        </w:tc>
      </w:tr>
      <w:tr w:rsidR="006F56DB" w:rsidRPr="006F56DB" w14:paraId="4407D73F" w14:textId="77777777" w:rsidTr="006F56DB">
        <w:tc>
          <w:tcPr>
            <w:tcW w:w="1667" w:type="pct"/>
          </w:tcPr>
          <w:p w14:paraId="7A4C817A" w14:textId="262F98B9" w:rsidR="006F56DB" w:rsidRPr="006F56DB" w:rsidRDefault="006F56DB" w:rsidP="006F56DB">
            <w:pPr>
              <w:rPr>
                <w:rFonts w:ascii="Arial" w:hAnsi="Arial" w:cs="Arial"/>
                <w:sz w:val="18"/>
              </w:rPr>
            </w:pPr>
            <w:r>
              <w:rPr>
                <w:rFonts w:ascii="Arial" w:hAnsi="Arial" w:cs="Arial"/>
                <w:sz w:val="18"/>
              </w:rPr>
              <w:t>Name the APIM specialist for the follow-up</w:t>
            </w:r>
          </w:p>
        </w:tc>
        <w:tc>
          <w:tcPr>
            <w:tcW w:w="1667" w:type="pct"/>
          </w:tcPr>
          <w:p w14:paraId="64101FC0" w14:textId="0B02AD9A" w:rsidR="006F56DB" w:rsidRPr="006F56DB" w:rsidRDefault="006F56DB" w:rsidP="006F56DB">
            <w:pPr>
              <w:rPr>
                <w:rFonts w:ascii="Arial" w:hAnsi="Arial" w:cs="Arial"/>
                <w:sz w:val="18"/>
              </w:rPr>
            </w:pPr>
            <w:r>
              <w:rPr>
                <w:rFonts w:ascii="Arial" w:hAnsi="Arial" w:cs="Arial"/>
                <w:sz w:val="18"/>
              </w:rPr>
              <w:t>Microsoft - Joe</w:t>
            </w:r>
          </w:p>
        </w:tc>
        <w:tc>
          <w:tcPr>
            <w:tcW w:w="1667" w:type="pct"/>
          </w:tcPr>
          <w:p w14:paraId="599F0175" w14:textId="00CAAFDC" w:rsidR="006F56DB" w:rsidRPr="006F56DB" w:rsidRDefault="006F56DB" w:rsidP="006F56DB">
            <w:pPr>
              <w:rPr>
                <w:rFonts w:ascii="Arial" w:hAnsi="Arial" w:cs="Arial"/>
                <w:sz w:val="18"/>
              </w:rPr>
            </w:pPr>
            <w:r>
              <w:rPr>
                <w:rFonts w:ascii="Arial" w:hAnsi="Arial" w:cs="Arial"/>
                <w:sz w:val="18"/>
              </w:rPr>
              <w:t>Commitment made on 18 August at 1:15:09.</w:t>
            </w:r>
          </w:p>
        </w:tc>
      </w:tr>
      <w:tr w:rsidR="006F56DB" w:rsidRPr="006F56DB" w14:paraId="62104C40" w14:textId="77777777" w:rsidTr="006F56DB">
        <w:tc>
          <w:tcPr>
            <w:tcW w:w="1667" w:type="pct"/>
          </w:tcPr>
          <w:p w14:paraId="7BD95B62" w14:textId="7AC94643" w:rsidR="006F56DB" w:rsidRPr="006F56DB" w:rsidRDefault="006F56DB" w:rsidP="006F56DB">
            <w:pPr>
              <w:rPr>
                <w:rFonts w:ascii="Arial" w:hAnsi="Arial" w:cs="Arial"/>
                <w:sz w:val="18"/>
              </w:rPr>
            </w:pPr>
            <w:r>
              <w:rPr>
                <w:rFonts w:ascii="Arial" w:hAnsi="Arial" w:cs="Arial"/>
                <w:sz w:val="18"/>
              </w:rPr>
              <w:t>Circulate deck, runbook, and policy files</w:t>
            </w:r>
          </w:p>
        </w:tc>
        <w:tc>
          <w:tcPr>
            <w:tcW w:w="1667" w:type="pct"/>
          </w:tcPr>
          <w:p w14:paraId="5C93B416" w14:textId="16997327" w:rsidR="006F56DB" w:rsidRPr="006F56DB" w:rsidRDefault="006F56DB" w:rsidP="006F56DB">
            <w:pPr>
              <w:rPr>
                <w:rFonts w:ascii="Arial" w:hAnsi="Arial" w:cs="Arial"/>
                <w:sz w:val="18"/>
              </w:rPr>
            </w:pPr>
            <w:r>
              <w:rPr>
                <w:rFonts w:ascii="Arial" w:hAnsi="Arial" w:cs="Arial"/>
                <w:sz w:val="18"/>
              </w:rPr>
              <w:t>Microsoft - Jay</w:t>
            </w:r>
          </w:p>
        </w:tc>
        <w:tc>
          <w:tcPr>
            <w:tcW w:w="1667" w:type="pct"/>
          </w:tcPr>
          <w:p w14:paraId="2970A901" w14:textId="17E35319" w:rsidR="006F56DB" w:rsidRPr="006F56DB" w:rsidRDefault="006F56DB" w:rsidP="006F56DB">
            <w:pPr>
              <w:rPr>
                <w:rFonts w:ascii="Arial" w:hAnsi="Arial" w:cs="Arial"/>
                <w:sz w:val="18"/>
              </w:rPr>
            </w:pPr>
            <w:r>
              <w:rPr>
                <w:rFonts w:ascii="Arial" w:hAnsi="Arial" w:cs="Arial"/>
                <w:sz w:val="18"/>
              </w:rPr>
              <w:t>Same day as the session.</w:t>
            </w:r>
          </w:p>
        </w:tc>
      </w:tr>
      <w:tr w:rsidR="006F56DB" w:rsidRPr="006F56DB" w14:paraId="49B6B446" w14:textId="77777777" w:rsidTr="006F56DB">
        <w:tc>
          <w:tcPr>
            <w:tcW w:w="1667" w:type="pct"/>
          </w:tcPr>
          <w:p w14:paraId="264A18A1" w14:textId="06F794D7" w:rsidR="006F56DB" w:rsidRPr="006F56DB" w:rsidRDefault="006F56DB" w:rsidP="006F56DB">
            <w:pPr>
              <w:rPr>
                <w:rFonts w:ascii="Arial" w:hAnsi="Arial" w:cs="Arial"/>
                <w:sz w:val="18"/>
              </w:rPr>
            </w:pPr>
            <w:r>
              <w:rPr>
                <w:rFonts w:ascii="Arial" w:hAnsi="Arial" w:cs="Arial"/>
                <w:sz w:val="18"/>
              </w:rPr>
              <w:t>Confirm production tier and network mode</w:t>
            </w:r>
          </w:p>
        </w:tc>
        <w:tc>
          <w:tcPr>
            <w:tcW w:w="1667" w:type="pct"/>
          </w:tcPr>
          <w:p w14:paraId="039FA91D" w14:textId="6315BCC4" w:rsidR="006F56DB" w:rsidRPr="006F56DB" w:rsidRDefault="006F56DB" w:rsidP="006F56DB">
            <w:pPr>
              <w:rPr>
                <w:rFonts w:ascii="Arial" w:hAnsi="Arial" w:cs="Arial"/>
                <w:sz w:val="18"/>
              </w:rPr>
            </w:pPr>
            <w:r>
              <w:rPr>
                <w:rFonts w:ascii="Arial" w:hAnsi="Arial" w:cs="Arial"/>
                <w:sz w:val="18"/>
              </w:rPr>
              <w:t>Northwind Health - Platform Engineering</w:t>
            </w:r>
          </w:p>
        </w:tc>
        <w:tc>
          <w:tcPr>
            <w:tcW w:w="1667" w:type="pct"/>
          </w:tcPr>
          <w:p w14:paraId="1F278219" w14:textId="53F7A20A" w:rsidR="006F56DB" w:rsidRPr="006F56DB" w:rsidRDefault="006F56DB" w:rsidP="006F56DB">
            <w:pPr>
              <w:rPr>
                <w:rFonts w:ascii="Arial" w:hAnsi="Arial" w:cs="Arial"/>
                <w:sz w:val="18"/>
              </w:rPr>
            </w:pPr>
            <w:r>
              <w:rPr>
                <w:rFonts w:ascii="Arial" w:hAnsi="Arial" w:cs="Arial"/>
                <w:sz w:val="18"/>
              </w:rPr>
              <w:t>Depends on decisions 2 and 3.</w:t>
            </w:r>
          </w:p>
        </w:tc>
      </w:tr>
    </w:tbl>
    <w:p w14:paraId="59B027E2" w14:textId="77777777" w:rsidR="006F56DB" w:rsidRDefault="006F56DB" w:rsidP="006F56DB"/>
    <w:p w14:paraId="77F4ED7A" w14:textId="63F15DD8" w:rsidR="006F56DB" w:rsidRDefault="006F56DB" w:rsidP="006F56DB">
      <w:pPr>
        <w:pStyle w:val="Heading2"/>
        <w:spacing w:after="160"/>
      </w:pPr>
      <w:bookmarkStart w:id="22" w:name="_Toc239065125"/>
      <w:r w:rsidRPr="006F56DB">
        <w:t>Out of scope for this session</w:t>
      </w:r>
      <w:bookmarkEnd w:id="22"/>
    </w:p>
    <w:p w14:paraId="28A3B968" w14:textId="75D28926" w:rsidR="006F56DB" w:rsidRDefault="006F56DB" w:rsidP="006F56DB">
      <w:pPr>
        <w:spacing w:after="60"/>
      </w:pPr>
      <w:r w:rsidRPr="006F56DB">
        <w:t>Developer portal and payer self-service onboarding</w:t>
      </w:r>
    </w:p>
    <w:p w14:paraId="5C75E784" w14:textId="482F0117" w:rsidR="006F56DB" w:rsidRDefault="006F56DB" w:rsidP="006F56DB">
      <w:pPr>
        <w:spacing w:after="60"/>
      </w:pPr>
      <w:r w:rsidRPr="006F56DB">
        <w:t>Monetization and quota products</w:t>
      </w:r>
    </w:p>
    <w:p w14:paraId="6FCC1E25" w14:textId="64F59A85" w:rsidR="006F56DB" w:rsidRDefault="006F56DB" w:rsidP="006F56DB">
      <w:pPr>
        <w:spacing w:after="60"/>
      </w:pPr>
      <w:r w:rsidRPr="006F56DB">
        <w:t>GraphQL and AI gateway capabilities</w:t>
      </w:r>
    </w:p>
    <w:p w14:paraId="2C070DB7" w14:textId="380B6902" w:rsidR="006F56DB" w:rsidRDefault="006F56DB" w:rsidP="006F56DB">
      <w:pPr>
        <w:spacing w:after="60"/>
      </w:pPr>
      <w:r w:rsidRPr="006F56DB">
        <w:t>APIM for non-FHIR Northwind Health workloads</w:t>
      </w:r>
    </w:p>
    <w:p w14:paraId="27FF003A" w14:textId="77777777" w:rsidR="006F56DB" w:rsidRPr="006F56DB" w:rsidRDefault="006F56DB" w:rsidP="006F56DB">
      <w:pPr>
        <w:pStyle w:val="ListParagraph"/>
        <w:numPr>
          <w:ilvl w:val="0"/>
          <w:numId w:val="13"/>
        </w:numPr>
        <w:spacing w:after="60"/>
      </w:pPr>
    </w:p>
    <w:sectPr w:rsidR="006F56DB" w:rsidRPr="006F56DB" w:rsidSect="006F56DB">
      <w:headerReference w:type="even" r:id="rId15"/>
      <w:headerReference w:type="default" r:id="rId16"/>
      <w:footerReference w:type="even" r:id="rId17"/>
      <w:footerReference w:type="default" r:id="rId18"/>
      <w:headerReference w:type="first" r:id="rId19"/>
      <w:footerReference w:type="first" r:id="rId20"/>
      <w:pgSz w:w="12240" w:h="15840"/>
      <w:pgMar w:top="1080" w:right="1260" w:bottom="108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8CB13" w14:textId="77777777" w:rsidR="0047224B" w:rsidRDefault="0047224B" w:rsidP="006F56DB">
      <w:pPr>
        <w:spacing w:after="0" w:line="240" w:lineRule="auto"/>
      </w:pPr>
      <w:r>
        <w:separator/>
      </w:r>
    </w:p>
  </w:endnote>
  <w:endnote w:type="continuationSeparator" w:id="0">
    <w:p w14:paraId="4963B901" w14:textId="77777777" w:rsidR="0047224B" w:rsidRDefault="0047224B" w:rsidP="006F5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B9C16" w14:textId="77777777" w:rsidR="006F56DB" w:rsidRDefault="006F56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933B" w14:textId="5F7AF668" w:rsidR="006F56DB" w:rsidRPr="006F56DB" w:rsidRDefault="006F56DB">
    <w:pPr>
      <w:pStyle w:val="Footer"/>
      <w:rPr>
        <w:rFonts w:ascii="Arial" w:hAnsi="Arial" w:cs="Arial"/>
        <w:sz w:val="16"/>
      </w:rPr>
    </w:pPr>
    <w:r w:rsidRPr="006F56DB">
      <w:rPr>
        <w:rFonts w:ascii="Arial" w:hAnsi="Arial" w:cs="Arial"/>
        <w:sz w:val="16"/>
      </w:rPr>
      <w:t xml:space="preserve">Prov - Azure APIM Briefing - Presenter Runbook    |    Microsoft Health &amp; Life Sciences    |    Page </w:t>
    </w:r>
    <w:r w:rsidRPr="006F56DB">
      <w:rPr>
        <w:rFonts w:ascii="Arial" w:hAnsi="Arial" w:cs="Arial"/>
        <w:sz w:val="16"/>
      </w:rPr>
      <w:fldChar w:fldCharType="begin"/>
    </w:r>
    <w:r w:rsidRPr="006F56DB">
      <w:rPr>
        <w:rFonts w:ascii="Arial" w:hAnsi="Arial" w:cs="Arial"/>
        <w:sz w:val="16"/>
      </w:rPr>
      <w:instrText xml:space="preserve"> PAGE  \* MERGEFORMAT </w:instrText>
    </w:r>
    <w:r w:rsidRPr="006F56DB">
      <w:rPr>
        <w:rFonts w:ascii="Arial" w:hAnsi="Arial" w:cs="Arial"/>
        <w:sz w:val="16"/>
      </w:rPr>
      <w:fldChar w:fldCharType="separate"/>
    </w:r>
    <w:r w:rsidRPr="006F56DB">
      <w:rPr>
        <w:rFonts w:ascii="Arial" w:hAnsi="Arial" w:cs="Arial"/>
        <w:noProof/>
        <w:sz w:val="16"/>
      </w:rPr>
      <w:t>1</w:t>
    </w:r>
    <w:r w:rsidRPr="006F56DB">
      <w:rPr>
        <w:rFonts w:ascii="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14D6" w14:textId="77777777" w:rsidR="006F56DB" w:rsidRDefault="006F56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41BA1" w14:textId="77777777" w:rsidR="0047224B" w:rsidRDefault="0047224B" w:rsidP="006F56DB">
      <w:pPr>
        <w:spacing w:after="0" w:line="240" w:lineRule="auto"/>
      </w:pPr>
      <w:r>
        <w:separator/>
      </w:r>
    </w:p>
  </w:footnote>
  <w:footnote w:type="continuationSeparator" w:id="0">
    <w:p w14:paraId="7B1B0273" w14:textId="77777777" w:rsidR="0047224B" w:rsidRDefault="0047224B" w:rsidP="006F5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8F170" w14:textId="77777777" w:rsidR="006F56DB" w:rsidRDefault="006F56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26351" w14:textId="77777777" w:rsidR="006F56DB" w:rsidRDefault="006F56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7E5E" w14:textId="77777777" w:rsidR="006F56DB" w:rsidRDefault="006F56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3352"/>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D581C2E"/>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0FB260E5"/>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172357DF"/>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21591727"/>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2C6E33E2"/>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2E0819DA"/>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3A6F748C"/>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3FF26F80"/>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487207B7"/>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48EC52C7"/>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AC94697"/>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50CD150C"/>
    <w:multiLevelType w:val="singleLevel"/>
    <w:tmpl w:val="04090001"/>
    <w:lvl w:ilvl="0">
      <w:start w:val="1"/>
      <w:numFmt w:val="bullet"/>
      <w:lvlText w:val=""/>
      <w:lvlJc w:val="left"/>
      <w:pPr>
        <w:ind w:left="720" w:hanging="360"/>
      </w:pPr>
      <w:rPr>
        <w:rFonts w:ascii="Symbol" w:hAnsi="Symbol" w:hint="default"/>
      </w:rPr>
    </w:lvl>
  </w:abstractNum>
  <w:num w:numId="1" w16cid:durableId="594674608">
    <w:abstractNumId w:val="5"/>
  </w:num>
  <w:num w:numId="2" w16cid:durableId="681123596">
    <w:abstractNumId w:val="7"/>
  </w:num>
  <w:num w:numId="3" w16cid:durableId="438647378">
    <w:abstractNumId w:val="3"/>
  </w:num>
  <w:num w:numId="4" w16cid:durableId="1705864601">
    <w:abstractNumId w:val="11"/>
  </w:num>
  <w:num w:numId="5" w16cid:durableId="1570535405">
    <w:abstractNumId w:val="4"/>
  </w:num>
  <w:num w:numId="6" w16cid:durableId="754518079">
    <w:abstractNumId w:val="0"/>
  </w:num>
  <w:num w:numId="7" w16cid:durableId="15155137">
    <w:abstractNumId w:val="2"/>
  </w:num>
  <w:num w:numId="8" w16cid:durableId="1245803338">
    <w:abstractNumId w:val="6"/>
  </w:num>
  <w:num w:numId="9" w16cid:durableId="1682316344">
    <w:abstractNumId w:val="12"/>
  </w:num>
  <w:num w:numId="10" w16cid:durableId="1608462594">
    <w:abstractNumId w:val="10"/>
  </w:num>
  <w:num w:numId="11" w16cid:durableId="2140223082">
    <w:abstractNumId w:val="9"/>
  </w:num>
  <w:num w:numId="12" w16cid:durableId="1896768476">
    <w:abstractNumId w:val="8"/>
  </w:num>
  <w:num w:numId="13" w16cid:durableId="1120610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6DB"/>
    <w:rsid w:val="000A6BB7"/>
    <w:rsid w:val="001D7C1F"/>
    <w:rsid w:val="0047224B"/>
    <w:rsid w:val="006F56DB"/>
    <w:rsid w:val="00D37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441C5"/>
  <w15:chartTrackingRefBased/>
  <w15:docId w15:val="{E7AE39B8-AFDE-4EEE-83B1-F3B4D1AD3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5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6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6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6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6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56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6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6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6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6DB"/>
    <w:rPr>
      <w:rFonts w:eastAsiaTheme="majorEastAsia" w:cstheme="majorBidi"/>
      <w:color w:val="272727" w:themeColor="text1" w:themeTint="D8"/>
    </w:rPr>
  </w:style>
  <w:style w:type="paragraph" w:styleId="Title">
    <w:name w:val="Title"/>
    <w:basedOn w:val="Normal"/>
    <w:next w:val="Normal"/>
    <w:link w:val="TitleChar"/>
    <w:uiPriority w:val="10"/>
    <w:qFormat/>
    <w:rsid w:val="006F5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6DB"/>
    <w:pPr>
      <w:spacing w:before="160"/>
      <w:jc w:val="center"/>
    </w:pPr>
    <w:rPr>
      <w:i/>
      <w:iCs/>
      <w:color w:val="404040" w:themeColor="text1" w:themeTint="BF"/>
    </w:rPr>
  </w:style>
  <w:style w:type="character" w:customStyle="1" w:styleId="QuoteChar">
    <w:name w:val="Quote Char"/>
    <w:basedOn w:val="DefaultParagraphFont"/>
    <w:link w:val="Quote"/>
    <w:uiPriority w:val="29"/>
    <w:rsid w:val="006F56DB"/>
    <w:rPr>
      <w:i/>
      <w:iCs/>
      <w:color w:val="404040" w:themeColor="text1" w:themeTint="BF"/>
    </w:rPr>
  </w:style>
  <w:style w:type="paragraph" w:styleId="ListParagraph">
    <w:name w:val="List Paragraph"/>
    <w:basedOn w:val="Normal"/>
    <w:uiPriority w:val="34"/>
    <w:qFormat/>
    <w:rsid w:val="006F56DB"/>
    <w:pPr>
      <w:ind w:left="720"/>
      <w:contextualSpacing/>
    </w:pPr>
  </w:style>
  <w:style w:type="character" w:styleId="IntenseEmphasis">
    <w:name w:val="Intense Emphasis"/>
    <w:basedOn w:val="DefaultParagraphFont"/>
    <w:uiPriority w:val="21"/>
    <w:qFormat/>
    <w:rsid w:val="006F56DB"/>
    <w:rPr>
      <w:i/>
      <w:iCs/>
      <w:color w:val="0F4761" w:themeColor="accent1" w:themeShade="BF"/>
    </w:rPr>
  </w:style>
  <w:style w:type="paragraph" w:styleId="IntenseQuote">
    <w:name w:val="Intense Quote"/>
    <w:basedOn w:val="Normal"/>
    <w:next w:val="Normal"/>
    <w:link w:val="IntenseQuoteChar"/>
    <w:uiPriority w:val="30"/>
    <w:qFormat/>
    <w:rsid w:val="006F5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6DB"/>
    <w:rPr>
      <w:i/>
      <w:iCs/>
      <w:color w:val="0F4761" w:themeColor="accent1" w:themeShade="BF"/>
    </w:rPr>
  </w:style>
  <w:style w:type="character" w:styleId="IntenseReference">
    <w:name w:val="Intense Reference"/>
    <w:basedOn w:val="DefaultParagraphFont"/>
    <w:uiPriority w:val="32"/>
    <w:qFormat/>
    <w:rsid w:val="006F56DB"/>
    <w:rPr>
      <w:b/>
      <w:bCs/>
      <w:smallCaps/>
      <w:color w:val="0F4761" w:themeColor="accent1" w:themeShade="BF"/>
      <w:spacing w:val="5"/>
    </w:rPr>
  </w:style>
  <w:style w:type="paragraph" w:styleId="Header">
    <w:name w:val="header"/>
    <w:basedOn w:val="Normal"/>
    <w:link w:val="HeaderChar"/>
    <w:uiPriority w:val="99"/>
    <w:unhideWhenUsed/>
    <w:rsid w:val="006F56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56DB"/>
  </w:style>
  <w:style w:type="paragraph" w:styleId="Footer">
    <w:name w:val="footer"/>
    <w:basedOn w:val="Normal"/>
    <w:link w:val="FooterChar"/>
    <w:uiPriority w:val="99"/>
    <w:unhideWhenUsed/>
    <w:rsid w:val="006F56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56DB"/>
  </w:style>
  <w:style w:type="table" w:styleId="TableGrid">
    <w:name w:val="Table Grid"/>
    <w:basedOn w:val="TableNormal"/>
    <w:uiPriority w:val="39"/>
    <w:rsid w:val="006F56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6F56DB"/>
    <w:pPr>
      <w:spacing w:after="100"/>
      <w:ind w:left="240"/>
    </w:pPr>
  </w:style>
  <w:style w:type="paragraph" w:styleId="TOC1">
    <w:name w:val="toc 1"/>
    <w:basedOn w:val="Normal"/>
    <w:next w:val="Normal"/>
    <w:autoRedefine/>
    <w:uiPriority w:val="39"/>
    <w:unhideWhenUsed/>
    <w:rsid w:val="006F56DB"/>
    <w:pPr>
      <w:spacing w:after="100"/>
    </w:pPr>
  </w:style>
  <w:style w:type="paragraph" w:styleId="Caption">
    <w:name w:val="caption"/>
    <w:basedOn w:val="Normal"/>
    <w:next w:val="Normal"/>
    <w:uiPriority w:val="35"/>
    <w:unhideWhenUsed/>
    <w:qFormat/>
    <w:rsid w:val="006F56D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footer" Target="footer2.xml" /><Relationship Id="rId3" Type="http://schemas.openxmlformats.org/officeDocument/2006/relationships/settings" Target="settings.xml" /><Relationship Id="rId21" Type="http://schemas.openxmlformats.org/officeDocument/2006/relationships/fontTable" Target="fontTable.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footer" Target="footer1.xml" /><Relationship Id="rId2" Type="http://schemas.openxmlformats.org/officeDocument/2006/relationships/styles" Target="styles.xml" /><Relationship Id="rId16" Type="http://schemas.openxmlformats.org/officeDocument/2006/relationships/header" Target="header2.xml" /><Relationship Id="rId20" Type="http://schemas.openxmlformats.org/officeDocument/2006/relationships/footer" Target="footer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header" Target="header1.xml" /><Relationship Id="rId10" Type="http://schemas.openxmlformats.org/officeDocument/2006/relationships/image" Target="media/image4.png" /><Relationship Id="rId19" Type="http://schemas.openxmlformats.org/officeDocument/2006/relationships/header" Target="header3.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Padhya</dc:creator>
  <cp:keywords/>
  <dc:description/>
  <cp:lastModifiedBy/>
</cp:coreProperties>
</file>