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5B5C" w14:textId="0BFF02BF" w:rsidR="00736A65" w:rsidRPr="00736A65" w:rsidRDefault="00736A65" w:rsidP="00736A65">
      <w:pPr>
        <w:jc w:val="both"/>
        <w:rPr>
          <w:b/>
          <w:bCs/>
        </w:rPr>
      </w:pPr>
      <w:r w:rsidRPr="00A717A1">
        <w:rPr>
          <w:rFonts w:cs="Calibri"/>
          <w:b/>
          <w:bCs/>
        </w:rPr>
        <w:t>Change in useful life is considered a change in accounting estimate</w:t>
      </w:r>
      <w:r w:rsidRPr="00736A65">
        <w:rPr>
          <w:rFonts w:cs="Calibri"/>
          <w:b/>
          <w:bCs/>
        </w:rPr>
        <w:t>, not</w:t>
      </w:r>
      <w:r w:rsidRPr="00A717A1">
        <w:rPr>
          <w:rFonts w:cs="Calibri"/>
          <w:b/>
          <w:bCs/>
        </w:rPr>
        <w:t xml:space="preserve"> a prior period error</w:t>
      </w:r>
      <w:r w:rsidR="00DF0740">
        <w:rPr>
          <w:rFonts w:cs="Calibri"/>
          <w:b/>
          <w:bCs/>
        </w:rPr>
        <w:t xml:space="preserve"> is required to be accounted prospectively.</w:t>
      </w:r>
    </w:p>
    <w:p w14:paraId="3223B2F9" w14:textId="626164CF" w:rsidR="00403E73" w:rsidRPr="00736A65" w:rsidRDefault="00D60E87" w:rsidP="00DF0740">
      <w:pPr>
        <w:pStyle w:val="ListParagraph"/>
        <w:numPr>
          <w:ilvl w:val="0"/>
          <w:numId w:val="2"/>
        </w:numPr>
        <w:ind w:left="360"/>
        <w:contextualSpacing w:val="0"/>
        <w:jc w:val="both"/>
      </w:pPr>
      <w:r w:rsidRPr="00736A65">
        <w:t xml:space="preserve">As per </w:t>
      </w:r>
      <w:r w:rsidR="00403E73" w:rsidRPr="00736A65">
        <w:t xml:space="preserve">IAS 16 para 51, mentioned that change in useful life of an asset </w:t>
      </w:r>
      <w:r w:rsidR="00403E73" w:rsidRPr="00DF0740">
        <w:rPr>
          <w:b/>
          <w:bCs/>
        </w:rPr>
        <w:t>shall be</w:t>
      </w:r>
      <w:r w:rsidR="00403E73" w:rsidRPr="00736A65">
        <w:t xml:space="preserve"> </w:t>
      </w:r>
      <w:r w:rsidR="00403E73" w:rsidRPr="00DF0740">
        <w:rPr>
          <w:b/>
          <w:bCs/>
        </w:rPr>
        <w:t xml:space="preserve">accounted for </w:t>
      </w:r>
      <w:r w:rsidR="00736A65" w:rsidRPr="00DF0740">
        <w:rPr>
          <w:b/>
          <w:bCs/>
        </w:rPr>
        <w:t>as change in accounting estimate</w:t>
      </w:r>
      <w:r w:rsidR="00736A65" w:rsidRPr="00736A65">
        <w:t xml:space="preserve"> </w:t>
      </w:r>
      <w:r w:rsidR="00403E73" w:rsidRPr="00736A65">
        <w:t>in accordance with IAS 8 – Accounting Policies, Changes in Accounting Estimates and Errors.</w:t>
      </w:r>
    </w:p>
    <w:p w14:paraId="5E0D96C6" w14:textId="5DF89169" w:rsidR="00222D61" w:rsidRPr="00736A65" w:rsidRDefault="00222D61" w:rsidP="00DF0740">
      <w:pPr>
        <w:pStyle w:val="ListParagraph"/>
        <w:numPr>
          <w:ilvl w:val="0"/>
          <w:numId w:val="2"/>
        </w:numPr>
        <w:ind w:left="360"/>
        <w:contextualSpacing w:val="0"/>
        <w:jc w:val="both"/>
      </w:pPr>
      <w:r w:rsidRPr="00736A65">
        <w:t xml:space="preserve">IAS 8 para 32, states that </w:t>
      </w:r>
      <w:r w:rsidRPr="00DF0740">
        <w:rPr>
          <w:b/>
          <w:bCs/>
        </w:rPr>
        <w:t xml:space="preserve">estimation involves judgement </w:t>
      </w:r>
      <w:r w:rsidR="00736A65" w:rsidRPr="00DF0740">
        <w:rPr>
          <w:b/>
          <w:bCs/>
        </w:rPr>
        <w:t xml:space="preserve">including </w:t>
      </w:r>
      <w:r w:rsidRPr="00DF0740">
        <w:rPr>
          <w:b/>
          <w:bCs/>
        </w:rPr>
        <w:t>estimation of useful life</w:t>
      </w:r>
      <w:r w:rsidRPr="00736A65">
        <w:t xml:space="preserve"> and changes thereof</w:t>
      </w:r>
      <w:r w:rsidR="00736A65">
        <w:t>.</w:t>
      </w:r>
    </w:p>
    <w:p w14:paraId="57373706" w14:textId="39E931EF" w:rsidR="00403E73" w:rsidRDefault="00403E73" w:rsidP="00DF0740">
      <w:pPr>
        <w:pStyle w:val="ListParagraph"/>
        <w:numPr>
          <w:ilvl w:val="0"/>
          <w:numId w:val="2"/>
        </w:numPr>
        <w:ind w:left="360"/>
        <w:contextualSpacing w:val="0"/>
        <w:jc w:val="both"/>
      </w:pPr>
      <w:r w:rsidRPr="00736A65">
        <w:t>IAS 8 para 38</w:t>
      </w:r>
      <w:r w:rsidR="00736A65" w:rsidRPr="00736A65">
        <w:t xml:space="preserve"> read-with para 34 and 36</w:t>
      </w:r>
      <w:r w:rsidRPr="00736A65">
        <w:t xml:space="preserve">, mentioned that change in useful life of an asset will be accounted as </w:t>
      </w:r>
      <w:r w:rsidRPr="00DF0740">
        <w:rPr>
          <w:b/>
          <w:bCs/>
        </w:rPr>
        <w:t>Change in accounting estimate and will have a prospective effect</w:t>
      </w:r>
      <w:r w:rsidRPr="00736A65">
        <w:t>. This mean</w:t>
      </w:r>
      <w:r w:rsidR="00222D61" w:rsidRPr="00736A65">
        <w:t>s,</w:t>
      </w:r>
      <w:r w:rsidRPr="00736A65">
        <w:t xml:space="preserve"> a change in the estimated useful life of, or the expected pattern of consumption of the future economic benefits embodied in, a depreciable asset affects depreciation expense for the current period and for each future period during the asset’s remaining useful life. </w:t>
      </w:r>
    </w:p>
    <w:p w14:paraId="0ACB27B9" w14:textId="5FE42FA3" w:rsidR="00736A65" w:rsidRPr="00DF0740" w:rsidRDefault="00DF0740" w:rsidP="00736A65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[Respective extracts are attached along-with]</w:t>
      </w:r>
    </w:p>
    <w:p w14:paraId="08CE935E" w14:textId="56AC88E3" w:rsidR="00736A65" w:rsidRDefault="00736A65" w:rsidP="00736A65">
      <w:pPr>
        <w:jc w:val="both"/>
        <w:rPr>
          <w:b/>
          <w:bCs/>
        </w:rPr>
      </w:pPr>
      <w:r w:rsidRPr="00736A65">
        <w:rPr>
          <w:b/>
          <w:bCs/>
        </w:rPr>
        <w:t>Additionally,</w:t>
      </w:r>
    </w:p>
    <w:p w14:paraId="570303B9" w14:textId="35132938" w:rsidR="00736A65" w:rsidRDefault="00736A65" w:rsidP="00DF0740">
      <w:pPr>
        <w:pStyle w:val="ListParagraph"/>
        <w:numPr>
          <w:ilvl w:val="0"/>
          <w:numId w:val="3"/>
        </w:numPr>
        <w:ind w:left="360"/>
        <w:jc w:val="both"/>
      </w:pPr>
      <w:r w:rsidRPr="00736A65">
        <w:t>IAS 16 para 6</w:t>
      </w:r>
      <w:r>
        <w:t>1 read-with</w:t>
      </w:r>
      <w:r w:rsidRPr="00736A65">
        <w:t xml:space="preserve"> </w:t>
      </w:r>
      <w:r>
        <w:t xml:space="preserve">para </w:t>
      </w:r>
      <w:r w:rsidRPr="00736A65">
        <w:t>6</w:t>
      </w:r>
      <w:r w:rsidR="00A4054D">
        <w:t>0</w:t>
      </w:r>
      <w:r w:rsidRPr="00736A65">
        <w:t>, mentions that change in depreciation method is required to be reviewed on periodical basis based on consumption pattern of the asset</w:t>
      </w:r>
      <w:r>
        <w:t>. A change in depreciation method is also accounted for a change in accounting estimate as per IAS 8.</w:t>
      </w:r>
    </w:p>
    <w:p w14:paraId="6174BE88" w14:textId="77777777" w:rsidR="00DF0740" w:rsidRDefault="00DF0740" w:rsidP="00736A65">
      <w:pPr>
        <w:jc w:val="both"/>
        <w:rPr>
          <w:b/>
          <w:bCs/>
        </w:rPr>
      </w:pPr>
    </w:p>
    <w:p w14:paraId="55BDD6A5" w14:textId="1E5C9960" w:rsidR="00736A65" w:rsidRDefault="00736A65" w:rsidP="00736A65">
      <w:pPr>
        <w:jc w:val="both"/>
        <w:rPr>
          <w:b/>
          <w:bCs/>
        </w:rPr>
      </w:pPr>
      <w:r w:rsidRPr="00736A65">
        <w:rPr>
          <w:b/>
          <w:bCs/>
        </w:rPr>
        <w:t>Conclusion,</w:t>
      </w:r>
    </w:p>
    <w:p w14:paraId="78B9E468" w14:textId="42ACEE70" w:rsidR="00736A65" w:rsidRDefault="00736A65" w:rsidP="00DF0740">
      <w:pPr>
        <w:pStyle w:val="ListParagraph"/>
        <w:numPr>
          <w:ilvl w:val="0"/>
          <w:numId w:val="1"/>
        </w:numPr>
        <w:contextualSpacing w:val="0"/>
        <w:jc w:val="both"/>
      </w:pPr>
      <w:r>
        <w:t>Net book value of the asset will be considered as opening balance of the asset</w:t>
      </w:r>
    </w:p>
    <w:p w14:paraId="6FD5C296" w14:textId="275269F8" w:rsidR="00736A65" w:rsidRDefault="00736A65" w:rsidP="00DF0740">
      <w:pPr>
        <w:pStyle w:val="ListParagraph"/>
        <w:numPr>
          <w:ilvl w:val="0"/>
          <w:numId w:val="1"/>
        </w:numPr>
        <w:contextualSpacing w:val="0"/>
        <w:jc w:val="both"/>
      </w:pPr>
      <w:r>
        <w:t>Depreciation of the opening balance will as per the depreciation method (revised method) adopted by the entity over the remaining useful life of the asset.</w:t>
      </w:r>
    </w:p>
    <w:p w14:paraId="743E4A91" w14:textId="28B863CA" w:rsidR="00736A65" w:rsidRPr="00736A65" w:rsidRDefault="00736A65" w:rsidP="00DF0740">
      <w:pPr>
        <w:pStyle w:val="ListParagraph"/>
        <w:numPr>
          <w:ilvl w:val="0"/>
          <w:numId w:val="1"/>
        </w:numPr>
        <w:contextualSpacing w:val="0"/>
        <w:jc w:val="both"/>
      </w:pPr>
      <w:r>
        <w:t xml:space="preserve">Depreciation method </w:t>
      </w:r>
      <w:r w:rsidR="00DF0740">
        <w:t>can be changed prospective</w:t>
      </w:r>
      <w:r w:rsidR="00841234">
        <w:t>ly,</w:t>
      </w:r>
      <w:r w:rsidR="00DF0740">
        <w:t xml:space="preserve"> based on pattern of consumption, given that the entity can justify or substantiate the change in pattern.</w:t>
      </w:r>
    </w:p>
    <w:sectPr w:rsidR="00736A65" w:rsidRPr="00736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A4B60"/>
    <w:multiLevelType w:val="hybridMultilevel"/>
    <w:tmpl w:val="A95E25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F1CC1"/>
    <w:multiLevelType w:val="hybridMultilevel"/>
    <w:tmpl w:val="AED24BF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27025"/>
    <w:multiLevelType w:val="hybridMultilevel"/>
    <w:tmpl w:val="F78425DE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144393">
    <w:abstractNumId w:val="2"/>
  </w:num>
  <w:num w:numId="2" w16cid:durableId="649403454">
    <w:abstractNumId w:val="0"/>
  </w:num>
  <w:num w:numId="3" w16cid:durableId="670910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87"/>
    <w:rsid w:val="00222D61"/>
    <w:rsid w:val="00403E73"/>
    <w:rsid w:val="00736A65"/>
    <w:rsid w:val="00751A7A"/>
    <w:rsid w:val="00841234"/>
    <w:rsid w:val="00991A4D"/>
    <w:rsid w:val="00A4054D"/>
    <w:rsid w:val="00AC72CB"/>
    <w:rsid w:val="00D60E87"/>
    <w:rsid w:val="00DF0740"/>
    <w:rsid w:val="00E31A4E"/>
    <w:rsid w:val="00F5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60DD"/>
  <w15:chartTrackingRefBased/>
  <w15:docId w15:val="{7ADFFBBB-EA22-4C7C-86A5-3A1F4780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Margenete Casiano</dc:creator>
  <cp:keywords/>
  <dc:description/>
  <cp:lastModifiedBy>Moiz Khamosi</cp:lastModifiedBy>
  <cp:revision>4</cp:revision>
  <cp:lastPrinted>2025-02-26T08:25:00Z</cp:lastPrinted>
  <dcterms:created xsi:type="dcterms:W3CDTF">2025-02-26T07:31:00Z</dcterms:created>
  <dcterms:modified xsi:type="dcterms:W3CDTF">2025-02-26T08:32:00Z</dcterms:modified>
</cp:coreProperties>
</file>