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w:t>
      </w:r>
      <w:r>
        <w:rPr>
          <w:spacing w:val="7"/>
        </w:rPr>
        <w:t> </w:t>
      </w:r>
      <w:r>
        <w:rPr/>
        <w:t>John</w:t>
      </w:r>
      <w:r>
        <w:rPr>
          <w:spacing w:val="7"/>
        </w:rPr>
        <w:t> </w:t>
      </w:r>
      <w:r>
        <w:rPr/>
        <w:t>Kennedy</w:t>
      </w:r>
      <w:r>
        <w:rPr>
          <w:spacing w:val="7"/>
        </w:rPr>
        <w:t> </w:t>
      </w:r>
      <w:r>
        <w:rPr/>
        <w:t>vs</w:t>
      </w:r>
      <w:r>
        <w:rPr>
          <w:spacing w:val="8"/>
        </w:rPr>
        <w:t> </w:t>
      </w:r>
      <w:r>
        <w:rPr/>
        <w:t>The</w:t>
      </w:r>
      <w:r>
        <w:rPr>
          <w:spacing w:val="7"/>
        </w:rPr>
        <w:t> </w:t>
      </w:r>
      <w:r>
        <w:rPr/>
        <w:t>State</w:t>
      </w:r>
      <w:r>
        <w:rPr>
          <w:spacing w:val="7"/>
        </w:rPr>
        <w:t> </w:t>
      </w:r>
      <w:r>
        <w:rPr/>
        <w:t>Of</w:t>
      </w:r>
      <w:r>
        <w:rPr>
          <w:spacing w:val="8"/>
        </w:rPr>
        <w:t> </w:t>
      </w:r>
      <w:r>
        <w:rPr/>
        <w:t>Tamil</w:t>
      </w:r>
      <w:r>
        <w:rPr>
          <w:spacing w:val="7"/>
        </w:rPr>
        <w:t> </w:t>
      </w:r>
      <w:r>
        <w:rPr/>
        <w:t>Nadu</w:t>
      </w:r>
      <w:r>
        <w:rPr>
          <w:spacing w:val="7"/>
        </w:rPr>
        <w:t> </w:t>
      </w:r>
      <w:r>
        <w:rPr/>
        <w:t>on</w:t>
      </w:r>
      <w:r>
        <w:rPr>
          <w:spacing w:val="8"/>
        </w:rPr>
        <w:t> </w:t>
      </w:r>
      <w:r>
        <w:rPr/>
        <w:t>24</w:t>
      </w:r>
      <w:r>
        <w:rPr>
          <w:spacing w:val="7"/>
        </w:rPr>
        <w:t> </w:t>
      </w:r>
      <w:r>
        <w:rPr/>
        <w:t>March,</w:t>
      </w:r>
      <w:r>
        <w:rPr>
          <w:spacing w:val="7"/>
        </w:rPr>
        <w:t> </w:t>
      </w:r>
      <w:r>
        <w:rPr>
          <w:spacing w:val="-4"/>
        </w:rPr>
        <w:t>2025</w:t>
      </w:r>
    </w:p>
    <w:p>
      <w:pPr>
        <w:pStyle w:val="BodyText"/>
        <w:spacing w:before="32"/>
        <w:rPr>
          <w:rFonts w:ascii="Arial"/>
          <w:b/>
          <w:sz w:val="31"/>
        </w:rPr>
      </w:pPr>
    </w:p>
    <w:p>
      <w:pPr>
        <w:spacing w:line="544" w:lineRule="auto" w:before="0"/>
        <w:ind w:left="23" w:right="7070" w:firstLine="0"/>
        <w:jc w:val="left"/>
        <w:rPr>
          <w:rFonts w:ascii="Arial"/>
          <w:b/>
          <w:sz w:val="26"/>
        </w:rPr>
      </w:pPr>
      <w:r>
        <w:rPr>
          <w:rFonts w:ascii="Arial"/>
          <w:b/>
          <w:sz w:val="26"/>
        </w:rPr>
        <w:t>Author: Vikram </w:t>
      </w:r>
      <w:r>
        <w:rPr>
          <w:rFonts w:ascii="Arial"/>
          <w:b/>
          <w:sz w:val="26"/>
        </w:rPr>
        <w:t>Nath Bench: Vikram Nath</w:t>
      </w:r>
    </w:p>
    <w:p>
      <w:pPr>
        <w:tabs>
          <w:tab w:pos="8939" w:val="left" w:leader="none"/>
        </w:tabs>
        <w:spacing w:before="12"/>
        <w:ind w:left="743" w:right="0" w:firstLine="0"/>
        <w:jc w:val="left"/>
        <w:rPr>
          <w:rFonts w:ascii="Courier New"/>
          <w:sz w:val="18"/>
        </w:rPr>
      </w:pPr>
      <w:r>
        <w:rPr>
          <w:rFonts w:ascii="Courier New"/>
          <w:sz w:val="18"/>
        </w:rPr>
        <w:t>2025</w:t>
      </w:r>
      <w:r>
        <w:rPr>
          <w:rFonts w:ascii="Courier New"/>
          <w:spacing w:val="10"/>
          <w:sz w:val="18"/>
        </w:rPr>
        <w:t> </w:t>
      </w:r>
      <w:r>
        <w:rPr>
          <w:rFonts w:ascii="Courier New"/>
          <w:sz w:val="18"/>
        </w:rPr>
        <w:t>INSC</w:t>
      </w:r>
      <w:r>
        <w:rPr>
          <w:rFonts w:ascii="Courier New"/>
          <w:spacing w:val="11"/>
          <w:sz w:val="18"/>
        </w:rPr>
        <w:t> </w:t>
      </w:r>
      <w:r>
        <w:rPr>
          <w:rFonts w:ascii="Courier New"/>
          <w:spacing w:val="-5"/>
          <w:sz w:val="18"/>
        </w:rPr>
        <w:t>443</w:t>
      </w:r>
      <w:r>
        <w:rPr>
          <w:rFonts w:ascii="Courier New"/>
          <w:sz w:val="18"/>
        </w:rPr>
        <w:tab/>
      </w:r>
      <w:r>
        <w:rPr>
          <w:rFonts w:ascii="Courier New"/>
          <w:spacing w:val="-2"/>
          <w:sz w:val="18"/>
        </w:rPr>
        <w:t>REPORTABLE</w:t>
      </w:r>
    </w:p>
    <w:p>
      <w:pPr>
        <w:spacing w:line="302" w:lineRule="auto" w:before="52"/>
        <w:ind w:left="5062" w:right="1879" w:hanging="111"/>
        <w:jc w:val="left"/>
        <w:rPr>
          <w:rFonts w:ascii="Courier New"/>
          <w:sz w:val="18"/>
        </w:rPr>
      </w:pPr>
      <w:r>
        <w:rPr>
          <w:rFonts w:ascii="Courier New"/>
          <w:sz w:val="18"/>
        </w:rPr>
        <w:t>IN THE SUPREME COURT OF </w:t>
      </w:r>
      <w:r>
        <w:rPr>
          <w:rFonts w:ascii="Courier New"/>
          <w:sz w:val="18"/>
        </w:rPr>
        <w:t>INDIA CIVIL</w:t>
      </w:r>
      <w:r>
        <w:rPr>
          <w:rFonts w:ascii="Courier New"/>
          <w:spacing w:val="17"/>
          <w:sz w:val="18"/>
        </w:rPr>
        <w:t> </w:t>
      </w:r>
      <w:r>
        <w:rPr>
          <w:rFonts w:ascii="Courier New"/>
          <w:sz w:val="18"/>
        </w:rPr>
        <w:t>APPELLATE</w:t>
      </w:r>
      <w:r>
        <w:rPr>
          <w:rFonts w:ascii="Courier New"/>
          <w:spacing w:val="17"/>
          <w:sz w:val="18"/>
        </w:rPr>
        <w:t> </w:t>
      </w:r>
      <w:r>
        <w:rPr>
          <w:rFonts w:ascii="Courier New"/>
          <w:spacing w:val="-2"/>
          <w:sz w:val="18"/>
        </w:rPr>
        <w:t>JURISDICTION</w:t>
      </w:r>
    </w:p>
    <w:p>
      <w:pPr>
        <w:spacing w:line="203" w:lineRule="exact" w:before="0"/>
        <w:ind w:left="4952" w:right="0" w:firstLine="0"/>
        <w:jc w:val="left"/>
        <w:rPr>
          <w:rFonts w:ascii="Courier New"/>
          <w:sz w:val="18"/>
        </w:rPr>
      </w:pPr>
      <w:r>
        <w:rPr>
          <w:rFonts w:ascii="Courier New"/>
          <w:sz w:val="18"/>
        </w:rPr>
        <w:t>SLP(CIVIL)</w:t>
      </w:r>
      <w:r>
        <w:rPr>
          <w:rFonts w:ascii="Courier New"/>
          <w:spacing w:val="16"/>
          <w:sz w:val="18"/>
        </w:rPr>
        <w:t> </w:t>
      </w:r>
      <w:r>
        <w:rPr>
          <w:rFonts w:ascii="Courier New"/>
          <w:sz w:val="18"/>
        </w:rPr>
        <w:t>NO(S).</w:t>
      </w:r>
      <w:r>
        <w:rPr>
          <w:rFonts w:ascii="Courier New"/>
          <w:spacing w:val="16"/>
          <w:sz w:val="18"/>
        </w:rPr>
        <w:t> </w:t>
      </w:r>
      <w:r>
        <w:rPr>
          <w:rFonts w:ascii="Courier New"/>
          <w:sz w:val="18"/>
        </w:rPr>
        <w:t>999-1001</w:t>
      </w:r>
      <w:r>
        <w:rPr>
          <w:rFonts w:ascii="Courier New"/>
          <w:spacing w:val="16"/>
          <w:sz w:val="18"/>
        </w:rPr>
        <w:t> </w:t>
      </w:r>
      <w:r>
        <w:rPr>
          <w:rFonts w:ascii="Courier New"/>
          <w:sz w:val="18"/>
        </w:rPr>
        <w:t>OF</w:t>
      </w:r>
      <w:r>
        <w:rPr>
          <w:rFonts w:ascii="Courier New"/>
          <w:spacing w:val="16"/>
          <w:sz w:val="18"/>
        </w:rPr>
        <w:t> </w:t>
      </w:r>
      <w:r>
        <w:rPr>
          <w:rFonts w:ascii="Courier New"/>
          <w:spacing w:val="-4"/>
          <w:sz w:val="18"/>
        </w:rPr>
        <w:t>2025</w:t>
      </w: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spacing w:before="60"/>
        <w:rPr>
          <w:rFonts w:ascii="Courier New"/>
          <w:sz w:val="18"/>
        </w:rPr>
      </w:pPr>
    </w:p>
    <w:p>
      <w:pPr>
        <w:tabs>
          <w:tab w:pos="8939" w:val="left" w:leader="none"/>
        </w:tabs>
        <w:spacing w:before="0"/>
        <w:ind w:left="2072" w:right="-15" w:firstLine="0"/>
        <w:jc w:val="left"/>
        <w:rPr>
          <w:rFonts w:ascii="Courier New" w:hAnsi="Courier New"/>
          <w:sz w:val="18"/>
        </w:rPr>
      </w:pPr>
      <w:r>
        <w:rPr>
          <w:rFonts w:ascii="Courier New" w:hAnsi="Courier New"/>
          <w:sz w:val="18"/>
        </w:rPr>
        <w:t>A.</w:t>
      </w:r>
      <w:r>
        <w:rPr>
          <w:rFonts w:ascii="Courier New" w:hAnsi="Courier New"/>
          <w:spacing w:val="11"/>
          <w:sz w:val="18"/>
        </w:rPr>
        <w:t> </w:t>
      </w:r>
      <w:r>
        <w:rPr>
          <w:rFonts w:ascii="Courier New" w:hAnsi="Courier New"/>
          <w:sz w:val="18"/>
        </w:rPr>
        <w:t>JOHN</w:t>
      </w:r>
      <w:r>
        <w:rPr>
          <w:rFonts w:ascii="Courier New" w:hAnsi="Courier New"/>
          <w:spacing w:val="11"/>
          <w:sz w:val="18"/>
        </w:rPr>
        <w:t> </w:t>
      </w:r>
      <w:r>
        <w:rPr>
          <w:rFonts w:ascii="Courier New" w:hAnsi="Courier New"/>
          <w:sz w:val="18"/>
        </w:rPr>
        <w:t>KENNEDY</w:t>
      </w:r>
      <w:r>
        <w:rPr>
          <w:rFonts w:ascii="Courier New" w:hAnsi="Courier New"/>
          <w:spacing w:val="12"/>
          <w:sz w:val="18"/>
        </w:rPr>
        <w:t> </w:t>
      </w:r>
      <w:r>
        <w:rPr>
          <w:rFonts w:ascii="Courier New" w:hAnsi="Courier New"/>
          <w:spacing w:val="-4"/>
          <w:sz w:val="18"/>
        </w:rPr>
        <w:t>ETC.</w:t>
      </w:r>
      <w:r>
        <w:rPr>
          <w:rFonts w:ascii="Courier New" w:hAnsi="Courier New"/>
          <w:sz w:val="18"/>
        </w:rPr>
        <w:tab/>
      </w:r>
      <w:r>
        <w:rPr>
          <w:rFonts w:ascii="Courier New" w:hAnsi="Courier New"/>
          <w:spacing w:val="-2"/>
          <w:sz w:val="18"/>
        </w:rPr>
        <w:t>…PETITIONER(S</w:t>
      </w:r>
      <w:r>
        <w:rPr>
          <w:rFonts w:ascii="Courier New" w:hAnsi="Courier New"/>
          <w:spacing w:val="-2"/>
          <w:sz w:val="18"/>
        </w:rPr>
        <w:t>)</w:t>
      </w:r>
    </w:p>
    <w:p>
      <w:pPr>
        <w:pStyle w:val="BodyText"/>
        <w:rPr>
          <w:rFonts w:ascii="Courier New"/>
          <w:sz w:val="18"/>
        </w:rPr>
      </w:pPr>
    </w:p>
    <w:p>
      <w:pPr>
        <w:pStyle w:val="BodyText"/>
        <w:spacing w:before="158"/>
        <w:rPr>
          <w:rFonts w:ascii="Courier New"/>
          <w:sz w:val="18"/>
        </w:rPr>
      </w:pPr>
    </w:p>
    <w:p>
      <w:pPr>
        <w:spacing w:before="1"/>
        <w:ind w:left="6502" w:right="0" w:firstLine="0"/>
        <w:jc w:val="left"/>
        <w:rPr>
          <w:rFonts w:ascii="Courier New"/>
          <w:sz w:val="18"/>
        </w:rPr>
      </w:pPr>
      <w:r>
        <w:rPr>
          <w:rFonts w:ascii="Courier New"/>
          <w:spacing w:val="-2"/>
          <w:sz w:val="18"/>
        </w:rPr>
        <w:t>VERSUS</w:t>
      </w:r>
    </w:p>
    <w:p>
      <w:pPr>
        <w:pStyle w:val="BodyText"/>
        <w:rPr>
          <w:rFonts w:ascii="Courier New"/>
          <w:sz w:val="18"/>
        </w:rPr>
      </w:pPr>
    </w:p>
    <w:p>
      <w:pPr>
        <w:pStyle w:val="BodyText"/>
        <w:spacing w:before="158"/>
        <w:rPr>
          <w:rFonts w:ascii="Courier New"/>
          <w:sz w:val="18"/>
        </w:rPr>
      </w:pPr>
    </w:p>
    <w:p>
      <w:pPr>
        <w:spacing w:before="0"/>
        <w:ind w:left="2072" w:right="0" w:firstLine="0"/>
        <w:jc w:val="left"/>
        <w:rPr>
          <w:rFonts w:ascii="Courier New"/>
          <w:sz w:val="18"/>
        </w:rPr>
      </w:pPr>
      <w:r>
        <w:rPr>
          <w:rFonts w:ascii="Courier New"/>
          <w:sz w:val="18"/>
        </w:rPr>
        <w:t>STATE</w:t>
      </w:r>
      <w:r>
        <w:rPr>
          <w:rFonts w:ascii="Courier New"/>
          <w:spacing w:val="10"/>
          <w:sz w:val="18"/>
        </w:rPr>
        <w:t> </w:t>
      </w:r>
      <w:r>
        <w:rPr>
          <w:rFonts w:ascii="Courier New"/>
          <w:sz w:val="18"/>
        </w:rPr>
        <w:t>OF</w:t>
      </w:r>
      <w:r>
        <w:rPr>
          <w:rFonts w:ascii="Courier New"/>
          <w:spacing w:val="11"/>
          <w:sz w:val="18"/>
        </w:rPr>
        <w:t> </w:t>
      </w:r>
      <w:r>
        <w:rPr>
          <w:rFonts w:ascii="Courier New"/>
          <w:sz w:val="18"/>
        </w:rPr>
        <w:t>TAMIL</w:t>
      </w:r>
      <w:r>
        <w:rPr>
          <w:rFonts w:ascii="Courier New"/>
          <w:spacing w:val="10"/>
          <w:sz w:val="18"/>
        </w:rPr>
        <w:t> </w:t>
      </w:r>
      <w:r>
        <w:rPr>
          <w:rFonts w:ascii="Courier New"/>
          <w:spacing w:val="-4"/>
          <w:sz w:val="18"/>
        </w:rPr>
        <w:t>NADU</w:t>
      </w:r>
    </w:p>
    <w:p>
      <w:pPr>
        <w:tabs>
          <w:tab w:pos="8828" w:val="left" w:leader="dot"/>
        </w:tabs>
        <w:spacing w:before="53"/>
        <w:ind w:left="2072" w:right="0" w:firstLine="0"/>
        <w:jc w:val="left"/>
        <w:rPr>
          <w:rFonts w:ascii="Courier New"/>
          <w:sz w:val="18"/>
        </w:rPr>
      </w:pPr>
      <w:r>
        <w:rPr>
          <w:rFonts w:ascii="Courier New"/>
          <w:sz w:val="18"/>
        </w:rPr>
        <w:t>AND</w:t>
      </w:r>
      <w:r>
        <w:rPr>
          <w:rFonts w:ascii="Courier New"/>
          <w:spacing w:val="11"/>
          <w:sz w:val="18"/>
        </w:rPr>
        <w:t> </w:t>
      </w:r>
      <w:r>
        <w:rPr>
          <w:rFonts w:ascii="Courier New"/>
          <w:sz w:val="18"/>
        </w:rPr>
        <w:t>OTHERS</w:t>
      </w:r>
      <w:r>
        <w:rPr>
          <w:rFonts w:ascii="Courier New"/>
          <w:spacing w:val="12"/>
          <w:sz w:val="18"/>
        </w:rPr>
        <w:t> </w:t>
      </w:r>
      <w:r>
        <w:rPr>
          <w:rFonts w:ascii="Courier New"/>
          <w:spacing w:val="-4"/>
          <w:sz w:val="18"/>
        </w:rPr>
        <w:t>ETC.</w:t>
      </w:r>
      <w:r>
        <w:rPr>
          <w:rFonts w:ascii="Courier New"/>
          <w:sz w:val="18"/>
        </w:rPr>
        <w:tab/>
      </w:r>
      <w:r>
        <w:rPr>
          <w:rFonts w:ascii="Courier New"/>
          <w:spacing w:val="-2"/>
          <w:sz w:val="18"/>
        </w:rPr>
        <w:t>RESPONDENT(S)</w:t>
      </w:r>
    </w:p>
    <w:p>
      <w:pPr>
        <w:pStyle w:val="BodyText"/>
        <w:rPr>
          <w:rFonts w:ascii="Courier New"/>
          <w:sz w:val="18"/>
        </w:rPr>
      </w:pPr>
    </w:p>
    <w:p>
      <w:pPr>
        <w:pStyle w:val="BodyText"/>
        <w:rPr>
          <w:rFonts w:ascii="Courier New"/>
          <w:sz w:val="18"/>
        </w:rPr>
      </w:pPr>
    </w:p>
    <w:p>
      <w:pPr>
        <w:pStyle w:val="BodyText"/>
        <w:rPr>
          <w:rFonts w:ascii="Courier New"/>
          <w:sz w:val="18"/>
        </w:rPr>
      </w:pPr>
    </w:p>
    <w:p>
      <w:pPr>
        <w:pStyle w:val="BodyText"/>
        <w:spacing w:before="7"/>
        <w:rPr>
          <w:rFonts w:ascii="Courier New"/>
          <w:sz w:val="18"/>
        </w:rPr>
      </w:pPr>
    </w:p>
    <w:p>
      <w:pPr>
        <w:spacing w:before="0"/>
        <w:ind w:left="2633" w:right="0" w:firstLine="0"/>
        <w:jc w:val="center"/>
        <w:rPr>
          <w:rFonts w:ascii="Courier New"/>
          <w:sz w:val="18"/>
        </w:rPr>
      </w:pPr>
      <w:r>
        <w:rPr>
          <w:rFonts w:ascii="Courier New"/>
          <w:spacing w:val="-2"/>
          <w:sz w:val="18"/>
        </w:rPr>
        <w:t>ORDER</w:t>
      </w:r>
    </w:p>
    <w:p>
      <w:pPr>
        <w:pStyle w:val="BodyText"/>
        <w:spacing w:before="96"/>
        <w:rPr>
          <w:rFonts w:ascii="Courier New"/>
        </w:rPr>
      </w:pPr>
    </w:p>
    <w:p>
      <w:pPr>
        <w:pStyle w:val="BodyText"/>
        <w:ind w:left="23"/>
      </w:pPr>
      <w:r>
        <w:rPr/>
        <w:t>Mehta,</w:t>
      </w:r>
      <w:r>
        <w:rPr>
          <w:spacing w:val="-8"/>
        </w:rPr>
        <w:t> </w:t>
      </w:r>
      <w:r>
        <w:rPr>
          <w:spacing w:val="-5"/>
        </w:rPr>
        <w:t>J.</w:t>
      </w:r>
    </w:p>
    <w:p>
      <w:pPr>
        <w:pStyle w:val="BodyText"/>
        <w:spacing w:before="116"/>
      </w:pPr>
    </w:p>
    <w:p>
      <w:pPr>
        <w:pStyle w:val="ListParagraph"/>
        <w:numPr>
          <w:ilvl w:val="0"/>
          <w:numId w:val="1"/>
        </w:numPr>
        <w:tabs>
          <w:tab w:pos="234" w:val="left" w:leader="none"/>
        </w:tabs>
        <w:spacing w:line="295" w:lineRule="auto" w:before="0" w:after="0"/>
        <w:ind w:left="23" w:right="709" w:firstLine="0"/>
        <w:jc w:val="both"/>
        <w:rPr>
          <w:sz w:val="22"/>
        </w:rPr>
      </w:pPr>
      <w:r>
        <w:rPr>
          <w:sz w:val="22"/>
        </w:rPr>
        <w:t>These petitions raise two important issues for our consideration. The first being the preservation of Reserve Forests, Wildlife Sanctuaries and Tiger Reserves in the State of Tamil Nadu and the other being the claim of the petitioners, being the displaced tea estate workers, claiming rehabilitation pursuant to their eviction from an erstwhile tea estate by the name of Bombay Burma Trading Corporation Limited [for short ‘BBTCL’] located in 10:38:01 IST Reason:</w:t>
      </w:r>
    </w:p>
    <w:p>
      <w:pPr>
        <w:pStyle w:val="BodyText"/>
        <w:spacing w:before="61"/>
      </w:pPr>
    </w:p>
    <w:p>
      <w:pPr>
        <w:pStyle w:val="BodyText"/>
        <w:spacing w:line="295" w:lineRule="auto"/>
        <w:ind w:left="743" w:right="1424"/>
        <w:jc w:val="both"/>
      </w:pPr>
      <w:r>
        <w:rPr/>
        <w:t>Singampatti, Tamil Nadu, after the same was declared to be a Reserved Forest, </w:t>
      </w:r>
      <w:r>
        <w:rPr>
          <w:spacing w:val="12"/>
        </w:rPr>
        <w:t>Wildlife</w:t>
      </w:r>
      <w:r>
        <w:rPr>
          <w:spacing w:val="12"/>
        </w:rPr>
        <w:t> Sanctuary</w:t>
      </w:r>
      <w:r>
        <w:rPr>
          <w:spacing w:val="12"/>
        </w:rPr>
        <w:t> </w:t>
      </w:r>
      <w:r>
        <w:rPr>
          <w:spacing w:val="9"/>
        </w:rPr>
        <w:t>and</w:t>
      </w:r>
      <w:r>
        <w:rPr>
          <w:spacing w:val="9"/>
        </w:rPr>
        <w:t> </w:t>
      </w:r>
      <w:r>
        <w:rPr>
          <w:spacing w:val="11"/>
        </w:rPr>
        <w:t>Tiger</w:t>
      </w:r>
      <w:r>
        <w:rPr>
          <w:spacing w:val="11"/>
        </w:rPr>
        <w:t> </w:t>
      </w:r>
      <w:r>
        <w:rPr>
          <w:spacing w:val="12"/>
        </w:rPr>
        <w:t>Reserve</w:t>
      </w:r>
      <w:r>
        <w:rPr>
          <w:spacing w:val="12"/>
        </w:rPr>
        <w:t> </w:t>
      </w:r>
      <w:r>
        <w:rPr>
          <w:spacing w:val="11"/>
        </w:rPr>
        <w:t>under</w:t>
      </w:r>
      <w:r>
        <w:rPr>
          <w:spacing w:val="11"/>
        </w:rPr>
        <w:t> </w:t>
      </w:r>
      <w:r>
        <w:rPr>
          <w:spacing w:val="9"/>
        </w:rPr>
        <w:t>the</w:t>
      </w:r>
      <w:r>
        <w:rPr>
          <w:spacing w:val="9"/>
        </w:rPr>
        <w:t> </w:t>
      </w:r>
      <w:r>
        <w:rPr>
          <w:spacing w:val="12"/>
        </w:rPr>
        <w:t>provisions</w:t>
      </w:r>
      <w:r>
        <w:rPr>
          <w:spacing w:val="12"/>
        </w:rPr>
        <w:t> </w:t>
      </w:r>
      <w:r>
        <w:rPr/>
        <w:t>of </w:t>
      </w:r>
      <w:r>
        <w:rPr>
          <w:spacing w:val="9"/>
        </w:rPr>
        <w:t>the</w:t>
      </w:r>
      <w:r>
        <w:rPr>
          <w:spacing w:val="9"/>
        </w:rPr>
        <w:t> </w:t>
      </w:r>
      <w:r>
        <w:rPr>
          <w:spacing w:val="10"/>
        </w:rPr>
        <w:t>Wild</w:t>
      </w:r>
      <w:r>
        <w:rPr>
          <w:spacing w:val="10"/>
        </w:rPr>
        <w:t> </w:t>
      </w:r>
      <w:r>
        <w:rPr>
          <w:spacing w:val="14"/>
        </w:rPr>
        <w:t>Life </w:t>
      </w:r>
      <w:r>
        <w:rPr>
          <w:spacing w:val="11"/>
        </w:rPr>
        <w:t>(Protection)</w:t>
      </w:r>
      <w:r>
        <w:rPr>
          <w:spacing w:val="11"/>
        </w:rPr>
        <w:t> </w:t>
      </w:r>
      <w:r>
        <w:rPr>
          <w:spacing w:val="9"/>
        </w:rPr>
        <w:t>Act,</w:t>
      </w:r>
      <w:r>
        <w:rPr>
          <w:spacing w:val="9"/>
        </w:rPr>
        <w:t> 1972</w:t>
      </w:r>
      <w:r>
        <w:rPr>
          <w:spacing w:val="9"/>
        </w:rPr>
        <w:t> [for</w:t>
      </w:r>
      <w:r>
        <w:rPr>
          <w:spacing w:val="9"/>
        </w:rPr>
        <w:t> </w:t>
      </w:r>
      <w:r>
        <w:rPr>
          <w:spacing w:val="10"/>
        </w:rPr>
        <w:t>short</w:t>
      </w:r>
      <w:r>
        <w:rPr>
          <w:spacing w:val="10"/>
        </w:rPr>
        <w:t> </w:t>
      </w:r>
      <w:r>
        <w:rPr>
          <w:spacing w:val="11"/>
        </w:rPr>
        <w:t>‘Wildlife</w:t>
      </w:r>
      <w:r>
        <w:rPr>
          <w:spacing w:val="11"/>
        </w:rPr>
        <w:t> </w:t>
      </w:r>
      <w:r>
        <w:rPr>
          <w:spacing w:val="10"/>
        </w:rPr>
        <w:t>Act’].</w:t>
      </w:r>
      <w:r>
        <w:rPr>
          <w:spacing w:val="10"/>
        </w:rPr>
        <w:t> </w:t>
      </w:r>
      <w:r>
        <w:rPr/>
        <w:t>The </w:t>
      </w:r>
      <w:r>
        <w:rPr>
          <w:spacing w:val="11"/>
        </w:rPr>
        <w:t>present</w:t>
      </w:r>
      <w:r>
        <w:rPr>
          <w:spacing w:val="11"/>
        </w:rPr>
        <w:t> petitioners</w:t>
      </w:r>
      <w:r>
        <w:rPr>
          <w:spacing w:val="11"/>
        </w:rPr>
        <w:t> </w:t>
      </w:r>
      <w:r>
        <w:rPr>
          <w:spacing w:val="13"/>
        </w:rPr>
        <w:t>had </w:t>
      </w:r>
      <w:r>
        <w:rPr/>
        <w:t>approached the High Court of Madras by filing various writ petitions, seeking a direction for providing them employment, rehabilitation, and compensation, etc. Another set of writ petitions (Public Interest Litigations), which were analogously </w:t>
      </w:r>
      <w:r>
        <w:rPr>
          <w:spacing w:val="9"/>
        </w:rPr>
        <w:t>heard, raised </w:t>
      </w:r>
      <w:r>
        <w:rPr/>
        <w:t>the </w:t>
      </w:r>
      <w:r>
        <w:rPr>
          <w:spacing w:val="9"/>
        </w:rPr>
        <w:t>important issues </w:t>
      </w:r>
      <w:r>
        <w:rPr/>
        <w:t>of </w:t>
      </w:r>
      <w:r>
        <w:rPr>
          <w:spacing w:val="10"/>
        </w:rPr>
        <w:t>restoration </w:t>
      </w:r>
      <w:r>
        <w:rPr/>
        <w:t>of the </w:t>
      </w:r>
      <w:r>
        <w:rPr>
          <w:spacing w:val="9"/>
        </w:rPr>
        <w:t>degraded forest </w:t>
      </w:r>
      <w:r>
        <w:rPr>
          <w:spacing w:val="11"/>
        </w:rPr>
        <w:t>areas </w:t>
      </w:r>
      <w:r>
        <w:rPr/>
        <w:t>pursuant to their liberation from the cultivations. All the writ petitions were disposed of/closed by the High Cour vide a common order dated 3rd December, 2024, giving general directions for the rehabilitation of the erstwhile tea estate workers, leaving</w:t>
      </w:r>
      <w:r>
        <w:rPr>
          <w:spacing w:val="40"/>
        </w:rPr>
        <w:t> </w:t>
      </w:r>
      <w:r>
        <w:rPr/>
        <w:t>the issue of paramount importance, i.e., conservation and restoration of the forest areas inconclusive.</w:t>
      </w:r>
    </w:p>
    <w:p>
      <w:pPr>
        <w:pStyle w:val="BodyText"/>
        <w:spacing w:after="0" w:line="295" w:lineRule="auto"/>
        <w:jc w:val="both"/>
        <w:sectPr>
          <w:headerReference w:type="default" r:id="rId5"/>
          <w:footerReference w:type="default" r:id="rId6"/>
          <w:type w:val="continuous"/>
          <w:pgSz w:w="11900" w:h="15840"/>
          <w:pgMar w:header="726" w:footer="672" w:top="960" w:bottom="860" w:left="1417" w:right="0"/>
          <w:pgNumType w:start="1"/>
        </w:sectPr>
      </w:pPr>
    </w:p>
    <w:p>
      <w:pPr>
        <w:pStyle w:val="ListParagraph"/>
        <w:numPr>
          <w:ilvl w:val="0"/>
          <w:numId w:val="1"/>
        </w:numPr>
        <w:tabs>
          <w:tab w:pos="258" w:val="left" w:leader="none"/>
        </w:tabs>
        <w:spacing w:line="295" w:lineRule="auto" w:before="91" w:after="0"/>
        <w:ind w:left="23" w:right="718" w:firstLine="0"/>
        <w:jc w:val="both"/>
        <w:rPr>
          <w:sz w:val="22"/>
        </w:rPr>
      </w:pPr>
      <w:r>
        <w:rPr>
          <w:sz w:val="22"/>
        </w:rPr>
        <w:t>Needless</w:t>
      </w:r>
      <w:r>
        <w:rPr>
          <w:spacing w:val="-2"/>
          <w:sz w:val="22"/>
        </w:rPr>
        <w:t> </w:t>
      </w:r>
      <w:r>
        <w:rPr>
          <w:sz w:val="22"/>
        </w:rPr>
        <w:t>to</w:t>
      </w:r>
      <w:r>
        <w:rPr>
          <w:spacing w:val="-2"/>
          <w:sz w:val="22"/>
        </w:rPr>
        <w:t> </w:t>
      </w:r>
      <w:r>
        <w:rPr>
          <w:sz w:val="22"/>
        </w:rPr>
        <w:t>say,</w:t>
      </w:r>
      <w:r>
        <w:rPr>
          <w:spacing w:val="-2"/>
          <w:sz w:val="22"/>
        </w:rPr>
        <w:t> </w:t>
      </w:r>
      <w:r>
        <w:rPr>
          <w:sz w:val="22"/>
        </w:rPr>
        <w:t>that</w:t>
      </w:r>
      <w:r>
        <w:rPr>
          <w:spacing w:val="-2"/>
          <w:sz w:val="22"/>
        </w:rPr>
        <w:t> </w:t>
      </w:r>
      <w:r>
        <w:rPr>
          <w:sz w:val="22"/>
        </w:rPr>
        <w:t>the</w:t>
      </w:r>
      <w:r>
        <w:rPr>
          <w:spacing w:val="-2"/>
          <w:sz w:val="22"/>
        </w:rPr>
        <w:t> </w:t>
      </w:r>
      <w:r>
        <w:rPr>
          <w:sz w:val="22"/>
        </w:rPr>
        <w:t>forests</w:t>
      </w:r>
      <w:r>
        <w:rPr>
          <w:spacing w:val="-2"/>
          <w:sz w:val="22"/>
        </w:rPr>
        <w:t> </w:t>
      </w:r>
      <w:r>
        <w:rPr>
          <w:sz w:val="22"/>
        </w:rPr>
        <w:t>form</w:t>
      </w:r>
      <w:r>
        <w:rPr>
          <w:spacing w:val="-2"/>
          <w:sz w:val="22"/>
        </w:rPr>
        <w:t> </w:t>
      </w:r>
      <w:r>
        <w:rPr>
          <w:sz w:val="22"/>
        </w:rPr>
        <w:t>the</w:t>
      </w:r>
      <w:r>
        <w:rPr>
          <w:spacing w:val="-2"/>
          <w:sz w:val="22"/>
        </w:rPr>
        <w:t> </w:t>
      </w:r>
      <w:r>
        <w:rPr>
          <w:sz w:val="22"/>
        </w:rPr>
        <w:t>lungs</w:t>
      </w:r>
      <w:r>
        <w:rPr>
          <w:spacing w:val="-2"/>
          <w:sz w:val="22"/>
        </w:rPr>
        <w:t> </w:t>
      </w:r>
      <w:r>
        <w:rPr>
          <w:sz w:val="22"/>
        </w:rPr>
        <w:t>of</w:t>
      </w:r>
      <w:r>
        <w:rPr>
          <w:spacing w:val="-2"/>
          <w:sz w:val="22"/>
        </w:rPr>
        <w:t> </w:t>
      </w:r>
      <w:r>
        <w:rPr>
          <w:sz w:val="22"/>
        </w:rPr>
        <w:t>the</w:t>
      </w:r>
      <w:r>
        <w:rPr>
          <w:spacing w:val="-2"/>
          <w:sz w:val="22"/>
        </w:rPr>
        <w:t> </w:t>
      </w:r>
      <w:r>
        <w:rPr>
          <w:sz w:val="22"/>
        </w:rPr>
        <w:t>ecosystem,</w:t>
      </w:r>
      <w:r>
        <w:rPr>
          <w:spacing w:val="-2"/>
          <w:sz w:val="22"/>
        </w:rPr>
        <w:t> </w:t>
      </w:r>
      <w:r>
        <w:rPr>
          <w:sz w:val="22"/>
        </w:rPr>
        <w:t>and</w:t>
      </w:r>
      <w:r>
        <w:rPr>
          <w:spacing w:val="-2"/>
          <w:sz w:val="22"/>
        </w:rPr>
        <w:t> </w:t>
      </w:r>
      <w:r>
        <w:rPr>
          <w:sz w:val="22"/>
        </w:rPr>
        <w:t>any</w:t>
      </w:r>
      <w:r>
        <w:rPr>
          <w:spacing w:val="-2"/>
          <w:sz w:val="22"/>
        </w:rPr>
        <w:t> </w:t>
      </w:r>
      <w:r>
        <w:rPr>
          <w:sz w:val="22"/>
        </w:rPr>
        <w:t>depletion/destruction</w:t>
      </w:r>
      <w:r>
        <w:rPr>
          <w:spacing w:val="-2"/>
          <w:sz w:val="22"/>
        </w:rPr>
        <w:t> </w:t>
      </w:r>
      <w:r>
        <w:rPr>
          <w:sz w:val="22"/>
        </w:rPr>
        <w:t>of forest</w:t>
      </w:r>
      <w:r>
        <w:rPr>
          <w:spacing w:val="-3"/>
          <w:sz w:val="22"/>
        </w:rPr>
        <w:t> </w:t>
      </w:r>
      <w:r>
        <w:rPr>
          <w:sz w:val="22"/>
        </w:rPr>
        <w:t>areas</w:t>
      </w:r>
      <w:r>
        <w:rPr>
          <w:spacing w:val="-3"/>
          <w:sz w:val="22"/>
        </w:rPr>
        <w:t> </w:t>
      </w:r>
      <w:r>
        <w:rPr>
          <w:sz w:val="22"/>
        </w:rPr>
        <w:t>has</w:t>
      </w:r>
      <w:r>
        <w:rPr>
          <w:spacing w:val="-3"/>
          <w:sz w:val="22"/>
        </w:rPr>
        <w:t> </w:t>
      </w:r>
      <w:r>
        <w:rPr>
          <w:sz w:val="22"/>
        </w:rPr>
        <w:t>a</w:t>
      </w:r>
      <w:r>
        <w:rPr>
          <w:spacing w:val="-3"/>
          <w:sz w:val="22"/>
        </w:rPr>
        <w:t> </w:t>
      </w:r>
      <w:r>
        <w:rPr>
          <w:sz w:val="22"/>
        </w:rPr>
        <w:t>direct</w:t>
      </w:r>
      <w:r>
        <w:rPr>
          <w:spacing w:val="-3"/>
          <w:sz w:val="22"/>
        </w:rPr>
        <w:t> </w:t>
      </w:r>
      <w:r>
        <w:rPr>
          <w:sz w:val="22"/>
        </w:rPr>
        <w:t>impact</w:t>
      </w:r>
      <w:r>
        <w:rPr>
          <w:spacing w:val="-3"/>
          <w:sz w:val="22"/>
        </w:rPr>
        <w:t> </w:t>
      </w:r>
      <w:r>
        <w:rPr>
          <w:sz w:val="22"/>
        </w:rPr>
        <w:t>on</w:t>
      </w:r>
      <w:r>
        <w:rPr>
          <w:spacing w:val="-3"/>
          <w:sz w:val="22"/>
        </w:rPr>
        <w:t> </w:t>
      </w:r>
      <w:r>
        <w:rPr>
          <w:sz w:val="22"/>
        </w:rPr>
        <w:t>the</w:t>
      </w:r>
      <w:r>
        <w:rPr>
          <w:spacing w:val="-3"/>
          <w:sz w:val="22"/>
        </w:rPr>
        <w:t> </w:t>
      </w:r>
      <w:r>
        <w:rPr>
          <w:sz w:val="22"/>
        </w:rPr>
        <w:t>entire</w:t>
      </w:r>
      <w:r>
        <w:rPr>
          <w:spacing w:val="-3"/>
          <w:sz w:val="22"/>
        </w:rPr>
        <w:t> </w:t>
      </w:r>
      <w:r>
        <w:rPr>
          <w:sz w:val="22"/>
        </w:rPr>
        <w:t>environment.</w:t>
      </w:r>
      <w:r>
        <w:rPr>
          <w:spacing w:val="-3"/>
          <w:sz w:val="22"/>
        </w:rPr>
        <w:t> </w:t>
      </w:r>
      <w:r>
        <w:rPr>
          <w:sz w:val="22"/>
        </w:rPr>
        <w:t>The</w:t>
      </w:r>
      <w:r>
        <w:rPr>
          <w:spacing w:val="-3"/>
          <w:sz w:val="22"/>
        </w:rPr>
        <w:t> </w:t>
      </w:r>
      <w:r>
        <w:rPr>
          <w:sz w:val="22"/>
        </w:rPr>
        <w:t>world</w:t>
      </w:r>
      <w:r>
        <w:rPr>
          <w:spacing w:val="-3"/>
          <w:sz w:val="22"/>
        </w:rPr>
        <w:t> </w:t>
      </w:r>
      <w:r>
        <w:rPr>
          <w:sz w:val="22"/>
        </w:rPr>
        <w:t>at</w:t>
      </w:r>
      <w:r>
        <w:rPr>
          <w:spacing w:val="-3"/>
          <w:sz w:val="22"/>
        </w:rPr>
        <w:t> </w:t>
      </w:r>
      <w:r>
        <w:rPr>
          <w:sz w:val="22"/>
        </w:rPr>
        <w:t>large</w:t>
      </w:r>
      <w:r>
        <w:rPr>
          <w:spacing w:val="-3"/>
          <w:sz w:val="22"/>
        </w:rPr>
        <w:t> </w:t>
      </w:r>
      <w:r>
        <w:rPr>
          <w:sz w:val="22"/>
        </w:rPr>
        <w:t>is</w:t>
      </w:r>
      <w:r>
        <w:rPr>
          <w:spacing w:val="-3"/>
          <w:sz w:val="22"/>
        </w:rPr>
        <w:t> </w:t>
      </w:r>
      <w:r>
        <w:rPr>
          <w:sz w:val="22"/>
        </w:rPr>
        <w:t>facing</w:t>
      </w:r>
      <w:r>
        <w:rPr>
          <w:spacing w:val="-3"/>
          <w:sz w:val="22"/>
        </w:rPr>
        <w:t> </w:t>
      </w:r>
      <w:r>
        <w:rPr>
          <w:sz w:val="22"/>
        </w:rPr>
        <w:t>the</w:t>
      </w:r>
      <w:r>
        <w:rPr>
          <w:spacing w:val="-3"/>
          <w:sz w:val="22"/>
        </w:rPr>
        <w:t> </w:t>
      </w:r>
      <w:r>
        <w:rPr>
          <w:sz w:val="22"/>
        </w:rPr>
        <w:t>calamities caused</w:t>
      </w:r>
      <w:r>
        <w:rPr>
          <w:spacing w:val="-1"/>
          <w:sz w:val="22"/>
        </w:rPr>
        <w:t> </w:t>
      </w:r>
      <w:r>
        <w:rPr>
          <w:sz w:val="22"/>
        </w:rPr>
        <w:t>by</w:t>
      </w:r>
      <w:r>
        <w:rPr>
          <w:spacing w:val="-1"/>
          <w:sz w:val="22"/>
        </w:rPr>
        <w:t> </w:t>
      </w:r>
      <w:r>
        <w:rPr>
          <w:sz w:val="22"/>
        </w:rPr>
        <w:t>the</w:t>
      </w:r>
      <w:r>
        <w:rPr>
          <w:spacing w:val="-1"/>
          <w:sz w:val="22"/>
        </w:rPr>
        <w:t> </w:t>
      </w:r>
      <w:r>
        <w:rPr>
          <w:sz w:val="22"/>
        </w:rPr>
        <w:t>climate</w:t>
      </w:r>
      <w:r>
        <w:rPr>
          <w:spacing w:val="-1"/>
          <w:sz w:val="22"/>
        </w:rPr>
        <w:t> </w:t>
      </w:r>
      <w:r>
        <w:rPr>
          <w:sz w:val="22"/>
        </w:rPr>
        <w:t>change,</w:t>
      </w:r>
      <w:r>
        <w:rPr>
          <w:spacing w:val="-1"/>
          <w:sz w:val="22"/>
        </w:rPr>
        <w:t> </w:t>
      </w:r>
      <w:r>
        <w:rPr>
          <w:sz w:val="22"/>
        </w:rPr>
        <w:t>and</w:t>
      </w:r>
      <w:r>
        <w:rPr>
          <w:spacing w:val="-1"/>
          <w:sz w:val="22"/>
        </w:rPr>
        <w:t> </w:t>
      </w:r>
      <w:r>
        <w:rPr>
          <w:sz w:val="22"/>
        </w:rPr>
        <w:t>the</w:t>
      </w:r>
      <w:r>
        <w:rPr>
          <w:spacing w:val="-1"/>
          <w:sz w:val="22"/>
        </w:rPr>
        <w:t> </w:t>
      </w:r>
      <w:r>
        <w:rPr>
          <w:sz w:val="22"/>
        </w:rPr>
        <w:t>primary</w:t>
      </w:r>
      <w:r>
        <w:rPr>
          <w:spacing w:val="-1"/>
          <w:sz w:val="22"/>
        </w:rPr>
        <w:t> </w:t>
      </w:r>
      <w:r>
        <w:rPr>
          <w:sz w:val="22"/>
        </w:rPr>
        <w:t>culprit</w:t>
      </w:r>
      <w:r>
        <w:rPr>
          <w:spacing w:val="-1"/>
          <w:sz w:val="22"/>
        </w:rPr>
        <w:t> </w:t>
      </w:r>
      <w:r>
        <w:rPr>
          <w:sz w:val="22"/>
        </w:rPr>
        <w:t>behind</w:t>
      </w:r>
      <w:r>
        <w:rPr>
          <w:spacing w:val="-1"/>
          <w:sz w:val="22"/>
        </w:rPr>
        <w:t> </w:t>
      </w:r>
      <w:r>
        <w:rPr>
          <w:sz w:val="22"/>
        </w:rPr>
        <w:t>this</w:t>
      </w:r>
      <w:r>
        <w:rPr>
          <w:spacing w:val="-1"/>
          <w:sz w:val="22"/>
        </w:rPr>
        <w:t> </w:t>
      </w:r>
      <w:r>
        <w:rPr>
          <w:sz w:val="22"/>
        </w:rPr>
        <w:t>is</w:t>
      </w:r>
      <w:r>
        <w:rPr>
          <w:spacing w:val="-1"/>
          <w:sz w:val="22"/>
        </w:rPr>
        <w:t> </w:t>
      </w:r>
      <w:r>
        <w:rPr>
          <w:sz w:val="22"/>
        </w:rPr>
        <w:t>the</w:t>
      </w:r>
      <w:r>
        <w:rPr>
          <w:spacing w:val="-1"/>
          <w:sz w:val="22"/>
        </w:rPr>
        <w:t> </w:t>
      </w:r>
      <w:r>
        <w:rPr>
          <w:sz w:val="22"/>
        </w:rPr>
        <w:t>depleting</w:t>
      </w:r>
      <w:r>
        <w:rPr>
          <w:spacing w:val="-1"/>
          <w:sz w:val="22"/>
        </w:rPr>
        <w:t> </w:t>
      </w:r>
      <w:r>
        <w:rPr>
          <w:sz w:val="22"/>
        </w:rPr>
        <w:t>forest</w:t>
      </w:r>
      <w:r>
        <w:rPr>
          <w:spacing w:val="-1"/>
          <w:sz w:val="22"/>
        </w:rPr>
        <w:t> </w:t>
      </w:r>
      <w:r>
        <w:rPr>
          <w:sz w:val="22"/>
        </w:rPr>
        <w:t>cover</w:t>
      </w:r>
      <w:r>
        <w:rPr>
          <w:spacing w:val="-1"/>
          <w:sz w:val="22"/>
        </w:rPr>
        <w:t> </w:t>
      </w:r>
      <w:r>
        <w:rPr>
          <w:sz w:val="22"/>
        </w:rPr>
        <w:t>owing to a myriad of issues including rapid urbanization, unchecked industrialization, encroachments, etc.</w:t>
      </w:r>
    </w:p>
    <w:p>
      <w:pPr>
        <w:pStyle w:val="BodyText"/>
        <w:spacing w:before="60"/>
      </w:pPr>
    </w:p>
    <w:p>
      <w:pPr>
        <w:pStyle w:val="ListParagraph"/>
        <w:numPr>
          <w:ilvl w:val="0"/>
          <w:numId w:val="1"/>
        </w:numPr>
        <w:tabs>
          <w:tab w:pos="260" w:val="left" w:leader="none"/>
        </w:tabs>
        <w:spacing w:line="295" w:lineRule="auto" w:before="0" w:after="0"/>
        <w:ind w:left="23" w:right="712" w:firstLine="0"/>
        <w:jc w:val="both"/>
        <w:rPr>
          <w:sz w:val="22"/>
        </w:rPr>
      </w:pPr>
      <w:r>
        <w:rPr>
          <w:sz w:val="22"/>
        </w:rPr>
        <w:t>This Court in the continuing mandamus of T.N. Godavarman Thirumalpad v. Union of India and Ors. (2006) 1 SCC 1, has repeatedly issued mandatory directions to the States and other authorities to ensure that the forest cover is maintained/restored and any efforts to encroach thereupon are dealt with by iron hands.</w:t>
      </w:r>
    </w:p>
    <w:p>
      <w:pPr>
        <w:pStyle w:val="BodyText"/>
        <w:spacing w:before="60"/>
      </w:pPr>
    </w:p>
    <w:p>
      <w:pPr>
        <w:pStyle w:val="ListParagraph"/>
        <w:numPr>
          <w:ilvl w:val="0"/>
          <w:numId w:val="1"/>
        </w:numPr>
        <w:tabs>
          <w:tab w:pos="262" w:val="left" w:leader="none"/>
        </w:tabs>
        <w:spacing w:line="295" w:lineRule="auto" w:before="0" w:after="0"/>
        <w:ind w:left="23" w:right="710" w:firstLine="0"/>
        <w:jc w:val="both"/>
        <w:rPr>
          <w:sz w:val="22"/>
        </w:rPr>
      </w:pPr>
      <w:r>
        <w:rPr>
          <w:sz w:val="22"/>
        </w:rPr>
        <w:t>India has a forest cover of about 7,15,343 sq. km as per ‘India State of Forest Report 2023’, </w:t>
      </w:r>
      <w:r>
        <w:rPr>
          <w:sz w:val="22"/>
        </w:rPr>
        <w:t>which is about 21.76% (approx.) of the total landmass of the country. Nepal has 44.74% (approx.), Bhutan has 72% (approx.), and Sri Lanka has 29% (approx.) forest cover. Hence, clearly the forest cover in India is not adequate and needs to be enhanced. A recent report, submitted by the Ministry of Environment and Forests, in proceedings before the National Green Tribunal indicates that almost 13000 sq. kms. area of forests is under encroachment. This Court has time and again taken up this issue and passed mandatory directions to remove the encroachments from the forest areas and to curb any attempt to reduce the forest cover in the country.</w:t>
      </w:r>
    </w:p>
    <w:p>
      <w:pPr>
        <w:pStyle w:val="BodyText"/>
        <w:spacing w:before="63"/>
      </w:pPr>
    </w:p>
    <w:p>
      <w:pPr>
        <w:pStyle w:val="ListParagraph"/>
        <w:numPr>
          <w:ilvl w:val="0"/>
          <w:numId w:val="1"/>
        </w:numPr>
        <w:tabs>
          <w:tab w:pos="261" w:val="left" w:leader="none"/>
        </w:tabs>
        <w:spacing w:line="295" w:lineRule="auto" w:before="0" w:after="0"/>
        <w:ind w:left="23" w:right="710" w:firstLine="0"/>
        <w:jc w:val="both"/>
        <w:rPr>
          <w:sz w:val="22"/>
        </w:rPr>
      </w:pPr>
      <w:r>
        <w:rPr>
          <w:sz w:val="22"/>
        </w:rPr>
        <w:t>In this context, we would like to quote the following excerpts from this Court’s judgment in the case of State of Telangana and Others v. Mohd. Abdul Qasim(Dead) Per LRs (2024) 6 SCC 461, authored by Hon. M.M. Sundaresh, J. :-</w:t>
      </w:r>
    </w:p>
    <w:p>
      <w:pPr>
        <w:pStyle w:val="BodyText"/>
        <w:spacing w:before="59"/>
      </w:pPr>
    </w:p>
    <w:p>
      <w:pPr>
        <w:pStyle w:val="BodyText"/>
        <w:spacing w:line="295" w:lineRule="auto"/>
        <w:ind w:left="743" w:right="1433"/>
        <w:jc w:val="both"/>
      </w:pPr>
      <w:r>
        <w:rPr/>
        <w:t>“29. Forests not only provide for and facilitate the sustenance of life, but they also continue to protect and foster it. They continue to tackle the ever-increasing carbon dioxide</w:t>
      </w:r>
      <w:r>
        <w:rPr>
          <w:spacing w:val="-1"/>
        </w:rPr>
        <w:t> </w:t>
      </w:r>
      <w:r>
        <w:rPr/>
        <w:t>emissions</w:t>
      </w:r>
      <w:r>
        <w:rPr>
          <w:spacing w:val="-1"/>
        </w:rPr>
        <w:t> </w:t>
      </w:r>
      <w:r>
        <w:rPr/>
        <w:t>produced</w:t>
      </w:r>
      <w:r>
        <w:rPr>
          <w:spacing w:val="-1"/>
        </w:rPr>
        <w:t> </w:t>
      </w:r>
      <w:r>
        <w:rPr/>
        <w:t>by</w:t>
      </w:r>
      <w:r>
        <w:rPr>
          <w:spacing w:val="-1"/>
        </w:rPr>
        <w:t> </w:t>
      </w:r>
      <w:r>
        <w:rPr/>
        <w:t>humans</w:t>
      </w:r>
      <w:r>
        <w:rPr>
          <w:spacing w:val="-1"/>
        </w:rPr>
        <w:t> </w:t>
      </w:r>
      <w:r>
        <w:rPr/>
        <w:t>in</w:t>
      </w:r>
      <w:r>
        <w:rPr>
          <w:spacing w:val="-1"/>
        </w:rPr>
        <w:t> </w:t>
      </w:r>
      <w:r>
        <w:rPr/>
        <w:t>the</w:t>
      </w:r>
      <w:r>
        <w:rPr>
          <w:spacing w:val="-1"/>
        </w:rPr>
        <w:t> </w:t>
      </w:r>
      <w:r>
        <w:rPr/>
        <w:t>name</w:t>
      </w:r>
      <w:r>
        <w:rPr>
          <w:spacing w:val="-1"/>
        </w:rPr>
        <w:t> </w:t>
      </w:r>
      <w:r>
        <w:rPr/>
        <w:t>of</w:t>
      </w:r>
      <w:r>
        <w:rPr>
          <w:spacing w:val="-1"/>
        </w:rPr>
        <w:t> </w:t>
      </w:r>
      <w:r>
        <w:rPr/>
        <w:t>development,</w:t>
      </w:r>
      <w:r>
        <w:rPr>
          <w:spacing w:val="-1"/>
        </w:rPr>
        <w:t> </w:t>
      </w:r>
      <w:r>
        <w:rPr/>
        <w:t>while</w:t>
      </w:r>
      <w:r>
        <w:rPr>
          <w:spacing w:val="-1"/>
        </w:rPr>
        <w:t> </w:t>
      </w:r>
      <w:r>
        <w:rPr/>
        <w:t>striving</w:t>
      </w:r>
      <w:r>
        <w:rPr>
          <w:spacing w:val="-1"/>
        </w:rPr>
        <w:t> </w:t>
      </w:r>
      <w:r>
        <w:rPr/>
        <w:t>to sustain all species. Despite the unblemished, selfless and motherly service rendered by forests, man in his folly continues with their destruction, unmindful of the fact</w:t>
      </w:r>
      <w:r>
        <w:rPr>
          <w:spacing w:val="40"/>
        </w:rPr>
        <w:t> </w:t>
      </w:r>
      <w:r>
        <w:rPr/>
        <w:t>that he is inadvertently destroying himself.</w:t>
      </w:r>
    </w:p>
    <w:p>
      <w:pPr>
        <w:pStyle w:val="BodyText"/>
        <w:spacing w:before="61"/>
      </w:pPr>
    </w:p>
    <w:p>
      <w:pPr>
        <w:pStyle w:val="ListParagraph"/>
        <w:numPr>
          <w:ilvl w:val="1"/>
          <w:numId w:val="1"/>
        </w:numPr>
        <w:tabs>
          <w:tab w:pos="1116" w:val="left" w:leader="none"/>
        </w:tabs>
        <w:spacing w:line="295" w:lineRule="auto" w:before="1" w:after="0"/>
        <w:ind w:left="743" w:right="1432" w:firstLine="0"/>
        <w:jc w:val="both"/>
        <w:rPr>
          <w:sz w:val="22"/>
        </w:rPr>
      </w:pPr>
      <w:r>
        <w:rPr>
          <w:sz w:val="22"/>
        </w:rPr>
        <w:t>Consequent to the advent of agriculture, man has destroyed a significant portion of forests at his own peril. Forests serve the Earth in a myriad of ways ranging from regulating carbon emissions, aiding in soil conservation and regulating the water cycle. Water being a life source, its availability for all life forms is heavily dependent upon the aquifers created by forests.</w:t>
      </w:r>
    </w:p>
    <w:p>
      <w:pPr>
        <w:pStyle w:val="BodyText"/>
        <w:spacing w:before="60"/>
      </w:pPr>
    </w:p>
    <w:p>
      <w:pPr>
        <w:pStyle w:val="BodyText"/>
        <w:spacing w:line="295" w:lineRule="auto"/>
        <w:ind w:left="23" w:right="700"/>
        <w:jc w:val="both"/>
      </w:pPr>
      <w:r>
        <w:rPr>
          <w:spacing w:val="14"/>
        </w:rPr>
        <w:t>Forests</w:t>
      </w:r>
      <w:r>
        <w:rPr>
          <w:spacing w:val="14"/>
        </w:rPr>
        <w:t> </w:t>
      </w:r>
      <w:r>
        <w:rPr>
          <w:spacing w:val="12"/>
        </w:rPr>
        <w:t>also</w:t>
      </w:r>
      <w:r>
        <w:rPr>
          <w:spacing w:val="12"/>
        </w:rPr>
        <w:t> play</w:t>
      </w:r>
      <w:r>
        <w:rPr>
          <w:spacing w:val="12"/>
        </w:rPr>
        <w:t> </w:t>
      </w:r>
      <w:r>
        <w:rPr/>
        <w:t>a </w:t>
      </w:r>
      <w:r>
        <w:rPr>
          <w:spacing w:val="14"/>
        </w:rPr>
        <w:t>pivotal</w:t>
      </w:r>
      <w:r>
        <w:rPr>
          <w:spacing w:val="14"/>
        </w:rPr>
        <w:t> </w:t>
      </w:r>
      <w:r>
        <w:rPr>
          <w:spacing w:val="12"/>
        </w:rPr>
        <w:t>role</w:t>
      </w:r>
      <w:r>
        <w:rPr>
          <w:spacing w:val="12"/>
        </w:rPr>
        <w:t> </w:t>
      </w:r>
      <w:r>
        <w:rPr/>
        <w:t>in </w:t>
      </w:r>
      <w:r>
        <w:rPr>
          <w:spacing w:val="15"/>
        </w:rPr>
        <w:t>controlling</w:t>
      </w:r>
      <w:r>
        <w:rPr>
          <w:spacing w:val="15"/>
        </w:rPr>
        <w:t> pollution,</w:t>
      </w:r>
      <w:r>
        <w:rPr>
          <w:spacing w:val="15"/>
        </w:rPr>
        <w:t> </w:t>
      </w:r>
      <w:r>
        <w:rPr>
          <w:spacing w:val="13"/>
        </w:rPr>
        <w:t>which</w:t>
      </w:r>
      <w:r>
        <w:rPr>
          <w:spacing w:val="13"/>
        </w:rPr>
        <w:t> </w:t>
      </w:r>
      <w:r>
        <w:rPr>
          <w:spacing w:val="15"/>
        </w:rPr>
        <w:t>significantly</w:t>
      </w:r>
      <w:r>
        <w:rPr>
          <w:spacing w:val="15"/>
        </w:rPr>
        <w:t> </w:t>
      </w:r>
      <w:r>
        <w:rPr>
          <w:spacing w:val="14"/>
        </w:rPr>
        <w:t>affects</w:t>
      </w:r>
      <w:r>
        <w:rPr>
          <w:spacing w:val="14"/>
        </w:rPr>
        <w:t> </w:t>
      </w:r>
      <w:r>
        <w:rPr>
          <w:spacing w:val="13"/>
        </w:rPr>
        <w:t>the </w:t>
      </w:r>
      <w:r>
        <w:rPr/>
        <w:t>underprivileged, violating their right to equality under Article 14 of the Constitution of India, 1950.</w:t>
      </w:r>
      <w:r>
        <w:rPr>
          <w:spacing w:val="40"/>
        </w:rPr>
        <w:t> </w:t>
      </w:r>
      <w:r>
        <w:rPr/>
        <w:t>It is the vulnerable sections of the society who would be most affected by the depletion of forests, considering the fact that the more affluent sections of society have better access to resources as compared to them. Therefore, the protection of forests is in the interest of mankind, even assuming that the other factors can be ignored..[..].</w:t>
      </w:r>
    </w:p>
    <w:p>
      <w:pPr>
        <w:pStyle w:val="BodyText"/>
        <w:spacing w:after="0" w:line="295" w:lineRule="auto"/>
        <w:jc w:val="both"/>
        <w:sectPr>
          <w:pgSz w:w="11900" w:h="15840"/>
          <w:pgMar w:header="726" w:footer="672" w:top="960" w:bottom="860" w:left="1417" w:right="0"/>
        </w:sectPr>
      </w:pPr>
    </w:p>
    <w:p>
      <w:pPr>
        <w:pStyle w:val="ListParagraph"/>
        <w:numPr>
          <w:ilvl w:val="1"/>
          <w:numId w:val="1"/>
        </w:numPr>
        <w:tabs>
          <w:tab w:pos="384" w:val="left" w:leader="none"/>
        </w:tabs>
        <w:spacing w:line="295" w:lineRule="auto" w:before="91" w:after="0"/>
        <w:ind w:left="23" w:right="710" w:firstLine="0"/>
        <w:jc w:val="both"/>
        <w:rPr>
          <w:sz w:val="22"/>
        </w:rPr>
      </w:pPr>
      <w:r>
        <w:rPr>
          <w:sz w:val="22"/>
        </w:rPr>
        <w:t>There is a crying need for a change in our approach. Man being an enlightened species, is expected to act as a trustee of the Earth. It is his duty to ensure the preservation of the ecosystem and to continuously endeavour towards the protection of air, water and land. It is not his right to destroy the habitat of other species but his duty to protect them from further peril. A right to enjoy cannot be restricted to any specific group, and so also to human beings. The time has come for mankind to live sustainably and respect the rights of rivers, lakes, beaches, estuaries, ridges, trees, mountains, seas and air. It is imperative to do so as there is always a constant threat to forests due</w:t>
      </w:r>
      <w:r>
        <w:rPr>
          <w:spacing w:val="80"/>
          <w:sz w:val="22"/>
        </w:rPr>
        <w:t> </w:t>
      </w:r>
      <w:r>
        <w:rPr>
          <w:sz w:val="22"/>
        </w:rPr>
        <w:t>to the ever-increasing population. Man is bound by nature’s law. Therefore, the need of the hour is</w:t>
      </w:r>
      <w:r>
        <w:rPr>
          <w:spacing w:val="40"/>
          <w:sz w:val="22"/>
        </w:rPr>
        <w:t> </w:t>
      </w:r>
      <w:r>
        <w:rPr>
          <w:sz w:val="22"/>
        </w:rPr>
        <w:t>to transform from an anthropocentric approach to ecocentric approach which will encompass a wider perspective in the interest of the environment.”</w:t>
      </w:r>
    </w:p>
    <w:p>
      <w:pPr>
        <w:pStyle w:val="BodyText"/>
        <w:spacing w:before="63"/>
      </w:pPr>
    </w:p>
    <w:p>
      <w:pPr>
        <w:pStyle w:val="ListParagraph"/>
        <w:numPr>
          <w:ilvl w:val="0"/>
          <w:numId w:val="1"/>
        </w:numPr>
        <w:tabs>
          <w:tab w:pos="311" w:val="left" w:leader="none"/>
        </w:tabs>
        <w:spacing w:line="295" w:lineRule="auto" w:before="0" w:after="0"/>
        <w:ind w:left="23" w:right="699" w:firstLine="0"/>
        <w:jc w:val="both"/>
        <w:rPr>
          <w:sz w:val="22"/>
        </w:rPr>
      </w:pPr>
      <w:r>
        <w:rPr>
          <w:spacing w:val="11"/>
          <w:sz w:val="22"/>
        </w:rPr>
        <w:t>We,</w:t>
      </w:r>
      <w:r>
        <w:rPr>
          <w:spacing w:val="11"/>
          <w:sz w:val="22"/>
        </w:rPr>
        <w:t> </w:t>
      </w:r>
      <w:r>
        <w:rPr>
          <w:spacing w:val="15"/>
          <w:sz w:val="22"/>
        </w:rPr>
        <w:t>therefore,</w:t>
      </w:r>
      <w:r>
        <w:rPr>
          <w:spacing w:val="15"/>
          <w:sz w:val="22"/>
        </w:rPr>
        <w:t> </w:t>
      </w:r>
      <w:r>
        <w:rPr>
          <w:spacing w:val="14"/>
          <w:sz w:val="22"/>
        </w:rPr>
        <w:t>consider</w:t>
      </w:r>
      <w:r>
        <w:rPr>
          <w:spacing w:val="14"/>
          <w:sz w:val="22"/>
        </w:rPr>
        <w:t> </w:t>
      </w:r>
      <w:r>
        <w:rPr>
          <w:sz w:val="22"/>
        </w:rPr>
        <w:t>it </w:t>
      </w:r>
      <w:r>
        <w:rPr>
          <w:spacing w:val="15"/>
          <w:sz w:val="22"/>
        </w:rPr>
        <w:t>necessary</w:t>
      </w:r>
      <w:r>
        <w:rPr>
          <w:spacing w:val="15"/>
          <w:sz w:val="22"/>
        </w:rPr>
        <w:t> </w:t>
      </w:r>
      <w:r>
        <w:rPr>
          <w:sz w:val="22"/>
        </w:rPr>
        <w:t>to </w:t>
      </w:r>
      <w:r>
        <w:rPr>
          <w:spacing w:val="12"/>
          <w:sz w:val="22"/>
        </w:rPr>
        <w:t>take</w:t>
      </w:r>
      <w:r>
        <w:rPr>
          <w:spacing w:val="12"/>
          <w:sz w:val="22"/>
        </w:rPr>
        <w:t> </w:t>
      </w:r>
      <w:r>
        <w:rPr>
          <w:sz w:val="22"/>
        </w:rPr>
        <w:t>up </w:t>
      </w:r>
      <w:r>
        <w:rPr>
          <w:spacing w:val="11"/>
          <w:sz w:val="22"/>
        </w:rPr>
        <w:t>the</w:t>
      </w:r>
      <w:r>
        <w:rPr>
          <w:spacing w:val="11"/>
          <w:sz w:val="22"/>
        </w:rPr>
        <w:t> </w:t>
      </w:r>
      <w:r>
        <w:rPr>
          <w:spacing w:val="14"/>
          <w:sz w:val="22"/>
        </w:rPr>
        <w:t>issues</w:t>
      </w:r>
      <w:r>
        <w:rPr>
          <w:spacing w:val="14"/>
          <w:sz w:val="22"/>
        </w:rPr>
        <w:t> relating</w:t>
      </w:r>
      <w:r>
        <w:rPr>
          <w:spacing w:val="14"/>
          <w:sz w:val="22"/>
        </w:rPr>
        <w:t> </w:t>
      </w:r>
      <w:r>
        <w:rPr>
          <w:sz w:val="22"/>
        </w:rPr>
        <w:t>to </w:t>
      </w:r>
      <w:r>
        <w:rPr>
          <w:spacing w:val="11"/>
          <w:sz w:val="22"/>
        </w:rPr>
        <w:t>the</w:t>
      </w:r>
      <w:r>
        <w:rPr>
          <w:spacing w:val="11"/>
          <w:sz w:val="22"/>
        </w:rPr>
        <w:t> </w:t>
      </w:r>
      <w:r>
        <w:rPr>
          <w:spacing w:val="14"/>
          <w:sz w:val="22"/>
        </w:rPr>
        <w:t>removal</w:t>
      </w:r>
      <w:r>
        <w:rPr>
          <w:spacing w:val="14"/>
          <w:sz w:val="22"/>
        </w:rPr>
        <w:t> </w:t>
      </w:r>
      <w:r>
        <w:rPr>
          <w:spacing w:val="17"/>
          <w:sz w:val="22"/>
        </w:rPr>
        <w:t>of </w:t>
      </w:r>
      <w:r>
        <w:rPr>
          <w:sz w:val="22"/>
        </w:rPr>
        <w:t>encroachments and restoration of the forests which were left inconclusive by the High Court.</w:t>
      </w:r>
    </w:p>
    <w:p>
      <w:pPr>
        <w:pStyle w:val="BodyText"/>
        <w:spacing w:before="59"/>
      </w:pPr>
    </w:p>
    <w:p>
      <w:pPr>
        <w:pStyle w:val="ListParagraph"/>
        <w:numPr>
          <w:ilvl w:val="0"/>
          <w:numId w:val="1"/>
        </w:numPr>
        <w:tabs>
          <w:tab w:pos="244" w:val="left" w:leader="none"/>
        </w:tabs>
        <w:spacing w:line="240" w:lineRule="auto" w:before="1" w:after="0"/>
        <w:ind w:left="244" w:right="0" w:hanging="221"/>
        <w:jc w:val="both"/>
        <w:rPr>
          <w:sz w:val="22"/>
        </w:rPr>
      </w:pPr>
      <w:r>
        <w:rPr>
          <w:sz w:val="22"/>
        </w:rPr>
        <w:t>Background</w:t>
      </w:r>
      <w:r>
        <w:rPr>
          <w:spacing w:val="-4"/>
          <w:sz w:val="22"/>
        </w:rPr>
        <w:t> </w:t>
      </w:r>
      <w:r>
        <w:rPr>
          <w:sz w:val="22"/>
        </w:rPr>
        <w:t>facts</w:t>
      </w:r>
      <w:r>
        <w:rPr>
          <w:spacing w:val="-3"/>
          <w:sz w:val="22"/>
        </w:rPr>
        <w:t> </w:t>
      </w:r>
      <w:r>
        <w:rPr>
          <w:sz w:val="22"/>
        </w:rPr>
        <w:t>relevant</w:t>
      </w:r>
      <w:r>
        <w:rPr>
          <w:spacing w:val="-4"/>
          <w:sz w:val="22"/>
        </w:rPr>
        <w:t> </w:t>
      </w:r>
      <w:r>
        <w:rPr>
          <w:sz w:val="22"/>
        </w:rPr>
        <w:t>and</w:t>
      </w:r>
      <w:r>
        <w:rPr>
          <w:spacing w:val="-3"/>
          <w:sz w:val="22"/>
        </w:rPr>
        <w:t> </w:t>
      </w:r>
      <w:r>
        <w:rPr>
          <w:sz w:val="22"/>
        </w:rPr>
        <w:t>essential</w:t>
      </w:r>
      <w:r>
        <w:rPr>
          <w:spacing w:val="-3"/>
          <w:sz w:val="22"/>
        </w:rPr>
        <w:t> </w:t>
      </w:r>
      <w:r>
        <w:rPr>
          <w:sz w:val="22"/>
        </w:rPr>
        <w:t>to</w:t>
      </w:r>
      <w:r>
        <w:rPr>
          <w:spacing w:val="-4"/>
          <w:sz w:val="22"/>
        </w:rPr>
        <w:t> </w:t>
      </w:r>
      <w:r>
        <w:rPr>
          <w:sz w:val="22"/>
        </w:rPr>
        <w:t>the</w:t>
      </w:r>
      <w:r>
        <w:rPr>
          <w:spacing w:val="-3"/>
          <w:sz w:val="22"/>
        </w:rPr>
        <w:t> </w:t>
      </w:r>
      <w:r>
        <w:rPr>
          <w:sz w:val="22"/>
        </w:rPr>
        <w:t>controversy</w:t>
      </w:r>
      <w:r>
        <w:rPr>
          <w:spacing w:val="-3"/>
          <w:sz w:val="22"/>
        </w:rPr>
        <w:t> </w:t>
      </w:r>
      <w:r>
        <w:rPr>
          <w:sz w:val="22"/>
        </w:rPr>
        <w:t>are</w:t>
      </w:r>
      <w:r>
        <w:rPr>
          <w:spacing w:val="-4"/>
          <w:sz w:val="22"/>
        </w:rPr>
        <w:t> </w:t>
      </w:r>
      <w:r>
        <w:rPr>
          <w:sz w:val="22"/>
        </w:rPr>
        <w:t>noted</w:t>
      </w:r>
      <w:r>
        <w:rPr>
          <w:spacing w:val="-3"/>
          <w:sz w:val="22"/>
        </w:rPr>
        <w:t> </w:t>
      </w:r>
      <w:r>
        <w:rPr>
          <w:spacing w:val="-2"/>
          <w:sz w:val="22"/>
        </w:rPr>
        <w:t>hereinbelow.</w:t>
      </w:r>
    </w:p>
    <w:p>
      <w:pPr>
        <w:pStyle w:val="BodyText"/>
        <w:spacing w:before="115"/>
      </w:pPr>
    </w:p>
    <w:p>
      <w:pPr>
        <w:pStyle w:val="ListParagraph"/>
        <w:numPr>
          <w:ilvl w:val="0"/>
          <w:numId w:val="1"/>
        </w:numPr>
        <w:tabs>
          <w:tab w:pos="272" w:val="left" w:leader="none"/>
        </w:tabs>
        <w:spacing w:line="295" w:lineRule="auto" w:before="1" w:after="0"/>
        <w:ind w:left="23" w:right="710" w:firstLine="0"/>
        <w:jc w:val="both"/>
        <w:rPr>
          <w:sz w:val="22"/>
        </w:rPr>
      </w:pPr>
      <w:r>
        <w:rPr>
          <w:sz w:val="22"/>
        </w:rPr>
        <w:t>The entire extent of Singampatti Zamin forest lands in the State of Tamil Nadu, admeasuring an area</w:t>
      </w:r>
      <w:r>
        <w:rPr>
          <w:spacing w:val="-1"/>
          <w:sz w:val="22"/>
        </w:rPr>
        <w:t> </w:t>
      </w:r>
      <w:r>
        <w:rPr>
          <w:sz w:val="22"/>
        </w:rPr>
        <w:t>of</w:t>
      </w:r>
      <w:r>
        <w:rPr>
          <w:spacing w:val="-1"/>
          <w:sz w:val="22"/>
        </w:rPr>
        <w:t> </w:t>
      </w:r>
      <w:r>
        <w:rPr>
          <w:sz w:val="22"/>
        </w:rPr>
        <w:t>3388.78</w:t>
      </w:r>
      <w:r>
        <w:rPr>
          <w:spacing w:val="-1"/>
          <w:sz w:val="22"/>
        </w:rPr>
        <w:t> </w:t>
      </w:r>
      <w:r>
        <w:rPr>
          <w:sz w:val="22"/>
        </w:rPr>
        <w:t>hectares,</w:t>
      </w:r>
      <w:r>
        <w:rPr>
          <w:spacing w:val="-1"/>
          <w:sz w:val="22"/>
        </w:rPr>
        <w:t> </w:t>
      </w:r>
      <w:r>
        <w:rPr>
          <w:sz w:val="22"/>
        </w:rPr>
        <w:t>were</w:t>
      </w:r>
      <w:r>
        <w:rPr>
          <w:spacing w:val="-1"/>
          <w:sz w:val="22"/>
        </w:rPr>
        <w:t> </w:t>
      </w:r>
      <w:r>
        <w:rPr>
          <w:sz w:val="22"/>
        </w:rPr>
        <w:t>leased</w:t>
      </w:r>
      <w:r>
        <w:rPr>
          <w:spacing w:val="-1"/>
          <w:sz w:val="22"/>
        </w:rPr>
        <w:t> </w:t>
      </w:r>
      <w:r>
        <w:rPr>
          <w:sz w:val="22"/>
        </w:rPr>
        <w:t>out</w:t>
      </w:r>
      <w:r>
        <w:rPr>
          <w:spacing w:val="-1"/>
          <w:sz w:val="22"/>
        </w:rPr>
        <w:t> </w:t>
      </w:r>
      <w:r>
        <w:rPr>
          <w:sz w:val="22"/>
        </w:rPr>
        <w:t>by</w:t>
      </w:r>
      <w:r>
        <w:rPr>
          <w:spacing w:val="-1"/>
          <w:sz w:val="22"/>
        </w:rPr>
        <w:t> </w:t>
      </w:r>
      <w:r>
        <w:rPr>
          <w:sz w:val="22"/>
        </w:rPr>
        <w:t>the</w:t>
      </w:r>
      <w:r>
        <w:rPr>
          <w:spacing w:val="-1"/>
          <w:sz w:val="22"/>
        </w:rPr>
        <w:t> </w:t>
      </w:r>
      <w:r>
        <w:rPr>
          <w:sz w:val="22"/>
        </w:rPr>
        <w:t>then</w:t>
      </w:r>
      <w:r>
        <w:rPr>
          <w:spacing w:val="-1"/>
          <w:sz w:val="22"/>
        </w:rPr>
        <w:t> </w:t>
      </w:r>
      <w:r>
        <w:rPr>
          <w:sz w:val="22"/>
        </w:rPr>
        <w:t>Zamindar</w:t>
      </w:r>
      <w:r>
        <w:rPr>
          <w:spacing w:val="-1"/>
          <w:sz w:val="22"/>
        </w:rPr>
        <w:t> </w:t>
      </w:r>
      <w:r>
        <w:rPr>
          <w:sz w:val="22"/>
        </w:rPr>
        <w:t>to</w:t>
      </w:r>
      <w:r>
        <w:rPr>
          <w:spacing w:val="-1"/>
          <w:sz w:val="22"/>
        </w:rPr>
        <w:t> </w:t>
      </w:r>
      <w:r>
        <w:rPr>
          <w:sz w:val="22"/>
        </w:rPr>
        <w:t>the</w:t>
      </w:r>
      <w:r>
        <w:rPr>
          <w:spacing w:val="-1"/>
          <w:sz w:val="22"/>
        </w:rPr>
        <w:t> </w:t>
      </w:r>
      <w:r>
        <w:rPr>
          <w:sz w:val="22"/>
        </w:rPr>
        <w:t>BBTCL</w:t>
      </w:r>
      <w:r>
        <w:rPr>
          <w:spacing w:val="-1"/>
          <w:sz w:val="22"/>
        </w:rPr>
        <w:t> </w:t>
      </w:r>
      <w:r>
        <w:rPr>
          <w:sz w:val="22"/>
        </w:rPr>
        <w:t>for</w:t>
      </w:r>
      <w:r>
        <w:rPr>
          <w:spacing w:val="-1"/>
          <w:sz w:val="22"/>
        </w:rPr>
        <w:t> </w:t>
      </w:r>
      <w:r>
        <w:rPr>
          <w:sz w:val="22"/>
        </w:rPr>
        <w:t>a</w:t>
      </w:r>
      <w:r>
        <w:rPr>
          <w:spacing w:val="-1"/>
          <w:sz w:val="22"/>
        </w:rPr>
        <w:t> </w:t>
      </w:r>
      <w:r>
        <w:rPr>
          <w:sz w:val="22"/>
        </w:rPr>
        <w:t>period</w:t>
      </w:r>
      <w:r>
        <w:rPr>
          <w:spacing w:val="-1"/>
          <w:sz w:val="22"/>
        </w:rPr>
        <w:t> </w:t>
      </w:r>
      <w:r>
        <w:rPr>
          <w:sz w:val="22"/>
        </w:rPr>
        <w:t>of</w:t>
      </w:r>
      <w:r>
        <w:rPr>
          <w:spacing w:val="-1"/>
          <w:sz w:val="22"/>
        </w:rPr>
        <w:t> </w:t>
      </w:r>
      <w:r>
        <w:rPr>
          <w:sz w:val="22"/>
        </w:rPr>
        <w:t>over</w:t>
      </w:r>
      <w:r>
        <w:rPr>
          <w:spacing w:val="-1"/>
          <w:sz w:val="22"/>
        </w:rPr>
        <w:t> </w:t>
      </w:r>
      <w:r>
        <w:rPr>
          <w:sz w:val="22"/>
        </w:rPr>
        <w:t>99 years way back on 12th February, 1929. The lease holders cleared out the forests area and started cultivating crops like tea, coffee, along with various types of spices and rubber over the land in question and this exploitation of the forest areas had been going on unabatedly for more than 95 </w:t>
      </w:r>
      <w:r>
        <w:rPr>
          <w:spacing w:val="-2"/>
          <w:sz w:val="22"/>
        </w:rPr>
        <w:t>years.</w:t>
      </w:r>
    </w:p>
    <w:p>
      <w:pPr>
        <w:pStyle w:val="BodyText"/>
        <w:spacing w:before="61"/>
      </w:pPr>
    </w:p>
    <w:p>
      <w:pPr>
        <w:pStyle w:val="ListParagraph"/>
        <w:numPr>
          <w:ilvl w:val="0"/>
          <w:numId w:val="1"/>
        </w:numPr>
        <w:tabs>
          <w:tab w:pos="278" w:val="left" w:leader="none"/>
        </w:tabs>
        <w:spacing w:line="295" w:lineRule="auto" w:before="0" w:after="0"/>
        <w:ind w:left="23" w:right="711" w:firstLine="0"/>
        <w:jc w:val="both"/>
        <w:rPr>
          <w:sz w:val="22"/>
        </w:rPr>
      </w:pPr>
      <w:r>
        <w:rPr>
          <w:sz w:val="22"/>
        </w:rPr>
        <w:t>The ‘Singampatti Zamin forests lands’ was declared to be a reserved forest vide Government</w:t>
      </w:r>
      <w:r>
        <w:rPr>
          <w:spacing w:val="40"/>
          <w:sz w:val="22"/>
        </w:rPr>
        <w:t> </w:t>
      </w:r>
      <w:r>
        <w:rPr>
          <w:sz w:val="22"/>
        </w:rPr>
        <w:t>Order [for short ‘GO’] dated 23rd March, 1978. In the year 2007, the Government of Tamil Nadu issued GOM No. 145 dated 28th December, 2007, whereby the entire area covered by the tea estate was declared to be a ‘Core Critical Tiger Habitat’. In the year 2012, the Government issued another GOM Nos. E &amp; F dated 12th August, 2012, notifying the entire area as a Wildlife Sanctuary and a Tiger Reserve under the provisions of the Wildlife Act. The lands in question were declared to be a part of Kalakkad-Mundanthurai Reserve Forest on 28th February, 2018.</w:t>
      </w:r>
    </w:p>
    <w:p>
      <w:pPr>
        <w:pStyle w:val="BodyText"/>
        <w:spacing w:before="61"/>
      </w:pPr>
    </w:p>
    <w:p>
      <w:pPr>
        <w:pStyle w:val="ListParagraph"/>
        <w:numPr>
          <w:ilvl w:val="0"/>
          <w:numId w:val="1"/>
        </w:numPr>
        <w:tabs>
          <w:tab w:pos="394" w:val="left" w:leader="none"/>
        </w:tabs>
        <w:spacing w:line="295" w:lineRule="auto" w:before="1" w:after="0"/>
        <w:ind w:left="23" w:right="711" w:firstLine="0"/>
        <w:jc w:val="both"/>
        <w:rPr>
          <w:sz w:val="22"/>
        </w:rPr>
      </w:pPr>
      <w:r>
        <w:rPr>
          <w:sz w:val="22"/>
        </w:rPr>
        <w:t>The BBTCL assailed the said declarations in Writ Petition No. 16921 of 2014, which is still pending consideration.</w:t>
      </w:r>
    </w:p>
    <w:p>
      <w:pPr>
        <w:pStyle w:val="BodyText"/>
        <w:spacing w:before="59"/>
      </w:pPr>
    </w:p>
    <w:p>
      <w:pPr>
        <w:pStyle w:val="ListParagraph"/>
        <w:numPr>
          <w:ilvl w:val="0"/>
          <w:numId w:val="1"/>
        </w:numPr>
        <w:tabs>
          <w:tab w:pos="345" w:val="left" w:leader="none"/>
        </w:tabs>
        <w:spacing w:line="295" w:lineRule="auto" w:before="0" w:after="0"/>
        <w:ind w:left="23" w:right="708" w:firstLine="0"/>
        <w:jc w:val="both"/>
        <w:rPr>
          <w:sz w:val="22"/>
        </w:rPr>
      </w:pPr>
      <w:r>
        <w:rPr>
          <w:sz w:val="22"/>
        </w:rPr>
        <w:t>We are informed that there are more such tea estates in the State of Tamil Nadu which were allotted for cultivations by the erstwhile Zamindars by changing the nature of forest lands to</w:t>
      </w:r>
      <w:r>
        <w:rPr>
          <w:spacing w:val="80"/>
          <w:sz w:val="22"/>
        </w:rPr>
        <w:t> </w:t>
      </w:r>
      <w:r>
        <w:rPr>
          <w:sz w:val="22"/>
        </w:rPr>
        <w:t>revenue lands.</w:t>
      </w:r>
    </w:p>
    <w:p>
      <w:pPr>
        <w:pStyle w:val="BodyText"/>
        <w:spacing w:before="59"/>
      </w:pPr>
    </w:p>
    <w:p>
      <w:pPr>
        <w:pStyle w:val="ListParagraph"/>
        <w:numPr>
          <w:ilvl w:val="0"/>
          <w:numId w:val="1"/>
        </w:numPr>
        <w:tabs>
          <w:tab w:pos="373" w:val="left" w:leader="none"/>
        </w:tabs>
        <w:spacing w:line="295" w:lineRule="auto" w:before="0" w:after="0"/>
        <w:ind w:left="23" w:right="708" w:firstLine="0"/>
        <w:jc w:val="both"/>
        <w:rPr>
          <w:sz w:val="22"/>
        </w:rPr>
      </w:pPr>
      <w:r>
        <w:rPr>
          <w:sz w:val="22"/>
        </w:rPr>
        <w:t>Concurrently, a batch of writ petitions came to be filed in the High Court of Madras, some </w:t>
      </w:r>
      <w:r>
        <w:rPr>
          <w:sz w:val="22"/>
        </w:rPr>
        <w:t>of which were in the nature of Public Interest Litigations relating to forest issues, while others pertained to the claims of the displaced tea estate workers to protect their livelihood and rights to rehabilitation, compensation and re- employment pursuant to their dislodgement from the tea estate. In the Public Interest Litigations [i.e., Writ Petition (MD) Nos. 16381 of 2024, 16501 of 2024, 19108</w:t>
      </w:r>
      <w:r>
        <w:rPr>
          <w:spacing w:val="35"/>
          <w:sz w:val="22"/>
        </w:rPr>
        <w:t> </w:t>
      </w:r>
      <w:r>
        <w:rPr>
          <w:sz w:val="22"/>
        </w:rPr>
        <w:t>of</w:t>
      </w:r>
      <w:r>
        <w:rPr>
          <w:spacing w:val="35"/>
          <w:sz w:val="22"/>
        </w:rPr>
        <w:t> </w:t>
      </w:r>
      <w:r>
        <w:rPr>
          <w:sz w:val="22"/>
        </w:rPr>
        <w:t>2024</w:t>
      </w:r>
      <w:r>
        <w:rPr>
          <w:spacing w:val="35"/>
          <w:sz w:val="22"/>
        </w:rPr>
        <w:t> </w:t>
      </w:r>
      <w:r>
        <w:rPr>
          <w:sz w:val="22"/>
        </w:rPr>
        <w:t>and</w:t>
      </w:r>
      <w:r>
        <w:rPr>
          <w:spacing w:val="35"/>
          <w:sz w:val="22"/>
        </w:rPr>
        <w:t> </w:t>
      </w:r>
      <w:r>
        <w:rPr>
          <w:sz w:val="22"/>
        </w:rPr>
        <w:t>24693</w:t>
      </w:r>
      <w:r>
        <w:rPr>
          <w:spacing w:val="35"/>
          <w:sz w:val="22"/>
        </w:rPr>
        <w:t> </w:t>
      </w:r>
      <w:r>
        <w:rPr>
          <w:sz w:val="22"/>
        </w:rPr>
        <w:t>of</w:t>
      </w:r>
      <w:r>
        <w:rPr>
          <w:spacing w:val="35"/>
          <w:sz w:val="22"/>
        </w:rPr>
        <w:t> </w:t>
      </w:r>
      <w:r>
        <w:rPr>
          <w:sz w:val="22"/>
        </w:rPr>
        <w:t>2024],</w:t>
      </w:r>
      <w:r>
        <w:rPr>
          <w:spacing w:val="35"/>
          <w:sz w:val="22"/>
        </w:rPr>
        <w:t> </w:t>
      </w:r>
      <w:r>
        <w:rPr>
          <w:sz w:val="22"/>
        </w:rPr>
        <w:t>a</w:t>
      </w:r>
      <w:r>
        <w:rPr>
          <w:spacing w:val="35"/>
          <w:sz w:val="22"/>
        </w:rPr>
        <w:t> </w:t>
      </w:r>
      <w:r>
        <w:rPr>
          <w:sz w:val="22"/>
        </w:rPr>
        <w:t>specific</w:t>
      </w:r>
      <w:r>
        <w:rPr>
          <w:spacing w:val="35"/>
          <w:sz w:val="22"/>
        </w:rPr>
        <w:t> </w:t>
      </w:r>
      <w:r>
        <w:rPr>
          <w:sz w:val="22"/>
        </w:rPr>
        <w:t>prayer</w:t>
      </w:r>
      <w:r>
        <w:rPr>
          <w:spacing w:val="35"/>
          <w:sz w:val="22"/>
        </w:rPr>
        <w:t> </w:t>
      </w:r>
      <w:r>
        <w:rPr>
          <w:sz w:val="22"/>
        </w:rPr>
        <w:t>was</w:t>
      </w:r>
      <w:r>
        <w:rPr>
          <w:spacing w:val="35"/>
          <w:sz w:val="22"/>
        </w:rPr>
        <w:t> </w:t>
      </w:r>
      <w:r>
        <w:rPr>
          <w:sz w:val="22"/>
        </w:rPr>
        <w:t>made</w:t>
      </w:r>
      <w:r>
        <w:rPr>
          <w:spacing w:val="35"/>
          <w:sz w:val="22"/>
        </w:rPr>
        <w:t> </w:t>
      </w:r>
      <w:r>
        <w:rPr>
          <w:sz w:val="22"/>
        </w:rPr>
        <w:t>to</w:t>
      </w:r>
      <w:r>
        <w:rPr>
          <w:spacing w:val="35"/>
          <w:sz w:val="22"/>
        </w:rPr>
        <w:t> </w:t>
      </w:r>
      <w:r>
        <w:rPr>
          <w:sz w:val="22"/>
        </w:rPr>
        <w:t>restore</w:t>
      </w:r>
      <w:r>
        <w:rPr>
          <w:spacing w:val="35"/>
          <w:sz w:val="22"/>
        </w:rPr>
        <w:t> </w:t>
      </w:r>
      <w:r>
        <w:rPr>
          <w:sz w:val="22"/>
        </w:rPr>
        <w:t>the</w:t>
      </w:r>
      <w:r>
        <w:rPr>
          <w:spacing w:val="35"/>
          <w:sz w:val="22"/>
        </w:rPr>
        <w:t> </w:t>
      </w:r>
      <w:r>
        <w:rPr>
          <w:sz w:val="22"/>
        </w:rPr>
        <w:t>entire</w:t>
      </w:r>
      <w:r>
        <w:rPr>
          <w:spacing w:val="35"/>
          <w:sz w:val="22"/>
        </w:rPr>
        <w:t> </w:t>
      </w:r>
      <w:r>
        <w:rPr>
          <w:sz w:val="22"/>
        </w:rPr>
        <w:t>forest</w:t>
      </w:r>
      <w:r>
        <w:rPr>
          <w:spacing w:val="35"/>
          <w:sz w:val="22"/>
        </w:rPr>
        <w:t> </w:t>
      </w:r>
      <w:r>
        <w:rPr>
          <w:sz w:val="22"/>
        </w:rPr>
        <w:t>area</w:t>
      </w:r>
    </w:p>
    <w:p>
      <w:pPr>
        <w:pStyle w:val="ListParagraph"/>
        <w:spacing w:after="0" w:line="295" w:lineRule="auto"/>
        <w:jc w:val="both"/>
        <w:rPr>
          <w:sz w:val="22"/>
        </w:rPr>
        <w:sectPr>
          <w:pgSz w:w="11900" w:h="15840"/>
          <w:pgMar w:header="726" w:footer="672" w:top="960" w:bottom="860" w:left="1417" w:right="0"/>
        </w:sectPr>
      </w:pPr>
    </w:p>
    <w:p>
      <w:pPr>
        <w:pStyle w:val="BodyText"/>
        <w:spacing w:line="295" w:lineRule="auto" w:before="91"/>
        <w:ind w:left="23" w:right="311"/>
      </w:pPr>
      <w:r>
        <w:rPr/>
        <w:t>lands,</w:t>
      </w:r>
      <w:r>
        <w:rPr>
          <w:spacing w:val="34"/>
        </w:rPr>
        <w:t> </w:t>
      </w:r>
      <w:r>
        <w:rPr/>
        <w:t>which</w:t>
      </w:r>
      <w:r>
        <w:rPr>
          <w:spacing w:val="34"/>
        </w:rPr>
        <w:t> </w:t>
      </w:r>
      <w:r>
        <w:rPr/>
        <w:t>had</w:t>
      </w:r>
      <w:r>
        <w:rPr>
          <w:spacing w:val="34"/>
        </w:rPr>
        <w:t> </w:t>
      </w:r>
      <w:r>
        <w:rPr/>
        <w:t>been</w:t>
      </w:r>
      <w:r>
        <w:rPr>
          <w:spacing w:val="34"/>
        </w:rPr>
        <w:t> </w:t>
      </w:r>
      <w:r>
        <w:rPr/>
        <w:t>destroyed</w:t>
      </w:r>
      <w:r>
        <w:rPr>
          <w:spacing w:val="34"/>
        </w:rPr>
        <w:t> </w:t>
      </w:r>
      <w:r>
        <w:rPr/>
        <w:t>on</w:t>
      </w:r>
      <w:r>
        <w:rPr>
          <w:spacing w:val="34"/>
        </w:rPr>
        <w:t> </w:t>
      </w:r>
      <w:r>
        <w:rPr/>
        <w:t>account</w:t>
      </w:r>
      <w:r>
        <w:rPr>
          <w:spacing w:val="34"/>
        </w:rPr>
        <w:t> </w:t>
      </w:r>
      <w:r>
        <w:rPr/>
        <w:t>of</w:t>
      </w:r>
      <w:r>
        <w:rPr>
          <w:spacing w:val="34"/>
        </w:rPr>
        <w:t> </w:t>
      </w:r>
      <w:r>
        <w:rPr/>
        <w:t>plantation</w:t>
      </w:r>
      <w:r>
        <w:rPr>
          <w:spacing w:val="34"/>
        </w:rPr>
        <w:t> </w:t>
      </w:r>
      <w:r>
        <w:rPr/>
        <w:t>activities.</w:t>
      </w:r>
      <w:r>
        <w:rPr>
          <w:spacing w:val="34"/>
        </w:rPr>
        <w:t> </w:t>
      </w:r>
      <w:r>
        <w:rPr/>
        <w:t>All</w:t>
      </w:r>
      <w:r>
        <w:rPr>
          <w:spacing w:val="34"/>
        </w:rPr>
        <w:t> </w:t>
      </w:r>
      <w:r>
        <w:rPr/>
        <w:t>the</w:t>
      </w:r>
      <w:r>
        <w:rPr>
          <w:spacing w:val="34"/>
        </w:rPr>
        <w:t> </w:t>
      </w:r>
      <w:r>
        <w:rPr/>
        <w:t>above</w:t>
      </w:r>
      <w:r>
        <w:rPr>
          <w:spacing w:val="34"/>
        </w:rPr>
        <w:t> </w:t>
      </w:r>
      <w:r>
        <w:rPr/>
        <w:t>writ</w:t>
      </w:r>
      <w:r>
        <w:rPr>
          <w:spacing w:val="34"/>
        </w:rPr>
        <w:t> </w:t>
      </w:r>
      <w:r>
        <w:rPr/>
        <w:t>petitions were clubbed and taken up together by the High Court.</w:t>
      </w:r>
    </w:p>
    <w:p>
      <w:pPr>
        <w:pStyle w:val="BodyText"/>
        <w:spacing w:before="59"/>
      </w:pPr>
    </w:p>
    <w:p>
      <w:pPr>
        <w:pStyle w:val="ListParagraph"/>
        <w:numPr>
          <w:ilvl w:val="0"/>
          <w:numId w:val="1"/>
        </w:numPr>
        <w:tabs>
          <w:tab w:pos="351" w:val="left" w:leader="none"/>
        </w:tabs>
        <w:spacing w:line="295" w:lineRule="auto" w:before="0" w:after="0"/>
        <w:ind w:left="23" w:right="709" w:firstLine="0"/>
        <w:jc w:val="both"/>
        <w:rPr>
          <w:sz w:val="22"/>
        </w:rPr>
      </w:pPr>
      <w:r>
        <w:rPr>
          <w:sz w:val="22"/>
        </w:rPr>
        <w:t>In</w:t>
      </w:r>
      <w:r>
        <w:rPr>
          <w:spacing w:val="-1"/>
          <w:sz w:val="22"/>
        </w:rPr>
        <w:t> </w:t>
      </w:r>
      <w:r>
        <w:rPr>
          <w:sz w:val="22"/>
        </w:rPr>
        <w:t>these</w:t>
      </w:r>
      <w:r>
        <w:rPr>
          <w:spacing w:val="-1"/>
          <w:sz w:val="22"/>
        </w:rPr>
        <w:t> </w:t>
      </w:r>
      <w:r>
        <w:rPr>
          <w:sz w:val="22"/>
        </w:rPr>
        <w:t>proceedings,</w:t>
      </w:r>
      <w:r>
        <w:rPr>
          <w:spacing w:val="-1"/>
          <w:sz w:val="22"/>
        </w:rPr>
        <w:t> </w:t>
      </w:r>
      <w:r>
        <w:rPr>
          <w:sz w:val="22"/>
        </w:rPr>
        <w:t>a</w:t>
      </w:r>
      <w:r>
        <w:rPr>
          <w:spacing w:val="-1"/>
          <w:sz w:val="22"/>
        </w:rPr>
        <w:t> </w:t>
      </w:r>
      <w:r>
        <w:rPr>
          <w:sz w:val="22"/>
        </w:rPr>
        <w:t>status</w:t>
      </w:r>
      <w:r>
        <w:rPr>
          <w:spacing w:val="-1"/>
          <w:sz w:val="22"/>
        </w:rPr>
        <w:t> </w:t>
      </w:r>
      <w:r>
        <w:rPr>
          <w:sz w:val="22"/>
        </w:rPr>
        <w:t>report</w:t>
      </w:r>
      <w:r>
        <w:rPr>
          <w:spacing w:val="-1"/>
          <w:sz w:val="22"/>
        </w:rPr>
        <w:t> </w:t>
      </w:r>
      <w:r>
        <w:rPr>
          <w:sz w:val="22"/>
        </w:rPr>
        <w:t>was</w:t>
      </w:r>
      <w:r>
        <w:rPr>
          <w:spacing w:val="-1"/>
          <w:sz w:val="22"/>
        </w:rPr>
        <w:t> </w:t>
      </w:r>
      <w:r>
        <w:rPr>
          <w:sz w:val="22"/>
        </w:rPr>
        <w:t>filed</w:t>
      </w:r>
      <w:r>
        <w:rPr>
          <w:spacing w:val="-1"/>
          <w:sz w:val="22"/>
        </w:rPr>
        <w:t> </w:t>
      </w:r>
      <w:r>
        <w:rPr>
          <w:sz w:val="22"/>
        </w:rPr>
        <w:t>by</w:t>
      </w:r>
      <w:r>
        <w:rPr>
          <w:spacing w:val="-1"/>
          <w:sz w:val="22"/>
        </w:rPr>
        <w:t> </w:t>
      </w:r>
      <w:r>
        <w:rPr>
          <w:sz w:val="22"/>
        </w:rPr>
        <w:t>the</w:t>
      </w:r>
      <w:r>
        <w:rPr>
          <w:spacing w:val="-1"/>
          <w:sz w:val="22"/>
        </w:rPr>
        <w:t> </w:t>
      </w:r>
      <w:r>
        <w:rPr>
          <w:sz w:val="22"/>
        </w:rPr>
        <w:t>Deputy</w:t>
      </w:r>
      <w:r>
        <w:rPr>
          <w:spacing w:val="-1"/>
          <w:sz w:val="22"/>
        </w:rPr>
        <w:t> </w:t>
      </w:r>
      <w:r>
        <w:rPr>
          <w:sz w:val="22"/>
        </w:rPr>
        <w:t>Director</w:t>
      </w:r>
      <w:r>
        <w:rPr>
          <w:spacing w:val="-1"/>
          <w:sz w:val="22"/>
        </w:rPr>
        <w:t> </w:t>
      </w:r>
      <w:r>
        <w:rPr>
          <w:sz w:val="22"/>
        </w:rPr>
        <w:t>and</w:t>
      </w:r>
      <w:r>
        <w:rPr>
          <w:spacing w:val="-1"/>
          <w:sz w:val="22"/>
        </w:rPr>
        <w:t> </w:t>
      </w:r>
      <w:r>
        <w:rPr>
          <w:sz w:val="22"/>
        </w:rPr>
        <w:t>Wildlife</w:t>
      </w:r>
      <w:r>
        <w:rPr>
          <w:spacing w:val="-1"/>
          <w:sz w:val="22"/>
        </w:rPr>
        <w:t> </w:t>
      </w:r>
      <w:r>
        <w:rPr>
          <w:sz w:val="22"/>
        </w:rPr>
        <w:t>Warden</w:t>
      </w:r>
      <w:r>
        <w:rPr>
          <w:spacing w:val="-1"/>
          <w:sz w:val="22"/>
        </w:rPr>
        <w:t> </w:t>
      </w:r>
      <w:r>
        <w:rPr>
          <w:sz w:val="22"/>
        </w:rPr>
        <w:t>of</w:t>
      </w:r>
      <w:r>
        <w:rPr>
          <w:spacing w:val="-1"/>
          <w:sz w:val="22"/>
        </w:rPr>
        <w:t> </w:t>
      </w:r>
      <w:r>
        <w:rPr>
          <w:sz w:val="22"/>
        </w:rPr>
        <w:t>the Kalakkad-Mundanthurai Tiger Reserve, stating therein that the Government vide GOM dated 2nd January, 2018, has declared an area to the extent of 22979.19 hectares to be a reserve forest under Section</w:t>
      </w:r>
      <w:r>
        <w:rPr>
          <w:spacing w:val="-1"/>
          <w:sz w:val="22"/>
        </w:rPr>
        <w:t> </w:t>
      </w:r>
      <w:r>
        <w:rPr>
          <w:sz w:val="22"/>
        </w:rPr>
        <w:t>16</w:t>
      </w:r>
      <w:r>
        <w:rPr>
          <w:spacing w:val="-1"/>
          <w:sz w:val="22"/>
        </w:rPr>
        <w:t> </w:t>
      </w:r>
      <w:r>
        <w:rPr>
          <w:sz w:val="22"/>
        </w:rPr>
        <w:t>of</w:t>
      </w:r>
      <w:r>
        <w:rPr>
          <w:spacing w:val="-1"/>
          <w:sz w:val="22"/>
        </w:rPr>
        <w:t> </w:t>
      </w:r>
      <w:r>
        <w:rPr>
          <w:sz w:val="22"/>
        </w:rPr>
        <w:t>the</w:t>
      </w:r>
      <w:r>
        <w:rPr>
          <w:spacing w:val="-1"/>
          <w:sz w:val="22"/>
        </w:rPr>
        <w:t> </w:t>
      </w:r>
      <w:r>
        <w:rPr>
          <w:sz w:val="22"/>
        </w:rPr>
        <w:t>Tamil</w:t>
      </w:r>
      <w:r>
        <w:rPr>
          <w:spacing w:val="-1"/>
          <w:sz w:val="22"/>
        </w:rPr>
        <w:t> </w:t>
      </w:r>
      <w:r>
        <w:rPr>
          <w:sz w:val="22"/>
        </w:rPr>
        <w:t>Nadu</w:t>
      </w:r>
      <w:r>
        <w:rPr>
          <w:spacing w:val="-1"/>
          <w:sz w:val="22"/>
        </w:rPr>
        <w:t> </w:t>
      </w:r>
      <w:r>
        <w:rPr>
          <w:sz w:val="22"/>
        </w:rPr>
        <w:t>Forests</w:t>
      </w:r>
      <w:r>
        <w:rPr>
          <w:spacing w:val="-1"/>
          <w:sz w:val="22"/>
        </w:rPr>
        <w:t> </w:t>
      </w:r>
      <w:r>
        <w:rPr>
          <w:sz w:val="22"/>
        </w:rPr>
        <w:t>Act,</w:t>
      </w:r>
      <w:r>
        <w:rPr>
          <w:spacing w:val="-1"/>
          <w:sz w:val="22"/>
        </w:rPr>
        <w:t> </w:t>
      </w:r>
      <w:r>
        <w:rPr>
          <w:sz w:val="22"/>
        </w:rPr>
        <w:t>1882</w:t>
      </w:r>
      <w:r>
        <w:rPr>
          <w:spacing w:val="-1"/>
          <w:sz w:val="22"/>
        </w:rPr>
        <w:t> </w:t>
      </w:r>
      <w:r>
        <w:rPr>
          <w:sz w:val="22"/>
        </w:rPr>
        <w:t>[for</w:t>
      </w:r>
      <w:r>
        <w:rPr>
          <w:spacing w:val="-1"/>
          <w:sz w:val="22"/>
        </w:rPr>
        <w:t> </w:t>
      </w:r>
      <w:r>
        <w:rPr>
          <w:sz w:val="22"/>
        </w:rPr>
        <w:t>short</w:t>
      </w:r>
      <w:r>
        <w:rPr>
          <w:spacing w:val="-1"/>
          <w:sz w:val="22"/>
        </w:rPr>
        <w:t> </w:t>
      </w:r>
      <w:r>
        <w:rPr>
          <w:sz w:val="22"/>
        </w:rPr>
        <w:t>the</w:t>
      </w:r>
      <w:r>
        <w:rPr>
          <w:spacing w:val="-1"/>
          <w:sz w:val="22"/>
        </w:rPr>
        <w:t> </w:t>
      </w:r>
      <w:r>
        <w:rPr>
          <w:sz w:val="22"/>
        </w:rPr>
        <w:t>‘Act’],</w:t>
      </w:r>
      <w:r>
        <w:rPr>
          <w:spacing w:val="-1"/>
          <w:sz w:val="22"/>
        </w:rPr>
        <w:t> </w:t>
      </w:r>
      <w:r>
        <w:rPr>
          <w:sz w:val="22"/>
        </w:rPr>
        <w:t>which</w:t>
      </w:r>
      <w:r>
        <w:rPr>
          <w:spacing w:val="-1"/>
          <w:sz w:val="22"/>
        </w:rPr>
        <w:t> </w:t>
      </w:r>
      <w:r>
        <w:rPr>
          <w:sz w:val="22"/>
        </w:rPr>
        <w:t>includes</w:t>
      </w:r>
      <w:r>
        <w:rPr>
          <w:spacing w:val="-1"/>
          <w:sz w:val="22"/>
        </w:rPr>
        <w:t> </w:t>
      </w:r>
      <w:r>
        <w:rPr>
          <w:sz w:val="22"/>
        </w:rPr>
        <w:t>3388.78</w:t>
      </w:r>
      <w:r>
        <w:rPr>
          <w:spacing w:val="-1"/>
          <w:sz w:val="22"/>
        </w:rPr>
        <w:t> </w:t>
      </w:r>
      <w:r>
        <w:rPr>
          <w:sz w:val="22"/>
        </w:rPr>
        <w:t>hectares area leased to BBTCL. This declaration was made after following the due process of law as provided under the TN Forest Act, taking into consideration the various claims made under the Act. It was also stated in the said affidavit that as per Section 2 of the Forest Conservation Act, 1980, prior approval of the Government of India is required for assigning use of forest land for non-forestry purposes, by way of lease or otherwise to any private person, or to any authority, corporation,</w:t>
      </w:r>
      <w:r>
        <w:rPr>
          <w:spacing w:val="40"/>
          <w:sz w:val="22"/>
        </w:rPr>
        <w:t> </w:t>
      </w:r>
      <w:r>
        <w:rPr>
          <w:sz w:val="22"/>
        </w:rPr>
        <w:t>agency or other organization. The entire area leased out to the tea estate by the former Zamindar of Singampatti forest lands forms the core of the Kalakkad- Mundanthurai Tiger Reserve and has been declared as ‘Core Critical Tiger Habitat’ vide GO No. 145 dated 28th December, 2007, issued by Environment &amp; Forests Department, Government of India.</w:t>
      </w:r>
    </w:p>
    <w:p>
      <w:pPr>
        <w:pStyle w:val="BodyText"/>
        <w:spacing w:before="65"/>
      </w:pPr>
    </w:p>
    <w:p>
      <w:pPr>
        <w:pStyle w:val="ListParagraph"/>
        <w:numPr>
          <w:ilvl w:val="0"/>
          <w:numId w:val="1"/>
        </w:numPr>
        <w:tabs>
          <w:tab w:pos="362" w:val="left" w:leader="none"/>
        </w:tabs>
        <w:spacing w:line="295" w:lineRule="auto" w:before="0" w:after="0"/>
        <w:ind w:left="23" w:right="706" w:firstLine="0"/>
        <w:jc w:val="both"/>
        <w:rPr>
          <w:sz w:val="22"/>
        </w:rPr>
      </w:pPr>
      <w:r>
        <w:rPr>
          <w:sz w:val="22"/>
        </w:rPr>
        <w:t>It was further mentioned that preserving the said area is critical for the survival and well-being</w:t>
      </w:r>
      <w:r>
        <w:rPr>
          <w:spacing w:val="40"/>
          <w:sz w:val="22"/>
        </w:rPr>
        <w:t> </w:t>
      </w:r>
      <w:r>
        <w:rPr>
          <w:sz w:val="22"/>
        </w:rPr>
        <w:t>of the entire eco-system. The reserve forest is a very critical component and forms the catchment area of a perennial river in the State of Tamil Nadu, namely, “Thamirabarai”. Any disturbance to the eco-system would have adverse consequences to the water supply as well as the environment of the area in question, thereby affecting millions of people living in the adjoining districts of Tirunelveli and </w:t>
      </w:r>
      <w:r>
        <w:rPr>
          <w:spacing w:val="10"/>
          <w:sz w:val="22"/>
        </w:rPr>
        <w:t>Thoothukudi, </w:t>
      </w:r>
      <w:r>
        <w:rPr>
          <w:sz w:val="22"/>
        </w:rPr>
        <w:t>etc. It was </w:t>
      </w:r>
      <w:r>
        <w:rPr>
          <w:spacing w:val="9"/>
          <w:sz w:val="22"/>
        </w:rPr>
        <w:t>emphasized </w:t>
      </w:r>
      <w:r>
        <w:rPr>
          <w:sz w:val="22"/>
        </w:rPr>
        <w:t>in the </w:t>
      </w:r>
      <w:r>
        <w:rPr>
          <w:spacing w:val="9"/>
          <w:sz w:val="22"/>
        </w:rPr>
        <w:t>affidavit </w:t>
      </w:r>
      <w:r>
        <w:rPr>
          <w:sz w:val="22"/>
        </w:rPr>
        <w:t>that </w:t>
      </w:r>
      <w:r>
        <w:rPr>
          <w:spacing w:val="10"/>
          <w:sz w:val="22"/>
        </w:rPr>
        <w:t>restoration </w:t>
      </w:r>
      <w:r>
        <w:rPr>
          <w:sz w:val="22"/>
        </w:rPr>
        <w:t>of the </w:t>
      </w:r>
      <w:r>
        <w:rPr>
          <w:spacing w:val="9"/>
          <w:sz w:val="22"/>
        </w:rPr>
        <w:t>forests, </w:t>
      </w:r>
      <w:r>
        <w:rPr>
          <w:spacing w:val="11"/>
          <w:sz w:val="22"/>
        </w:rPr>
        <w:t>on </w:t>
      </w:r>
      <w:r>
        <w:rPr>
          <w:sz w:val="22"/>
        </w:rPr>
        <w:t>previously leased out lands put to cultivation use, was of utmost importance to maintain the ecological balance.</w:t>
      </w:r>
    </w:p>
    <w:p>
      <w:pPr>
        <w:pStyle w:val="BodyText"/>
        <w:spacing w:before="62"/>
      </w:pPr>
    </w:p>
    <w:p>
      <w:pPr>
        <w:pStyle w:val="ListParagraph"/>
        <w:numPr>
          <w:ilvl w:val="0"/>
          <w:numId w:val="1"/>
        </w:numPr>
        <w:tabs>
          <w:tab w:pos="354" w:val="left" w:leader="none"/>
        </w:tabs>
        <w:spacing w:line="295" w:lineRule="auto" w:before="0" w:after="0"/>
        <w:ind w:left="23" w:right="714" w:firstLine="0"/>
        <w:jc w:val="both"/>
        <w:rPr>
          <w:sz w:val="22"/>
        </w:rPr>
      </w:pPr>
      <w:r>
        <w:rPr>
          <w:sz w:val="22"/>
        </w:rPr>
        <w:t>The affidavit also mentions that most of the plantation workers, who were seeking reliefs in the writ</w:t>
      </w:r>
      <w:r>
        <w:rPr>
          <w:spacing w:val="-1"/>
          <w:sz w:val="22"/>
        </w:rPr>
        <w:t> </w:t>
      </w:r>
      <w:r>
        <w:rPr>
          <w:sz w:val="22"/>
        </w:rPr>
        <w:t>petitions,</w:t>
      </w:r>
      <w:r>
        <w:rPr>
          <w:spacing w:val="-1"/>
          <w:sz w:val="22"/>
        </w:rPr>
        <w:t> </w:t>
      </w:r>
      <w:r>
        <w:rPr>
          <w:sz w:val="22"/>
        </w:rPr>
        <w:t>were</w:t>
      </w:r>
      <w:r>
        <w:rPr>
          <w:spacing w:val="-1"/>
          <w:sz w:val="22"/>
        </w:rPr>
        <w:t> </w:t>
      </w:r>
      <w:r>
        <w:rPr>
          <w:sz w:val="22"/>
        </w:rPr>
        <w:t>outsiders</w:t>
      </w:r>
      <w:r>
        <w:rPr>
          <w:spacing w:val="-1"/>
          <w:sz w:val="22"/>
        </w:rPr>
        <w:t> </w:t>
      </w:r>
      <w:r>
        <w:rPr>
          <w:sz w:val="22"/>
        </w:rPr>
        <w:t>comprising</w:t>
      </w:r>
      <w:r>
        <w:rPr>
          <w:spacing w:val="-1"/>
          <w:sz w:val="22"/>
        </w:rPr>
        <w:t> </w:t>
      </w:r>
      <w:r>
        <w:rPr>
          <w:sz w:val="22"/>
        </w:rPr>
        <w:t>of</w:t>
      </w:r>
      <w:r>
        <w:rPr>
          <w:spacing w:val="-1"/>
          <w:sz w:val="22"/>
        </w:rPr>
        <w:t> </w:t>
      </w:r>
      <w:r>
        <w:rPr>
          <w:sz w:val="22"/>
        </w:rPr>
        <w:t>the</w:t>
      </w:r>
      <w:r>
        <w:rPr>
          <w:spacing w:val="-1"/>
          <w:sz w:val="22"/>
        </w:rPr>
        <w:t> </w:t>
      </w:r>
      <w:r>
        <w:rPr>
          <w:sz w:val="22"/>
        </w:rPr>
        <w:t>migratory</w:t>
      </w:r>
      <w:r>
        <w:rPr>
          <w:spacing w:val="-1"/>
          <w:sz w:val="22"/>
        </w:rPr>
        <w:t> </w:t>
      </w:r>
      <w:r>
        <w:rPr>
          <w:sz w:val="22"/>
        </w:rPr>
        <w:t>population</w:t>
      </w:r>
      <w:r>
        <w:rPr>
          <w:spacing w:val="-1"/>
          <w:sz w:val="22"/>
        </w:rPr>
        <w:t> </w:t>
      </w:r>
      <w:r>
        <w:rPr>
          <w:sz w:val="22"/>
        </w:rPr>
        <w:t>and</w:t>
      </w:r>
      <w:r>
        <w:rPr>
          <w:spacing w:val="-1"/>
          <w:sz w:val="22"/>
        </w:rPr>
        <w:t> </w:t>
      </w:r>
      <w:r>
        <w:rPr>
          <w:sz w:val="22"/>
        </w:rPr>
        <w:t>thus,</w:t>
      </w:r>
      <w:r>
        <w:rPr>
          <w:spacing w:val="-1"/>
          <w:sz w:val="22"/>
        </w:rPr>
        <w:t> </w:t>
      </w:r>
      <w:r>
        <w:rPr>
          <w:sz w:val="22"/>
        </w:rPr>
        <w:t>they</w:t>
      </w:r>
      <w:r>
        <w:rPr>
          <w:spacing w:val="-1"/>
          <w:sz w:val="22"/>
        </w:rPr>
        <w:t> </w:t>
      </w:r>
      <w:r>
        <w:rPr>
          <w:sz w:val="22"/>
        </w:rPr>
        <w:t>were</w:t>
      </w:r>
      <w:r>
        <w:rPr>
          <w:spacing w:val="-1"/>
          <w:sz w:val="22"/>
        </w:rPr>
        <w:t> </w:t>
      </w:r>
      <w:r>
        <w:rPr>
          <w:sz w:val="22"/>
        </w:rPr>
        <w:t>not</w:t>
      </w:r>
      <w:r>
        <w:rPr>
          <w:spacing w:val="-1"/>
          <w:sz w:val="22"/>
        </w:rPr>
        <w:t> </w:t>
      </w:r>
      <w:r>
        <w:rPr>
          <w:sz w:val="22"/>
        </w:rPr>
        <w:t>falling within the definition of ‘traditional forest dwellers.’ The affidavit reiterates and reaffirms that the entire area of Singampatti village, including the area leased-out to the BBTC, has been declared as </w:t>
      </w:r>
      <w:r>
        <w:rPr>
          <w:sz w:val="22"/>
        </w:rPr>
        <w:t>a reserved forest vide GO (M.S.) No. 03 dated 12th January, 2018.</w:t>
      </w:r>
    </w:p>
    <w:p>
      <w:pPr>
        <w:pStyle w:val="BodyText"/>
        <w:spacing w:before="61"/>
      </w:pPr>
    </w:p>
    <w:p>
      <w:pPr>
        <w:pStyle w:val="ListParagraph"/>
        <w:numPr>
          <w:ilvl w:val="0"/>
          <w:numId w:val="1"/>
        </w:numPr>
        <w:tabs>
          <w:tab w:pos="363" w:val="left" w:leader="none"/>
        </w:tabs>
        <w:spacing w:line="295" w:lineRule="auto" w:before="0" w:after="0"/>
        <w:ind w:left="23" w:right="705" w:firstLine="0"/>
        <w:jc w:val="both"/>
        <w:rPr>
          <w:sz w:val="22"/>
        </w:rPr>
      </w:pPr>
      <w:r>
        <w:rPr>
          <w:sz w:val="22"/>
        </w:rPr>
        <w:t>The Division Bench of the High Court referred to an earlier judgment authored by Hon’ble Mr. </w:t>
      </w:r>
      <w:r>
        <w:rPr>
          <w:spacing w:val="9"/>
          <w:sz w:val="22"/>
        </w:rPr>
        <w:t>Justice </w:t>
      </w:r>
      <w:r>
        <w:rPr>
          <w:sz w:val="22"/>
        </w:rPr>
        <w:t>M. M. </w:t>
      </w:r>
      <w:r>
        <w:rPr>
          <w:spacing w:val="9"/>
          <w:sz w:val="22"/>
        </w:rPr>
        <w:t>Sundresh </w:t>
      </w:r>
      <w:r>
        <w:rPr>
          <w:sz w:val="22"/>
        </w:rPr>
        <w:t>(as His </w:t>
      </w:r>
      <w:r>
        <w:rPr>
          <w:spacing w:val="9"/>
          <w:sz w:val="22"/>
        </w:rPr>
        <w:t>Lordship </w:t>
      </w:r>
      <w:r>
        <w:rPr>
          <w:sz w:val="22"/>
        </w:rPr>
        <w:t>then was), in the case of </w:t>
      </w:r>
      <w:r>
        <w:rPr>
          <w:spacing w:val="9"/>
          <w:sz w:val="22"/>
        </w:rPr>
        <w:t>Bombay </w:t>
      </w:r>
      <w:r>
        <w:rPr>
          <w:sz w:val="22"/>
        </w:rPr>
        <w:t>Burma </w:t>
      </w:r>
      <w:r>
        <w:rPr>
          <w:spacing w:val="11"/>
          <w:sz w:val="22"/>
        </w:rPr>
        <w:t>Trading </w:t>
      </w:r>
      <w:r>
        <w:rPr>
          <w:sz w:val="22"/>
        </w:rPr>
        <w:t>Corporation Ltd. and Ors. v. State of Tamil Nadu and Ors. (2018) 1 CTC 733, wherein extensive directions (quoted below), were given to the Government to preserve and restore the forest area:-</w:t>
      </w:r>
    </w:p>
    <w:p>
      <w:pPr>
        <w:pStyle w:val="BodyText"/>
        <w:spacing w:before="60"/>
      </w:pPr>
    </w:p>
    <w:p>
      <w:pPr>
        <w:pStyle w:val="BodyText"/>
        <w:spacing w:line="295" w:lineRule="auto"/>
        <w:ind w:left="743" w:right="1423"/>
        <w:jc w:val="both"/>
      </w:pPr>
      <w:r>
        <w:rPr/>
        <w:t>“39. The area in issue is pristine forest area. It has rich biodiversity and it must be preserved at least for the future generations. It accommodates river sanctuary. There flow 14 rivers in the Agasthyamalai landscape. The area must be protected as it is. Therefore, keeping in mind the climate change and its effect, every human being in </w:t>
      </w:r>
      <w:r>
        <w:rPr>
          <w:spacing w:val="9"/>
        </w:rPr>
        <w:t>the</w:t>
      </w:r>
      <w:r>
        <w:rPr>
          <w:spacing w:val="9"/>
        </w:rPr>
        <w:t> </w:t>
      </w:r>
      <w:r>
        <w:rPr>
          <w:spacing w:val="11"/>
        </w:rPr>
        <w:t>world</w:t>
      </w:r>
      <w:r>
        <w:rPr>
          <w:spacing w:val="11"/>
        </w:rPr>
        <w:t> </w:t>
      </w:r>
      <w:r>
        <w:rPr>
          <w:spacing w:val="9"/>
        </w:rPr>
        <w:t>has</w:t>
      </w:r>
      <w:r>
        <w:rPr>
          <w:spacing w:val="9"/>
        </w:rPr>
        <w:t> </w:t>
      </w:r>
      <w:r>
        <w:rPr/>
        <w:t>to </w:t>
      </w:r>
      <w:r>
        <w:rPr>
          <w:spacing w:val="11"/>
        </w:rPr>
        <w:t>ensure</w:t>
      </w:r>
      <w:r>
        <w:rPr>
          <w:spacing w:val="11"/>
        </w:rPr>
        <w:t> </w:t>
      </w:r>
      <w:r>
        <w:rPr>
          <w:spacing w:val="9"/>
        </w:rPr>
        <w:t>the</w:t>
      </w:r>
      <w:r>
        <w:rPr>
          <w:spacing w:val="9"/>
        </w:rPr>
        <w:t> </w:t>
      </w:r>
      <w:r>
        <w:rPr>
          <w:spacing w:val="12"/>
        </w:rPr>
        <w:t>preservation</w:t>
      </w:r>
      <w:r>
        <w:rPr>
          <w:spacing w:val="12"/>
        </w:rPr>
        <w:t> </w:t>
      </w:r>
      <w:r>
        <w:rPr/>
        <w:t>of </w:t>
      </w:r>
      <w:r>
        <w:rPr>
          <w:spacing w:val="9"/>
        </w:rPr>
        <w:t>eco</w:t>
      </w:r>
      <w:r>
        <w:rPr>
          <w:spacing w:val="9"/>
        </w:rPr>
        <w:t> </w:t>
      </w:r>
      <w:r>
        <w:rPr>
          <w:spacing w:val="11"/>
        </w:rPr>
        <w:t>system</w:t>
      </w:r>
      <w:r>
        <w:rPr>
          <w:spacing w:val="11"/>
        </w:rPr>
        <w:t> </w:t>
      </w:r>
      <w:r>
        <w:rPr>
          <w:spacing w:val="9"/>
        </w:rPr>
        <w:t>and</w:t>
      </w:r>
      <w:r>
        <w:rPr>
          <w:spacing w:val="9"/>
        </w:rPr>
        <w:t> </w:t>
      </w:r>
      <w:r>
        <w:rPr/>
        <w:t>to </w:t>
      </w:r>
      <w:r>
        <w:rPr>
          <w:spacing w:val="14"/>
        </w:rPr>
        <w:t>continuously </w:t>
      </w:r>
      <w:r>
        <w:rPr/>
        <w:t>endeavour towards protection of air, water and land.”</w:t>
      </w:r>
    </w:p>
    <w:p>
      <w:pPr>
        <w:pStyle w:val="BodyText"/>
        <w:spacing w:after="0" w:line="295" w:lineRule="auto"/>
        <w:jc w:val="both"/>
        <w:sectPr>
          <w:pgSz w:w="11900" w:h="15840"/>
          <w:pgMar w:header="726" w:footer="672" w:top="960" w:bottom="860" w:left="1417" w:right="0"/>
        </w:sectPr>
      </w:pPr>
    </w:p>
    <w:p>
      <w:pPr>
        <w:pStyle w:val="ListParagraph"/>
        <w:numPr>
          <w:ilvl w:val="0"/>
          <w:numId w:val="1"/>
        </w:numPr>
        <w:tabs>
          <w:tab w:pos="344" w:val="left" w:leader="none"/>
        </w:tabs>
        <w:spacing w:line="295" w:lineRule="auto" w:before="91" w:after="0"/>
        <w:ind w:left="23" w:right="716" w:firstLine="0"/>
        <w:jc w:val="both"/>
        <w:rPr>
          <w:sz w:val="22"/>
        </w:rPr>
      </w:pPr>
      <w:r>
        <w:rPr>
          <w:sz w:val="22"/>
        </w:rPr>
        <w:t>It is, in this background, and considering the importance of restoration of the forest areas in the entire Agasthyamalai landscape, we requested learned Solicitor General Shri Tushar Mehta and Shri</w:t>
      </w:r>
    </w:p>
    <w:p>
      <w:pPr>
        <w:pStyle w:val="BodyText"/>
        <w:spacing w:line="295" w:lineRule="auto" w:before="1"/>
        <w:ind w:left="23" w:right="714"/>
        <w:jc w:val="both"/>
      </w:pPr>
      <w:r>
        <w:rPr/>
        <w:t>K. Parameshwar, Senior Advocate, who appears as Amicus Curiae in the forest related matters, to assist the Court in this matter.</w:t>
      </w:r>
    </w:p>
    <w:p>
      <w:pPr>
        <w:pStyle w:val="BodyText"/>
        <w:spacing w:before="59"/>
      </w:pPr>
    </w:p>
    <w:p>
      <w:pPr>
        <w:pStyle w:val="ListParagraph"/>
        <w:numPr>
          <w:ilvl w:val="0"/>
          <w:numId w:val="1"/>
        </w:numPr>
        <w:tabs>
          <w:tab w:pos="373" w:val="left" w:leader="none"/>
        </w:tabs>
        <w:spacing w:line="295" w:lineRule="auto" w:before="0" w:after="0"/>
        <w:ind w:left="23" w:right="710" w:firstLine="0"/>
        <w:jc w:val="both"/>
        <w:rPr>
          <w:sz w:val="22"/>
        </w:rPr>
      </w:pPr>
      <w:r>
        <w:rPr>
          <w:sz w:val="22"/>
        </w:rPr>
        <w:t>On the previous date of hearing, Shri Tushar Mehta, learned Solicitor General, submitted that</w:t>
      </w:r>
      <w:r>
        <w:rPr>
          <w:spacing w:val="40"/>
          <w:sz w:val="22"/>
        </w:rPr>
        <w:t> </w:t>
      </w:r>
      <w:r>
        <w:rPr>
          <w:sz w:val="22"/>
        </w:rPr>
        <w:t>the Central Government is committed to conservation and restoration of forest areas and shall unreservedly comply with all directions which may be issued by this Court to secure this objective.</w:t>
      </w:r>
    </w:p>
    <w:p>
      <w:pPr>
        <w:pStyle w:val="BodyText"/>
        <w:spacing w:before="60"/>
      </w:pPr>
    </w:p>
    <w:p>
      <w:pPr>
        <w:pStyle w:val="ListParagraph"/>
        <w:numPr>
          <w:ilvl w:val="0"/>
          <w:numId w:val="1"/>
        </w:numPr>
        <w:tabs>
          <w:tab w:pos="386" w:val="left" w:leader="none"/>
        </w:tabs>
        <w:spacing w:line="295" w:lineRule="auto" w:before="0" w:after="0"/>
        <w:ind w:left="23" w:right="709" w:firstLine="0"/>
        <w:jc w:val="both"/>
        <w:rPr>
          <w:sz w:val="22"/>
        </w:rPr>
      </w:pPr>
      <w:r>
        <w:rPr>
          <w:sz w:val="22"/>
        </w:rPr>
        <w:t>Shri K. Parameshwar, learned Amicus Curiae pointed out that the region in question is </w:t>
      </w:r>
      <w:r>
        <w:rPr>
          <w:sz w:val="22"/>
        </w:rPr>
        <w:t>an important biodiversity hotspot in the Western Ghats, comprising a part of the Agasthyamalai Biosphere Reserve. He drew the Court’s attention to para 4 of the judgment in Bombay Burmah Trading Corporation Ltd. (supra) which is quoted as under:-</w:t>
      </w:r>
    </w:p>
    <w:p>
      <w:pPr>
        <w:pStyle w:val="BodyText"/>
        <w:spacing w:before="60"/>
      </w:pPr>
    </w:p>
    <w:p>
      <w:pPr>
        <w:pStyle w:val="BodyText"/>
        <w:spacing w:line="295" w:lineRule="auto"/>
        <w:ind w:left="743" w:right="1412"/>
        <w:jc w:val="both"/>
      </w:pPr>
      <w:r>
        <w:rPr/>
        <w:t>“4. Biosphere Reserve (BR) is a representative part of natural and cultural landscapes extending over large area of terrestrial or coastal/marine ecosystem or a combination </w:t>
      </w:r>
      <w:r>
        <w:rPr>
          <w:spacing w:val="21"/>
        </w:rPr>
        <w:t>thereof.</w:t>
      </w:r>
      <w:r>
        <w:rPr>
          <w:spacing w:val="21"/>
        </w:rPr>
        <w:t> Kalakad</w:t>
      </w:r>
      <w:r>
        <w:rPr>
          <w:spacing w:val="21"/>
        </w:rPr>
        <w:t> </w:t>
      </w:r>
      <w:r>
        <w:rPr>
          <w:spacing w:val="22"/>
        </w:rPr>
        <w:t>Mundanthurai</w:t>
      </w:r>
      <w:r>
        <w:rPr>
          <w:spacing w:val="22"/>
        </w:rPr>
        <w:t> </w:t>
      </w:r>
      <w:r>
        <w:rPr>
          <w:spacing w:val="20"/>
        </w:rPr>
        <w:t>Tiger</w:t>
      </w:r>
      <w:r>
        <w:rPr>
          <w:spacing w:val="20"/>
        </w:rPr>
        <w:t> </w:t>
      </w:r>
      <w:r>
        <w:rPr>
          <w:spacing w:val="21"/>
        </w:rPr>
        <w:t>Reserve</w:t>
      </w:r>
      <w:r>
        <w:rPr>
          <w:spacing w:val="21"/>
        </w:rPr>
        <w:t> </w:t>
      </w:r>
      <w:r>
        <w:rPr>
          <w:spacing w:val="20"/>
        </w:rPr>
        <w:t>forms</w:t>
      </w:r>
      <w:r>
        <w:rPr>
          <w:spacing w:val="20"/>
        </w:rPr>
        <w:t> </w:t>
      </w:r>
      <w:r>
        <w:rPr>
          <w:spacing w:val="16"/>
        </w:rPr>
        <w:t>the</w:t>
      </w:r>
      <w:r>
        <w:rPr>
          <w:spacing w:val="16"/>
        </w:rPr>
        <w:t> </w:t>
      </w:r>
      <w:r>
        <w:rPr>
          <w:spacing w:val="18"/>
        </w:rPr>
        <w:t>core</w:t>
      </w:r>
      <w:r>
        <w:rPr>
          <w:spacing w:val="18"/>
        </w:rPr>
        <w:t> zone</w:t>
      </w:r>
      <w:r>
        <w:rPr>
          <w:spacing w:val="18"/>
        </w:rPr>
        <w:t> </w:t>
      </w:r>
      <w:r>
        <w:rPr>
          <w:spacing w:val="12"/>
        </w:rPr>
        <w:t>of </w:t>
      </w:r>
      <w:r>
        <w:rPr>
          <w:spacing w:val="11"/>
        </w:rPr>
        <w:t>Agasthiyarmalai </w:t>
      </w:r>
      <w:r>
        <w:rPr>
          <w:spacing w:val="10"/>
        </w:rPr>
        <w:t>Biosphere Reserve. </w:t>
      </w:r>
      <w:r>
        <w:rPr/>
        <w:t>In the 4th </w:t>
      </w:r>
      <w:r>
        <w:rPr>
          <w:spacing w:val="9"/>
        </w:rPr>
        <w:t>World </w:t>
      </w:r>
      <w:r>
        <w:rPr>
          <w:spacing w:val="10"/>
        </w:rPr>
        <w:t>Congress </w:t>
      </w:r>
      <w:r>
        <w:rPr/>
        <w:t>of </w:t>
      </w:r>
      <w:r>
        <w:rPr>
          <w:spacing w:val="12"/>
        </w:rPr>
        <w:t>Biosphere </w:t>
      </w:r>
      <w:r>
        <w:rPr/>
        <w:t>Reserves, Agasthyamala Biosphere Reserve has been declared as World Biosphere Reserve taking note of its cultural and ecological diversity. Agasthyamala Biosphere Reserve is included in the World Network of Biosphere Reserve under the Man and </w:t>
      </w:r>
      <w:r>
        <w:rPr>
          <w:spacing w:val="12"/>
        </w:rPr>
        <w:t>Biosphere</w:t>
      </w:r>
      <w:r>
        <w:rPr>
          <w:spacing w:val="12"/>
        </w:rPr>
        <w:t> </w:t>
      </w:r>
      <w:r>
        <w:rPr>
          <w:spacing w:val="11"/>
        </w:rPr>
        <w:t>(MAB)</w:t>
      </w:r>
      <w:r>
        <w:rPr>
          <w:spacing w:val="11"/>
        </w:rPr>
        <w:t> </w:t>
      </w:r>
      <w:r>
        <w:rPr>
          <w:spacing w:val="12"/>
        </w:rPr>
        <w:t>Program</w:t>
      </w:r>
      <w:r>
        <w:rPr>
          <w:spacing w:val="12"/>
        </w:rPr>
        <w:t> </w:t>
      </w:r>
      <w:r>
        <w:rPr/>
        <w:t>of </w:t>
      </w:r>
      <w:r>
        <w:rPr>
          <w:spacing w:val="11"/>
        </w:rPr>
        <w:t>UNESCO</w:t>
      </w:r>
      <w:r>
        <w:rPr>
          <w:spacing w:val="11"/>
        </w:rPr>
        <w:t> </w:t>
      </w:r>
      <w:r>
        <w:rPr/>
        <w:t>in </w:t>
      </w:r>
      <w:r>
        <w:rPr>
          <w:spacing w:val="9"/>
        </w:rPr>
        <w:t>the</w:t>
      </w:r>
      <w:r>
        <w:rPr>
          <w:spacing w:val="9"/>
        </w:rPr>
        <w:t> </w:t>
      </w:r>
      <w:r>
        <w:rPr>
          <w:spacing w:val="10"/>
        </w:rPr>
        <w:t>28th</w:t>
      </w:r>
      <w:r>
        <w:rPr>
          <w:spacing w:val="10"/>
        </w:rPr>
        <w:t> </w:t>
      </w:r>
      <w:r>
        <w:rPr>
          <w:spacing w:val="12"/>
        </w:rPr>
        <w:t>Session</w:t>
      </w:r>
      <w:r>
        <w:rPr>
          <w:spacing w:val="12"/>
        </w:rPr>
        <w:t> </w:t>
      </w:r>
      <w:r>
        <w:rPr/>
        <w:t>of </w:t>
      </w:r>
      <w:r>
        <w:rPr>
          <w:spacing w:val="14"/>
        </w:rPr>
        <w:t>International </w:t>
      </w:r>
      <w:r>
        <w:rPr/>
        <w:t>Coordinating Council held in Lima, Peru from 18th to 19th March, 2016.”</w:t>
      </w:r>
    </w:p>
    <w:p>
      <w:pPr>
        <w:pStyle w:val="BodyText"/>
        <w:spacing w:before="63"/>
      </w:pPr>
    </w:p>
    <w:p>
      <w:pPr>
        <w:pStyle w:val="ListParagraph"/>
        <w:numPr>
          <w:ilvl w:val="0"/>
          <w:numId w:val="1"/>
        </w:numPr>
        <w:tabs>
          <w:tab w:pos="421" w:val="left" w:leader="none"/>
        </w:tabs>
        <w:spacing w:line="295" w:lineRule="auto" w:before="0" w:after="0"/>
        <w:ind w:left="23" w:right="705" w:firstLine="0"/>
        <w:jc w:val="both"/>
        <w:rPr>
          <w:sz w:val="22"/>
        </w:rPr>
      </w:pPr>
      <w:r>
        <w:rPr>
          <w:sz w:val="22"/>
        </w:rPr>
        <w:t>Shri Parameshwar referred to topography of the Agasthyamalai landscape, which includes</w:t>
      </w:r>
      <w:r>
        <w:rPr>
          <w:spacing w:val="40"/>
          <w:sz w:val="22"/>
        </w:rPr>
        <w:t> </w:t>
      </w:r>
      <w:r>
        <w:rPr>
          <w:sz w:val="22"/>
        </w:rPr>
        <w:t>within its ambit the Periyar Tiger Reserve, Srivilliputhur Grizzled Squirrel Wildlife Sanctuary, Meghamalai and Thirunelveli Wildlife Sanctuaries. He pointed out that the High Court of Madras in the </w:t>
      </w:r>
      <w:r>
        <w:rPr>
          <w:spacing w:val="13"/>
          <w:sz w:val="22"/>
        </w:rPr>
        <w:t>afore-</w:t>
      </w:r>
      <w:r>
        <w:rPr>
          <w:spacing w:val="10"/>
          <w:sz w:val="22"/>
        </w:rPr>
        <w:t>quoted</w:t>
      </w:r>
      <w:r>
        <w:rPr>
          <w:spacing w:val="10"/>
          <w:sz w:val="22"/>
        </w:rPr>
        <w:t> </w:t>
      </w:r>
      <w:r>
        <w:rPr>
          <w:spacing w:val="11"/>
          <w:sz w:val="22"/>
        </w:rPr>
        <w:t>judgment</w:t>
      </w:r>
      <w:r>
        <w:rPr>
          <w:spacing w:val="11"/>
          <w:sz w:val="22"/>
        </w:rPr>
        <w:t> </w:t>
      </w:r>
      <w:r>
        <w:rPr>
          <w:sz w:val="22"/>
        </w:rPr>
        <w:t>of </w:t>
      </w:r>
      <w:r>
        <w:rPr>
          <w:spacing w:val="10"/>
          <w:sz w:val="22"/>
        </w:rPr>
        <w:t>2018,</w:t>
      </w:r>
      <w:r>
        <w:rPr>
          <w:spacing w:val="10"/>
          <w:sz w:val="22"/>
        </w:rPr>
        <w:t> </w:t>
      </w:r>
      <w:r>
        <w:rPr>
          <w:sz w:val="22"/>
        </w:rPr>
        <w:t>has </w:t>
      </w:r>
      <w:r>
        <w:rPr>
          <w:spacing w:val="11"/>
          <w:sz w:val="22"/>
        </w:rPr>
        <w:t>recognized</w:t>
      </w:r>
      <w:r>
        <w:rPr>
          <w:spacing w:val="11"/>
          <w:sz w:val="22"/>
        </w:rPr>
        <w:t> </w:t>
      </w:r>
      <w:r>
        <w:rPr>
          <w:spacing w:val="9"/>
          <w:sz w:val="22"/>
        </w:rPr>
        <w:t>this</w:t>
      </w:r>
      <w:r>
        <w:rPr>
          <w:spacing w:val="9"/>
          <w:sz w:val="22"/>
        </w:rPr>
        <w:t> </w:t>
      </w:r>
      <w:r>
        <w:rPr>
          <w:spacing w:val="10"/>
          <w:sz w:val="22"/>
        </w:rPr>
        <w:t>entire</w:t>
      </w:r>
      <w:r>
        <w:rPr>
          <w:spacing w:val="10"/>
          <w:sz w:val="22"/>
        </w:rPr>
        <w:t> </w:t>
      </w:r>
      <w:r>
        <w:rPr>
          <w:spacing w:val="9"/>
          <w:sz w:val="22"/>
        </w:rPr>
        <w:t>area</w:t>
      </w:r>
      <w:r>
        <w:rPr>
          <w:spacing w:val="9"/>
          <w:sz w:val="22"/>
        </w:rPr>
        <w:t> </w:t>
      </w:r>
      <w:r>
        <w:rPr>
          <w:sz w:val="22"/>
        </w:rPr>
        <w:t>as </w:t>
      </w:r>
      <w:r>
        <w:rPr>
          <w:spacing w:val="11"/>
          <w:sz w:val="22"/>
        </w:rPr>
        <w:t>crucial</w:t>
      </w:r>
      <w:r>
        <w:rPr>
          <w:spacing w:val="11"/>
          <w:sz w:val="22"/>
        </w:rPr>
        <w:t> </w:t>
      </w:r>
      <w:r>
        <w:rPr>
          <w:sz w:val="22"/>
        </w:rPr>
        <w:t>to </w:t>
      </w:r>
      <w:r>
        <w:rPr>
          <w:spacing w:val="13"/>
          <w:sz w:val="22"/>
        </w:rPr>
        <w:t>elephant </w:t>
      </w:r>
      <w:r>
        <w:rPr>
          <w:sz w:val="22"/>
        </w:rPr>
        <w:t>conservation in Southern India. He urged that the High Court has already issued a mandate to evacuate the tea estate workers from the critical forest areas which have to be maintained as pristine forests and no commercial activities, including ecotourism cultivation, etc. can be permitted on</w:t>
      </w:r>
      <w:r>
        <w:rPr>
          <w:spacing w:val="40"/>
          <w:sz w:val="22"/>
        </w:rPr>
        <w:t> </w:t>
      </w:r>
      <w:r>
        <w:rPr>
          <w:sz w:val="22"/>
        </w:rPr>
        <w:t>these lands. He further submitted that significant part of the encroachment is owing to the illegal cultivation of silk cotton being carried out by the unscrupulous elements in the core forest areas.</w:t>
      </w:r>
    </w:p>
    <w:p>
      <w:pPr>
        <w:pStyle w:val="BodyText"/>
        <w:spacing w:before="63"/>
      </w:pPr>
    </w:p>
    <w:p>
      <w:pPr>
        <w:pStyle w:val="ListParagraph"/>
        <w:numPr>
          <w:ilvl w:val="0"/>
          <w:numId w:val="1"/>
        </w:numPr>
        <w:tabs>
          <w:tab w:pos="378" w:val="left" w:leader="none"/>
        </w:tabs>
        <w:spacing w:line="295" w:lineRule="auto" w:before="0" w:after="0"/>
        <w:ind w:left="23" w:right="703" w:firstLine="0"/>
        <w:jc w:val="both"/>
        <w:rPr>
          <w:sz w:val="22"/>
        </w:rPr>
      </w:pPr>
      <w:r>
        <w:rPr>
          <w:sz w:val="22"/>
        </w:rPr>
        <w:t>However, it was the contention of learned Amicus Curiae that with the efflux of time, these directions have lost their edge and have become inadequate for meaningful </w:t>
      </w:r>
      <w:r>
        <w:rPr>
          <w:spacing w:val="9"/>
          <w:sz w:val="22"/>
        </w:rPr>
        <w:t>restoration </w:t>
      </w:r>
      <w:r>
        <w:rPr>
          <w:spacing w:val="10"/>
          <w:sz w:val="22"/>
        </w:rPr>
        <w:t>and </w:t>
      </w:r>
      <w:r>
        <w:rPr>
          <w:sz w:val="22"/>
        </w:rPr>
        <w:t>rehabilitation of the Agasthyamalai landscape. He urged that it is imperative that a scientific survey should be carried out for determining the boundaries of all the forest areas in the Agasthyamalai </w:t>
      </w:r>
      <w:r>
        <w:rPr>
          <w:spacing w:val="12"/>
          <w:sz w:val="22"/>
        </w:rPr>
        <w:t>landscape</w:t>
      </w:r>
      <w:r>
        <w:rPr>
          <w:spacing w:val="12"/>
          <w:sz w:val="22"/>
        </w:rPr>
        <w:t> </w:t>
      </w:r>
      <w:r>
        <w:rPr>
          <w:spacing w:val="9"/>
          <w:sz w:val="22"/>
        </w:rPr>
        <w:t>and</w:t>
      </w:r>
      <w:r>
        <w:rPr>
          <w:spacing w:val="9"/>
          <w:sz w:val="22"/>
        </w:rPr>
        <w:t> </w:t>
      </w:r>
      <w:r>
        <w:rPr>
          <w:sz w:val="22"/>
        </w:rPr>
        <w:t>to </w:t>
      </w:r>
      <w:r>
        <w:rPr>
          <w:spacing w:val="12"/>
          <w:sz w:val="22"/>
        </w:rPr>
        <w:t>identify</w:t>
      </w:r>
      <w:r>
        <w:rPr>
          <w:spacing w:val="12"/>
          <w:sz w:val="22"/>
        </w:rPr>
        <w:t> </w:t>
      </w:r>
      <w:r>
        <w:rPr>
          <w:spacing w:val="9"/>
          <w:sz w:val="22"/>
        </w:rPr>
        <w:t>the</w:t>
      </w:r>
      <w:r>
        <w:rPr>
          <w:spacing w:val="9"/>
          <w:sz w:val="22"/>
        </w:rPr>
        <w:t> </w:t>
      </w:r>
      <w:r>
        <w:rPr>
          <w:spacing w:val="11"/>
          <w:sz w:val="22"/>
        </w:rPr>
        <w:t>extent</w:t>
      </w:r>
      <w:r>
        <w:rPr>
          <w:spacing w:val="11"/>
          <w:sz w:val="22"/>
        </w:rPr>
        <w:t> </w:t>
      </w:r>
      <w:r>
        <w:rPr>
          <w:sz w:val="22"/>
        </w:rPr>
        <w:t>of </w:t>
      </w:r>
      <w:r>
        <w:rPr>
          <w:spacing w:val="12"/>
          <w:sz w:val="22"/>
        </w:rPr>
        <w:t>encroachments</w:t>
      </w:r>
      <w:r>
        <w:rPr>
          <w:spacing w:val="12"/>
          <w:sz w:val="22"/>
        </w:rPr>
        <w:t> prevailing</w:t>
      </w:r>
      <w:r>
        <w:rPr>
          <w:spacing w:val="12"/>
          <w:sz w:val="22"/>
        </w:rPr>
        <w:t> thereupon.</w:t>
      </w:r>
      <w:r>
        <w:rPr>
          <w:spacing w:val="12"/>
          <w:sz w:val="22"/>
        </w:rPr>
        <w:t> </w:t>
      </w:r>
      <w:r>
        <w:rPr>
          <w:sz w:val="22"/>
        </w:rPr>
        <w:t>As </w:t>
      </w:r>
      <w:r>
        <w:rPr>
          <w:spacing w:val="9"/>
          <w:sz w:val="22"/>
        </w:rPr>
        <w:t>per</w:t>
      </w:r>
      <w:r>
        <w:rPr>
          <w:spacing w:val="9"/>
          <w:sz w:val="22"/>
        </w:rPr>
        <w:t> </w:t>
      </w:r>
      <w:r>
        <w:rPr>
          <w:spacing w:val="14"/>
          <w:sz w:val="22"/>
        </w:rPr>
        <w:t>Shri </w:t>
      </w:r>
      <w:r>
        <w:rPr>
          <w:sz w:val="22"/>
        </w:rPr>
        <w:t>Parmeshwar, only after the forest areas are identified and distinctly demarcated, measures required to restore and rejuvenate the forest areas which are extensively being depleted owing to systematic encroachments and exploitation by cultivated plantations, going on for almost one century, can be set in motion. The forest boundaries need to be secured, preceded by a scientific survey, which should</w:t>
      </w:r>
      <w:r>
        <w:rPr>
          <w:spacing w:val="15"/>
          <w:sz w:val="22"/>
        </w:rPr>
        <w:t> </w:t>
      </w:r>
      <w:r>
        <w:rPr>
          <w:sz w:val="22"/>
        </w:rPr>
        <w:t>include</w:t>
      </w:r>
      <w:r>
        <w:rPr>
          <w:spacing w:val="15"/>
          <w:sz w:val="22"/>
        </w:rPr>
        <w:t> </w:t>
      </w:r>
      <w:r>
        <w:rPr>
          <w:sz w:val="22"/>
        </w:rPr>
        <w:t>Satellite</w:t>
      </w:r>
      <w:r>
        <w:rPr>
          <w:spacing w:val="15"/>
          <w:sz w:val="22"/>
        </w:rPr>
        <w:t> </w:t>
      </w:r>
      <w:r>
        <w:rPr>
          <w:sz w:val="22"/>
        </w:rPr>
        <w:t>Imagery</w:t>
      </w:r>
      <w:r>
        <w:rPr>
          <w:spacing w:val="15"/>
          <w:sz w:val="22"/>
        </w:rPr>
        <w:t> </w:t>
      </w:r>
      <w:r>
        <w:rPr>
          <w:sz w:val="22"/>
        </w:rPr>
        <w:t>by</w:t>
      </w:r>
      <w:r>
        <w:rPr>
          <w:spacing w:val="15"/>
          <w:sz w:val="22"/>
        </w:rPr>
        <w:t> </w:t>
      </w:r>
      <w:r>
        <w:rPr>
          <w:sz w:val="22"/>
        </w:rPr>
        <w:t>Remote</w:t>
      </w:r>
      <w:r>
        <w:rPr>
          <w:spacing w:val="15"/>
          <w:sz w:val="22"/>
        </w:rPr>
        <w:t> </w:t>
      </w:r>
      <w:r>
        <w:rPr>
          <w:sz w:val="22"/>
        </w:rPr>
        <w:t>Sensing</w:t>
      </w:r>
      <w:r>
        <w:rPr>
          <w:spacing w:val="15"/>
          <w:sz w:val="22"/>
        </w:rPr>
        <w:t> </w:t>
      </w:r>
      <w:r>
        <w:rPr>
          <w:sz w:val="22"/>
        </w:rPr>
        <w:t>methods</w:t>
      </w:r>
      <w:r>
        <w:rPr>
          <w:spacing w:val="15"/>
          <w:sz w:val="22"/>
        </w:rPr>
        <w:t> </w:t>
      </w:r>
      <w:r>
        <w:rPr>
          <w:sz w:val="22"/>
        </w:rPr>
        <w:t>and</w:t>
      </w:r>
      <w:r>
        <w:rPr>
          <w:spacing w:val="15"/>
          <w:sz w:val="22"/>
        </w:rPr>
        <w:t> </w:t>
      </w:r>
      <w:r>
        <w:rPr>
          <w:sz w:val="22"/>
        </w:rPr>
        <w:t>Geo-Mapping</w:t>
      </w:r>
      <w:r>
        <w:rPr>
          <w:spacing w:val="15"/>
          <w:sz w:val="22"/>
        </w:rPr>
        <w:t> </w:t>
      </w:r>
      <w:r>
        <w:rPr>
          <w:sz w:val="22"/>
        </w:rPr>
        <w:t>of</w:t>
      </w:r>
      <w:r>
        <w:rPr>
          <w:spacing w:val="15"/>
          <w:sz w:val="22"/>
        </w:rPr>
        <w:t> </w:t>
      </w:r>
      <w:r>
        <w:rPr>
          <w:sz w:val="22"/>
        </w:rPr>
        <w:t>the</w:t>
      </w:r>
      <w:r>
        <w:rPr>
          <w:spacing w:val="15"/>
          <w:sz w:val="22"/>
        </w:rPr>
        <w:t> </w:t>
      </w:r>
      <w:r>
        <w:rPr>
          <w:sz w:val="22"/>
        </w:rPr>
        <w:t>entire</w:t>
      </w:r>
      <w:r>
        <w:rPr>
          <w:spacing w:val="15"/>
          <w:sz w:val="22"/>
        </w:rPr>
        <w:t> </w:t>
      </w:r>
      <w:r>
        <w:rPr>
          <w:spacing w:val="-4"/>
          <w:sz w:val="22"/>
        </w:rPr>
        <w:t>area</w:t>
      </w:r>
    </w:p>
    <w:p>
      <w:pPr>
        <w:pStyle w:val="ListParagraph"/>
        <w:spacing w:after="0" w:line="295" w:lineRule="auto"/>
        <w:jc w:val="both"/>
        <w:rPr>
          <w:sz w:val="22"/>
        </w:rPr>
        <w:sectPr>
          <w:pgSz w:w="11900" w:h="15840"/>
          <w:pgMar w:header="726" w:footer="672" w:top="960" w:bottom="860" w:left="1417" w:right="0"/>
        </w:sectPr>
      </w:pPr>
    </w:p>
    <w:p>
      <w:pPr>
        <w:pStyle w:val="BodyText"/>
        <w:spacing w:line="295" w:lineRule="auto" w:before="91"/>
        <w:ind w:left="23" w:right="710"/>
        <w:jc w:val="both"/>
      </w:pPr>
      <w:r>
        <w:rPr/>
        <w:t>failing which the objective of establishing the tiger reserves i.e., ‘Core Critical Tiger Habitat’ and having a healthy tiger population in the said reserve forests can never be achieved. He referred to</w:t>
      </w:r>
      <w:r>
        <w:rPr>
          <w:spacing w:val="40"/>
        </w:rPr>
        <w:t> </w:t>
      </w:r>
      <w:r>
        <w:rPr/>
        <w:t>the following observations made by this Court in T.N. Godavarman Thirumalpad (2025) 2 SCC 641 and urged that a healthy tiger population is crucial to the health of the forests and that a ‘Core Critical Tiger Habitat’ merits the highest level of protection. The same is reproduced hereinbelow:</w:t>
      </w:r>
    </w:p>
    <w:p>
      <w:pPr>
        <w:pStyle w:val="BodyText"/>
        <w:spacing w:before="61"/>
      </w:pPr>
    </w:p>
    <w:p>
      <w:pPr>
        <w:pStyle w:val="BodyText"/>
        <w:spacing w:line="295" w:lineRule="auto"/>
        <w:ind w:left="743" w:right="1429"/>
        <w:jc w:val="both"/>
      </w:pPr>
      <w:r>
        <w:rPr/>
        <w:t>“The tiger perishes without the forest and the forest perishes without its tigers. Therefore, the tiger should stand guard over the forest and the forest should protect all its tigers.” This is how the importance of the tigers in the ecosystem has been succinctly described in ‘Mahabharta’. The existence of the forest is necessary for the protection of tigers. In turn, if the tiger is protected, the ecosystem which revolves around him is also protected. The tiger represents the apex of the animal pyramid</w:t>
      </w:r>
      <w:r>
        <w:rPr>
          <w:spacing w:val="40"/>
        </w:rPr>
        <w:t> </w:t>
      </w:r>
      <w:r>
        <w:rPr/>
        <w:t>and the protection of their habitat must be a priority. “A healthy tiger population is</w:t>
      </w:r>
      <w:r>
        <w:rPr>
          <w:spacing w:val="40"/>
        </w:rPr>
        <w:t> </w:t>
      </w:r>
      <w:r>
        <w:rPr/>
        <w:t>an indicator of sustainable development in the 13 tiger range countries.”</w:t>
      </w:r>
    </w:p>
    <w:p>
      <w:pPr>
        <w:pStyle w:val="BodyText"/>
        <w:spacing w:before="62"/>
      </w:pPr>
    </w:p>
    <w:p>
      <w:pPr>
        <w:pStyle w:val="ListParagraph"/>
        <w:numPr>
          <w:ilvl w:val="0"/>
          <w:numId w:val="1"/>
        </w:numPr>
        <w:tabs>
          <w:tab w:pos="405" w:val="left" w:leader="none"/>
        </w:tabs>
        <w:spacing w:line="295" w:lineRule="auto" w:before="0" w:after="0"/>
        <w:ind w:left="23" w:right="707" w:firstLine="0"/>
        <w:jc w:val="both"/>
        <w:rPr>
          <w:sz w:val="22"/>
        </w:rPr>
      </w:pPr>
      <w:r>
        <w:rPr>
          <w:sz w:val="22"/>
        </w:rPr>
        <w:t>Learned Amicus Curiae prayed that the Central Empowered Committee (‘CEC’) constituted under the directions of this Court may be asked to conduct an extensive survey of the entire landscape and to give its suggestions for restoration of the pristine forest ecosystem.</w:t>
      </w:r>
    </w:p>
    <w:p>
      <w:pPr>
        <w:pStyle w:val="BodyText"/>
        <w:spacing w:before="60"/>
      </w:pPr>
    </w:p>
    <w:p>
      <w:pPr>
        <w:pStyle w:val="ListParagraph"/>
        <w:numPr>
          <w:ilvl w:val="0"/>
          <w:numId w:val="1"/>
        </w:numPr>
        <w:tabs>
          <w:tab w:pos="403" w:val="left" w:leader="none"/>
        </w:tabs>
        <w:spacing w:line="295" w:lineRule="auto" w:before="0" w:after="0"/>
        <w:ind w:left="23" w:right="712" w:firstLine="0"/>
        <w:jc w:val="both"/>
        <w:rPr>
          <w:sz w:val="22"/>
        </w:rPr>
      </w:pPr>
      <w:r>
        <w:rPr>
          <w:sz w:val="22"/>
        </w:rPr>
        <w:t>Shri Parmeshwar further submitted that the CEC may be assigned the task of surveying the entire Agasthyamalai landscape so as to find out the extent of encroachments, if any, existing in these areas including the critical tiger reserves; to give a report regarding non-forestry activities (including any kind of cultivation) in and around the reserved forest areas.</w:t>
      </w:r>
    </w:p>
    <w:p>
      <w:pPr>
        <w:pStyle w:val="BodyText"/>
        <w:spacing w:before="60"/>
      </w:pPr>
    </w:p>
    <w:p>
      <w:pPr>
        <w:pStyle w:val="ListParagraph"/>
        <w:numPr>
          <w:ilvl w:val="0"/>
          <w:numId w:val="1"/>
        </w:numPr>
        <w:tabs>
          <w:tab w:pos="390" w:val="left" w:leader="none"/>
        </w:tabs>
        <w:spacing w:line="295" w:lineRule="auto" w:before="0" w:after="0"/>
        <w:ind w:left="23" w:right="713" w:firstLine="0"/>
        <w:jc w:val="both"/>
        <w:rPr>
          <w:sz w:val="22"/>
        </w:rPr>
      </w:pPr>
      <w:r>
        <w:rPr>
          <w:sz w:val="22"/>
        </w:rPr>
        <w:t>He urged that the concerned authorities of the State may be mandated to stop the Government facilities and to remove all infrastructures including fair price shops, schools, Anganwadi, banks, water supplies, roads, bridges, transport facilities, etc. being provided in these reserved forest areas.</w:t>
      </w:r>
    </w:p>
    <w:p>
      <w:pPr>
        <w:pStyle w:val="BodyText"/>
        <w:spacing w:before="59"/>
      </w:pPr>
    </w:p>
    <w:p>
      <w:pPr>
        <w:pStyle w:val="ListParagraph"/>
        <w:numPr>
          <w:ilvl w:val="0"/>
          <w:numId w:val="1"/>
        </w:numPr>
        <w:tabs>
          <w:tab w:pos="383" w:val="left" w:leader="none"/>
        </w:tabs>
        <w:spacing w:line="295" w:lineRule="auto" w:before="1" w:after="0"/>
        <w:ind w:left="23" w:right="709" w:firstLine="0"/>
        <w:jc w:val="both"/>
        <w:rPr>
          <w:sz w:val="22"/>
        </w:rPr>
      </w:pPr>
      <w:r>
        <w:rPr>
          <w:sz w:val="22"/>
        </w:rPr>
        <w:t>He also submitted that this Court may be pleased to provide protection to the forest personnel from malicious prosecutions in which they are frequently being entangled during the eviction proceedings; and to direct the local administration and police authorities to provide support and protection to the forest personnel during the eviction process.</w:t>
      </w:r>
    </w:p>
    <w:p>
      <w:pPr>
        <w:pStyle w:val="BodyText"/>
        <w:spacing w:before="60"/>
      </w:pPr>
    </w:p>
    <w:p>
      <w:pPr>
        <w:pStyle w:val="ListParagraph"/>
        <w:numPr>
          <w:ilvl w:val="0"/>
          <w:numId w:val="1"/>
        </w:numPr>
        <w:tabs>
          <w:tab w:pos="395" w:val="left" w:leader="none"/>
        </w:tabs>
        <w:spacing w:line="295" w:lineRule="auto" w:before="0" w:after="0"/>
        <w:ind w:left="23" w:right="706" w:firstLine="0"/>
        <w:jc w:val="both"/>
        <w:rPr>
          <w:sz w:val="22"/>
        </w:rPr>
      </w:pPr>
      <w:r>
        <w:rPr>
          <w:sz w:val="22"/>
        </w:rPr>
        <w:t>Shri P.S. Raman, learned Advocate General appearing for the State of Tamil Nadu, submitted that the State Government is committed to ensure that no part of the reserve forest areas </w:t>
      </w:r>
      <w:r>
        <w:rPr>
          <w:spacing w:val="10"/>
          <w:sz w:val="22"/>
        </w:rPr>
        <w:t>is </w:t>
      </w:r>
      <w:r>
        <w:rPr>
          <w:sz w:val="22"/>
        </w:rPr>
        <w:t>encroached upon and that the entire area of the Agasthyamalai landscape which includes reserved forests referred to supra, are freed from encroachments and restored to their original form. He</w:t>
      </w:r>
      <w:r>
        <w:rPr>
          <w:spacing w:val="40"/>
          <w:sz w:val="22"/>
        </w:rPr>
        <w:t> </w:t>
      </w:r>
      <w:r>
        <w:rPr>
          <w:sz w:val="22"/>
        </w:rPr>
        <w:t>urged that the State Government has already taken proactive initiatives to ensure removal of encroachments, restoration of the forests and rehabilitation of the tea estate workers. The process for restoration of the Singampatti Zamin area as a forest area has already been commenced and the task of </w:t>
      </w:r>
      <w:r>
        <w:rPr>
          <w:spacing w:val="10"/>
          <w:sz w:val="22"/>
        </w:rPr>
        <w:t>relocating </w:t>
      </w:r>
      <w:r>
        <w:rPr>
          <w:sz w:val="22"/>
        </w:rPr>
        <w:t>and </w:t>
      </w:r>
      <w:r>
        <w:rPr>
          <w:spacing w:val="11"/>
          <w:sz w:val="22"/>
        </w:rPr>
        <w:t>rehabilitation </w:t>
      </w:r>
      <w:r>
        <w:rPr>
          <w:sz w:val="22"/>
        </w:rPr>
        <w:t>of the </w:t>
      </w:r>
      <w:r>
        <w:rPr>
          <w:spacing w:val="10"/>
          <w:sz w:val="22"/>
        </w:rPr>
        <w:t>workers </w:t>
      </w:r>
      <w:r>
        <w:rPr>
          <w:sz w:val="22"/>
        </w:rPr>
        <w:t>is </w:t>
      </w:r>
      <w:r>
        <w:rPr>
          <w:spacing w:val="10"/>
          <w:sz w:val="22"/>
        </w:rPr>
        <w:t>complete. </w:t>
      </w:r>
      <w:r>
        <w:rPr>
          <w:sz w:val="22"/>
        </w:rPr>
        <w:t>He </w:t>
      </w:r>
      <w:r>
        <w:rPr>
          <w:spacing w:val="10"/>
          <w:sz w:val="22"/>
        </w:rPr>
        <w:t>assured </w:t>
      </w:r>
      <w:r>
        <w:rPr>
          <w:sz w:val="22"/>
        </w:rPr>
        <w:t>that the </w:t>
      </w:r>
      <w:r>
        <w:rPr>
          <w:spacing w:val="12"/>
          <w:sz w:val="22"/>
        </w:rPr>
        <w:t>State </w:t>
      </w:r>
      <w:r>
        <w:rPr>
          <w:sz w:val="22"/>
        </w:rPr>
        <w:t>Government shall provide all support to the CEC in the process of survey, as may be directed by this </w:t>
      </w:r>
      <w:r>
        <w:rPr>
          <w:spacing w:val="-2"/>
          <w:sz w:val="22"/>
        </w:rPr>
        <w:t>Court.</w:t>
      </w:r>
    </w:p>
    <w:p>
      <w:pPr>
        <w:pStyle w:val="ListParagraph"/>
        <w:spacing w:after="0" w:line="295" w:lineRule="auto"/>
        <w:jc w:val="both"/>
        <w:rPr>
          <w:sz w:val="22"/>
        </w:rPr>
        <w:sectPr>
          <w:pgSz w:w="11900" w:h="15840"/>
          <w:pgMar w:header="726" w:footer="672" w:top="960" w:bottom="860" w:left="1417" w:right="0"/>
        </w:sectPr>
      </w:pPr>
    </w:p>
    <w:p>
      <w:pPr>
        <w:pStyle w:val="ListParagraph"/>
        <w:numPr>
          <w:ilvl w:val="0"/>
          <w:numId w:val="1"/>
        </w:numPr>
        <w:tabs>
          <w:tab w:pos="388" w:val="left" w:leader="none"/>
        </w:tabs>
        <w:spacing w:line="295" w:lineRule="auto" w:before="91" w:after="0"/>
        <w:ind w:left="23" w:right="713" w:firstLine="0"/>
        <w:jc w:val="both"/>
        <w:rPr>
          <w:sz w:val="22"/>
        </w:rPr>
      </w:pPr>
      <w:r>
        <w:rPr>
          <w:sz w:val="22"/>
        </w:rPr>
        <w:t>In view of the submissions noted above and as an interim measure, to initiate the process of restoration of the pristine forest areas and to protect the tiger habitats/wildlife reserves/sanctuaries falling under the Agasthyamalai landscape, we hereby direct the CEC to conduct an extensive survey of the entire Agasthyamalai landscape, which would include Periyar Tiger Reserve, Srivilliputhur Grizzled Squirrel Wildlife Sanctuary, Meghamalai and Thirunelveli Wildlife Sanctuaries. The </w:t>
      </w:r>
      <w:r>
        <w:rPr>
          <w:sz w:val="22"/>
        </w:rPr>
        <w:t>CEC shall indicate in its report all instances of non-forestry activities going on in these areas contrary to the statutory provisions viz, the Forest Conservation Act, 1980, the Wild Life (Protection) Act, 1972, </w:t>
      </w:r>
      <w:r>
        <w:rPr>
          <w:spacing w:val="-4"/>
          <w:sz w:val="22"/>
        </w:rPr>
        <w:t>etc.</w:t>
      </w:r>
    </w:p>
    <w:p>
      <w:pPr>
        <w:pStyle w:val="BodyText"/>
        <w:spacing w:before="62"/>
      </w:pPr>
    </w:p>
    <w:p>
      <w:pPr>
        <w:pStyle w:val="ListParagraph"/>
        <w:numPr>
          <w:ilvl w:val="0"/>
          <w:numId w:val="1"/>
        </w:numPr>
        <w:tabs>
          <w:tab w:pos="390" w:val="left" w:leader="none"/>
        </w:tabs>
        <w:spacing w:line="295" w:lineRule="auto" w:before="0" w:after="0"/>
        <w:ind w:left="23" w:right="717" w:firstLine="0"/>
        <w:jc w:val="both"/>
        <w:rPr>
          <w:sz w:val="22"/>
        </w:rPr>
      </w:pPr>
      <w:r>
        <w:rPr>
          <w:sz w:val="22"/>
        </w:rPr>
        <w:t>Comparative data pertaining to the forest cover as it existed earlier vis-à-vis the current position shall also be provided so as to gauge the extent of depletion/degradation in the forest area.</w:t>
      </w:r>
    </w:p>
    <w:p>
      <w:pPr>
        <w:pStyle w:val="BodyText"/>
        <w:spacing w:before="59"/>
      </w:pPr>
    </w:p>
    <w:p>
      <w:pPr>
        <w:pStyle w:val="ListParagraph"/>
        <w:numPr>
          <w:ilvl w:val="0"/>
          <w:numId w:val="1"/>
        </w:numPr>
        <w:tabs>
          <w:tab w:pos="381" w:val="left" w:leader="none"/>
        </w:tabs>
        <w:spacing w:line="240" w:lineRule="auto" w:before="0" w:after="0"/>
        <w:ind w:left="381" w:right="0" w:hanging="358"/>
        <w:jc w:val="left"/>
        <w:rPr>
          <w:sz w:val="22"/>
        </w:rPr>
      </w:pPr>
      <w:r>
        <w:rPr>
          <w:sz w:val="22"/>
        </w:rPr>
        <w:t>The</w:t>
      </w:r>
      <w:r>
        <w:rPr>
          <w:spacing w:val="-4"/>
          <w:sz w:val="22"/>
        </w:rPr>
        <w:t> </w:t>
      </w:r>
      <w:r>
        <w:rPr>
          <w:sz w:val="22"/>
        </w:rPr>
        <w:t>CEC</w:t>
      </w:r>
      <w:r>
        <w:rPr>
          <w:spacing w:val="-4"/>
          <w:sz w:val="22"/>
        </w:rPr>
        <w:t> </w:t>
      </w:r>
      <w:r>
        <w:rPr>
          <w:sz w:val="22"/>
        </w:rPr>
        <w:t>shall</w:t>
      </w:r>
      <w:r>
        <w:rPr>
          <w:spacing w:val="-4"/>
          <w:sz w:val="22"/>
        </w:rPr>
        <w:t> </w:t>
      </w:r>
      <w:r>
        <w:rPr>
          <w:sz w:val="22"/>
        </w:rPr>
        <w:t>also</w:t>
      </w:r>
      <w:r>
        <w:rPr>
          <w:spacing w:val="-3"/>
          <w:sz w:val="22"/>
        </w:rPr>
        <w:t> </w:t>
      </w:r>
      <w:r>
        <w:rPr>
          <w:sz w:val="22"/>
        </w:rPr>
        <w:t>recommend</w:t>
      </w:r>
      <w:r>
        <w:rPr>
          <w:spacing w:val="-4"/>
          <w:sz w:val="22"/>
        </w:rPr>
        <w:t> </w:t>
      </w:r>
      <w:r>
        <w:rPr>
          <w:sz w:val="22"/>
        </w:rPr>
        <w:t>measures</w:t>
      </w:r>
      <w:r>
        <w:rPr>
          <w:spacing w:val="-4"/>
          <w:sz w:val="22"/>
        </w:rPr>
        <w:t> </w:t>
      </w:r>
      <w:r>
        <w:rPr>
          <w:sz w:val="22"/>
        </w:rPr>
        <w:t>for</w:t>
      </w:r>
      <w:r>
        <w:rPr>
          <w:spacing w:val="-4"/>
          <w:sz w:val="22"/>
        </w:rPr>
        <w:t> </w:t>
      </w:r>
      <w:r>
        <w:rPr>
          <w:sz w:val="22"/>
        </w:rPr>
        <w:t>restoration</w:t>
      </w:r>
      <w:r>
        <w:rPr>
          <w:spacing w:val="-3"/>
          <w:sz w:val="22"/>
        </w:rPr>
        <w:t> </w:t>
      </w:r>
      <w:r>
        <w:rPr>
          <w:spacing w:val="-5"/>
          <w:sz w:val="22"/>
        </w:rPr>
        <w:t>of</w:t>
      </w:r>
    </w:p>
    <w:p>
      <w:pPr>
        <w:pStyle w:val="BodyText"/>
        <w:spacing w:before="116"/>
      </w:pPr>
    </w:p>
    <w:p>
      <w:pPr>
        <w:pStyle w:val="BodyText"/>
        <w:spacing w:line="295" w:lineRule="auto" w:before="1"/>
        <w:ind w:left="23" w:right="710"/>
        <w:jc w:val="both"/>
      </w:pPr>
      <w:r>
        <w:rPr/>
        <w:t>(a) the reserved forests, (b) the tiger habitats, and (c) elephant corridors and (d) other wildlife reserves (sanctuaries) in and around the Agsthyamalai landscape, including the above- mentioned sanctuaries/reserves. For this purpose, the CEC may employ all scientific procedures including Remote Sensing Satellite Imagery, Geo Mapping etc., so that the process of survey can be expedited.</w:t>
      </w:r>
    </w:p>
    <w:p>
      <w:pPr>
        <w:pStyle w:val="BodyText"/>
        <w:spacing w:before="60"/>
      </w:pPr>
    </w:p>
    <w:p>
      <w:pPr>
        <w:pStyle w:val="ListParagraph"/>
        <w:numPr>
          <w:ilvl w:val="0"/>
          <w:numId w:val="1"/>
        </w:numPr>
        <w:tabs>
          <w:tab w:pos="416" w:val="left" w:leader="none"/>
        </w:tabs>
        <w:spacing w:line="295" w:lineRule="auto" w:before="0" w:after="0"/>
        <w:ind w:left="23" w:right="710" w:firstLine="0"/>
        <w:jc w:val="both"/>
        <w:rPr>
          <w:sz w:val="22"/>
        </w:rPr>
      </w:pPr>
      <w:r>
        <w:rPr>
          <w:sz w:val="22"/>
        </w:rPr>
        <w:t>The concerned officials of the State Government including the District Administration, the</w:t>
      </w:r>
      <w:r>
        <w:rPr>
          <w:spacing w:val="40"/>
          <w:sz w:val="22"/>
        </w:rPr>
        <w:t> </w:t>
      </w:r>
      <w:r>
        <w:rPr>
          <w:sz w:val="22"/>
        </w:rPr>
        <w:t>Police Administration and the forest officials of each district involved shall be responsible for providing all required assistance and support to the CEC for completing the process of survey.</w:t>
      </w:r>
    </w:p>
    <w:p>
      <w:pPr>
        <w:pStyle w:val="BodyText"/>
        <w:spacing w:before="59"/>
      </w:pPr>
    </w:p>
    <w:p>
      <w:pPr>
        <w:pStyle w:val="ListParagraph"/>
        <w:numPr>
          <w:ilvl w:val="0"/>
          <w:numId w:val="1"/>
        </w:numPr>
        <w:tabs>
          <w:tab w:pos="350" w:val="left" w:leader="none"/>
        </w:tabs>
        <w:spacing w:line="240" w:lineRule="auto" w:before="0" w:after="0"/>
        <w:ind w:left="350" w:right="0" w:hanging="327"/>
        <w:jc w:val="left"/>
        <w:rPr>
          <w:sz w:val="22"/>
        </w:rPr>
      </w:pPr>
      <w:r>
        <w:rPr>
          <w:sz w:val="22"/>
        </w:rPr>
        <w:t>Twelve</w:t>
      </w:r>
      <w:r>
        <w:rPr>
          <w:spacing w:val="-6"/>
          <w:sz w:val="22"/>
        </w:rPr>
        <w:t> </w:t>
      </w:r>
      <w:r>
        <w:rPr>
          <w:sz w:val="22"/>
        </w:rPr>
        <w:t>weeks’</w:t>
      </w:r>
      <w:r>
        <w:rPr>
          <w:spacing w:val="-6"/>
          <w:sz w:val="22"/>
        </w:rPr>
        <w:t> </w:t>
      </w:r>
      <w:r>
        <w:rPr>
          <w:sz w:val="22"/>
        </w:rPr>
        <w:t>time</w:t>
      </w:r>
      <w:r>
        <w:rPr>
          <w:spacing w:val="-5"/>
          <w:sz w:val="22"/>
        </w:rPr>
        <w:t> </w:t>
      </w:r>
      <w:r>
        <w:rPr>
          <w:sz w:val="22"/>
        </w:rPr>
        <w:t>is</w:t>
      </w:r>
      <w:r>
        <w:rPr>
          <w:spacing w:val="-6"/>
          <w:sz w:val="22"/>
        </w:rPr>
        <w:t> </w:t>
      </w:r>
      <w:r>
        <w:rPr>
          <w:sz w:val="22"/>
        </w:rPr>
        <w:t>granted</w:t>
      </w:r>
      <w:r>
        <w:rPr>
          <w:spacing w:val="-5"/>
          <w:sz w:val="22"/>
        </w:rPr>
        <w:t> </w:t>
      </w:r>
      <w:r>
        <w:rPr>
          <w:sz w:val="22"/>
        </w:rPr>
        <w:t>to</w:t>
      </w:r>
      <w:r>
        <w:rPr>
          <w:spacing w:val="-6"/>
          <w:sz w:val="22"/>
        </w:rPr>
        <w:t> </w:t>
      </w:r>
      <w:r>
        <w:rPr>
          <w:sz w:val="22"/>
        </w:rPr>
        <w:t>the</w:t>
      </w:r>
      <w:r>
        <w:rPr>
          <w:spacing w:val="-6"/>
          <w:sz w:val="22"/>
        </w:rPr>
        <w:t> </w:t>
      </w:r>
      <w:r>
        <w:rPr>
          <w:sz w:val="22"/>
        </w:rPr>
        <w:t>CEC</w:t>
      </w:r>
      <w:r>
        <w:rPr>
          <w:spacing w:val="-5"/>
          <w:sz w:val="22"/>
        </w:rPr>
        <w:t> </w:t>
      </w:r>
      <w:r>
        <w:rPr>
          <w:sz w:val="22"/>
        </w:rPr>
        <w:t>for</w:t>
      </w:r>
      <w:r>
        <w:rPr>
          <w:spacing w:val="-6"/>
          <w:sz w:val="22"/>
        </w:rPr>
        <w:t> </w:t>
      </w:r>
      <w:r>
        <w:rPr>
          <w:sz w:val="22"/>
        </w:rPr>
        <w:t>completing</w:t>
      </w:r>
      <w:r>
        <w:rPr>
          <w:spacing w:val="-5"/>
          <w:sz w:val="22"/>
        </w:rPr>
        <w:t> </w:t>
      </w:r>
      <w:r>
        <w:rPr>
          <w:sz w:val="22"/>
        </w:rPr>
        <w:t>this</w:t>
      </w:r>
      <w:r>
        <w:rPr>
          <w:spacing w:val="-6"/>
          <w:sz w:val="22"/>
        </w:rPr>
        <w:t> </w:t>
      </w:r>
      <w:r>
        <w:rPr>
          <w:spacing w:val="-2"/>
          <w:sz w:val="22"/>
        </w:rPr>
        <w:t>exercise.</w:t>
      </w:r>
    </w:p>
    <w:p>
      <w:pPr>
        <w:pStyle w:val="BodyText"/>
        <w:spacing w:before="116"/>
      </w:pPr>
    </w:p>
    <w:p>
      <w:pPr>
        <w:pStyle w:val="ListParagraph"/>
        <w:numPr>
          <w:ilvl w:val="0"/>
          <w:numId w:val="1"/>
        </w:numPr>
        <w:tabs>
          <w:tab w:pos="383" w:val="left" w:leader="none"/>
        </w:tabs>
        <w:spacing w:line="295" w:lineRule="auto" w:before="0" w:after="0"/>
        <w:ind w:left="23" w:right="716" w:firstLine="0"/>
        <w:jc w:val="both"/>
        <w:rPr>
          <w:sz w:val="22"/>
        </w:rPr>
      </w:pPr>
      <w:r>
        <w:rPr>
          <w:sz w:val="22"/>
        </w:rPr>
        <w:t>The matter shall be listed on 15th July, 2025, for receiving the report of the CEC and for further </w:t>
      </w:r>
      <w:r>
        <w:rPr>
          <w:spacing w:val="-2"/>
          <w:sz w:val="22"/>
        </w:rPr>
        <w:t>directions.</w:t>
      </w:r>
    </w:p>
    <w:p>
      <w:pPr>
        <w:pStyle w:val="BodyText"/>
        <w:spacing w:before="59"/>
      </w:pPr>
    </w:p>
    <w:p>
      <w:pPr>
        <w:pStyle w:val="ListParagraph"/>
        <w:numPr>
          <w:ilvl w:val="0"/>
          <w:numId w:val="1"/>
        </w:numPr>
        <w:tabs>
          <w:tab w:pos="377" w:val="left" w:leader="none"/>
        </w:tabs>
        <w:spacing w:line="240" w:lineRule="auto" w:before="0" w:after="0"/>
        <w:ind w:left="377" w:right="0" w:hanging="354"/>
        <w:jc w:val="left"/>
        <w:rPr>
          <w:sz w:val="22"/>
        </w:rPr>
      </w:pPr>
      <w:r>
        <w:rPr>
          <w:sz w:val="22"/>
        </w:rPr>
        <w:t>The</w:t>
      </w:r>
      <w:r>
        <w:rPr>
          <w:spacing w:val="-4"/>
          <w:sz w:val="22"/>
        </w:rPr>
        <w:t> </w:t>
      </w:r>
      <w:r>
        <w:rPr>
          <w:sz w:val="22"/>
        </w:rPr>
        <w:t>issues</w:t>
      </w:r>
      <w:r>
        <w:rPr>
          <w:spacing w:val="-4"/>
          <w:sz w:val="22"/>
        </w:rPr>
        <w:t> </w:t>
      </w:r>
      <w:r>
        <w:rPr>
          <w:sz w:val="22"/>
        </w:rPr>
        <w:t>relating</w:t>
      </w:r>
      <w:r>
        <w:rPr>
          <w:spacing w:val="-4"/>
          <w:sz w:val="22"/>
        </w:rPr>
        <w:t> </w:t>
      </w:r>
      <w:r>
        <w:rPr>
          <w:sz w:val="22"/>
        </w:rPr>
        <w:t>to</w:t>
      </w:r>
      <w:r>
        <w:rPr>
          <w:spacing w:val="-3"/>
          <w:sz w:val="22"/>
        </w:rPr>
        <w:t> </w:t>
      </w:r>
      <w:r>
        <w:rPr>
          <w:sz w:val="22"/>
        </w:rPr>
        <w:t>rehabilitation</w:t>
      </w:r>
      <w:r>
        <w:rPr>
          <w:spacing w:val="-4"/>
          <w:sz w:val="22"/>
        </w:rPr>
        <w:t> </w:t>
      </w:r>
      <w:r>
        <w:rPr>
          <w:sz w:val="22"/>
        </w:rPr>
        <w:t>of</w:t>
      </w:r>
      <w:r>
        <w:rPr>
          <w:spacing w:val="-4"/>
          <w:sz w:val="22"/>
        </w:rPr>
        <w:t> </w:t>
      </w:r>
      <w:r>
        <w:rPr>
          <w:sz w:val="22"/>
        </w:rPr>
        <w:t>the</w:t>
      </w:r>
      <w:r>
        <w:rPr>
          <w:spacing w:val="-3"/>
          <w:sz w:val="22"/>
        </w:rPr>
        <w:t> </w:t>
      </w:r>
      <w:r>
        <w:rPr>
          <w:sz w:val="22"/>
        </w:rPr>
        <w:t>workers</w:t>
      </w:r>
      <w:r>
        <w:rPr>
          <w:spacing w:val="-4"/>
          <w:sz w:val="22"/>
        </w:rPr>
        <w:t> </w:t>
      </w:r>
      <w:r>
        <w:rPr>
          <w:sz w:val="22"/>
        </w:rPr>
        <w:t>shall</w:t>
      </w:r>
      <w:r>
        <w:rPr>
          <w:spacing w:val="-4"/>
          <w:sz w:val="22"/>
        </w:rPr>
        <w:t> </w:t>
      </w:r>
      <w:r>
        <w:rPr>
          <w:sz w:val="22"/>
        </w:rPr>
        <w:t>be</w:t>
      </w:r>
      <w:r>
        <w:rPr>
          <w:spacing w:val="-4"/>
          <w:sz w:val="22"/>
        </w:rPr>
        <w:t> </w:t>
      </w:r>
      <w:r>
        <w:rPr>
          <w:sz w:val="22"/>
        </w:rPr>
        <w:t>considered</w:t>
      </w:r>
      <w:r>
        <w:rPr>
          <w:spacing w:val="-3"/>
          <w:sz w:val="22"/>
        </w:rPr>
        <w:t> </w:t>
      </w:r>
      <w:r>
        <w:rPr>
          <w:sz w:val="22"/>
        </w:rPr>
        <w:t>on</w:t>
      </w:r>
      <w:r>
        <w:rPr>
          <w:spacing w:val="-4"/>
          <w:sz w:val="22"/>
        </w:rPr>
        <w:t> </w:t>
      </w:r>
      <w:r>
        <w:rPr>
          <w:sz w:val="22"/>
        </w:rPr>
        <w:t>22nd</w:t>
      </w:r>
      <w:r>
        <w:rPr>
          <w:spacing w:val="-4"/>
          <w:sz w:val="22"/>
        </w:rPr>
        <w:t> </w:t>
      </w:r>
      <w:r>
        <w:rPr>
          <w:sz w:val="22"/>
        </w:rPr>
        <w:t>April,</w:t>
      </w:r>
      <w:r>
        <w:rPr>
          <w:spacing w:val="-3"/>
          <w:sz w:val="22"/>
        </w:rPr>
        <w:t> </w:t>
      </w:r>
      <w:r>
        <w:rPr>
          <w:spacing w:val="-2"/>
          <w:sz w:val="22"/>
        </w:rPr>
        <w:t>2025.</w:t>
      </w:r>
    </w:p>
    <w:p>
      <w:pPr>
        <w:pStyle w:val="BodyText"/>
        <w:spacing w:before="116"/>
      </w:pPr>
    </w:p>
    <w:p>
      <w:pPr>
        <w:pStyle w:val="ListParagraph"/>
        <w:numPr>
          <w:ilvl w:val="0"/>
          <w:numId w:val="1"/>
        </w:numPr>
        <w:tabs>
          <w:tab w:pos="380" w:val="left" w:leader="none"/>
        </w:tabs>
        <w:spacing w:line="240" w:lineRule="auto" w:before="1" w:after="0"/>
        <w:ind w:left="380" w:right="0" w:hanging="357"/>
        <w:jc w:val="left"/>
        <w:rPr>
          <w:sz w:val="22"/>
        </w:rPr>
      </w:pPr>
      <w:r>
        <w:rPr>
          <w:sz w:val="22"/>
        </w:rPr>
        <w:t>List</w:t>
      </w:r>
      <w:r>
        <w:rPr>
          <w:spacing w:val="-1"/>
          <w:sz w:val="22"/>
        </w:rPr>
        <w:t> </w:t>
      </w:r>
      <w:r>
        <w:rPr>
          <w:sz w:val="22"/>
        </w:rPr>
        <w:t>on</w:t>
      </w:r>
      <w:r>
        <w:rPr>
          <w:spacing w:val="-1"/>
          <w:sz w:val="22"/>
        </w:rPr>
        <w:t> </w:t>
      </w:r>
      <w:r>
        <w:rPr>
          <w:sz w:val="22"/>
        </w:rPr>
        <w:t>22nd</w:t>
      </w:r>
      <w:r>
        <w:rPr>
          <w:spacing w:val="-1"/>
          <w:sz w:val="22"/>
        </w:rPr>
        <w:t> </w:t>
      </w:r>
      <w:r>
        <w:rPr>
          <w:sz w:val="22"/>
        </w:rPr>
        <w:t>April,</w:t>
      </w:r>
      <w:r>
        <w:rPr>
          <w:spacing w:val="-1"/>
          <w:sz w:val="22"/>
        </w:rPr>
        <w:t> </w:t>
      </w:r>
      <w:r>
        <w:rPr>
          <w:spacing w:val="-2"/>
          <w:sz w:val="22"/>
        </w:rPr>
        <w:t>2025.</w:t>
      </w:r>
    </w:p>
    <w:p>
      <w:pPr>
        <w:pStyle w:val="BodyText"/>
        <w:spacing w:before="115"/>
      </w:pPr>
    </w:p>
    <w:p>
      <w:pPr>
        <w:pStyle w:val="BodyText"/>
        <w:tabs>
          <w:tab w:pos="5949" w:val="left" w:leader="dot"/>
        </w:tabs>
        <w:spacing w:before="1"/>
        <w:ind w:left="23"/>
      </w:pPr>
      <w:r>
        <w:rPr/>
        <w:t>……………………………J.</w:t>
      </w:r>
      <w:r>
        <w:rPr>
          <w:spacing w:val="-13"/>
        </w:rPr>
        <w:t> </w:t>
      </w:r>
      <w:r>
        <w:rPr/>
        <w:t>(VIKRAM</w:t>
      </w:r>
      <w:r>
        <w:rPr>
          <w:spacing w:val="-11"/>
        </w:rPr>
        <w:t> </w:t>
      </w:r>
      <w:r>
        <w:rPr>
          <w:spacing w:val="-2"/>
        </w:rPr>
        <w:t>NATH)</w:t>
      </w:r>
      <w:r>
        <w:rPr/>
        <w:tab/>
        <w:t>J.</w:t>
      </w:r>
      <w:r>
        <w:rPr>
          <w:spacing w:val="-4"/>
        </w:rPr>
        <w:t> </w:t>
      </w:r>
      <w:r>
        <w:rPr/>
        <w:t>(SANDEEP</w:t>
      </w:r>
      <w:r>
        <w:rPr>
          <w:spacing w:val="-4"/>
        </w:rPr>
        <w:t> </w:t>
      </w:r>
      <w:r>
        <w:rPr/>
        <w:t>MEHTA)</w:t>
      </w:r>
      <w:r>
        <w:rPr>
          <w:spacing w:val="-4"/>
        </w:rPr>
        <w:t> </w:t>
      </w:r>
      <w:r>
        <w:rPr/>
        <w:t>NEW</w:t>
      </w:r>
      <w:r>
        <w:rPr>
          <w:spacing w:val="-4"/>
        </w:rPr>
        <w:t> </w:t>
      </w:r>
      <w:r>
        <w:rPr>
          <w:spacing w:val="-2"/>
        </w:rPr>
        <w:t>DELHI;</w:t>
      </w:r>
    </w:p>
    <w:p>
      <w:pPr>
        <w:pStyle w:val="BodyText"/>
        <w:spacing w:before="115"/>
      </w:pPr>
    </w:p>
    <w:p>
      <w:pPr>
        <w:pStyle w:val="BodyText"/>
        <w:spacing w:before="1"/>
        <w:ind w:left="23"/>
      </w:pPr>
      <w:r>
        <w:rPr/>
        <w:t>MARCH</w:t>
      </w:r>
      <w:r>
        <w:rPr>
          <w:spacing w:val="-1"/>
        </w:rPr>
        <w:t> </w:t>
      </w:r>
      <w:r>
        <w:rPr/>
        <w:t>24,</w:t>
      </w:r>
      <w:r>
        <w:rPr>
          <w:spacing w:val="-1"/>
        </w:rPr>
        <w:t> </w:t>
      </w:r>
      <w:r>
        <w:rPr>
          <w:spacing w:val="-2"/>
        </w:rPr>
        <w:t>2025.</w:t>
      </w:r>
    </w:p>
    <w:sectPr>
      <w:pgSz w:w="11900" w:h="15840"/>
      <w:pgMar w:header="726" w:footer="672" w:top="960" w:bottom="86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9776">
              <wp:simplePos x="0" y="0"/>
              <wp:positionH relativeFrom="page">
                <wp:posOffset>901700</wp:posOffset>
              </wp:positionH>
              <wp:positionV relativeFrom="page">
                <wp:posOffset>9491662</wp:posOffset>
              </wp:positionV>
              <wp:extent cx="2505075" cy="1517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05075" cy="151765"/>
                      </a:xfrm>
                      <a:prstGeom prst="rect">
                        <a:avLst/>
                      </a:prstGeom>
                    </wps:spPr>
                    <wps:txbx>
                      <w:txbxContent>
                        <w:p>
                          <w:pPr>
                            <w:spacing w:before="22"/>
                            <w:ind w:left="20" w:right="0" w:firstLine="0"/>
                            <w:jc w:val="left"/>
                            <w:rPr>
                              <w:rFonts w:ascii="Arial MT"/>
                              <w:sz w:val="16"/>
                            </w:rPr>
                          </w:pPr>
                          <w:r>
                            <w:rPr>
                              <w:rFonts w:ascii="Arial MT"/>
                              <w:sz w:val="16"/>
                            </w:rPr>
                            <w:t>Indian</w:t>
                          </w:r>
                          <w:r>
                            <w:rPr>
                              <w:rFonts w:ascii="Arial MT"/>
                              <w:spacing w:val="-4"/>
                              <w:sz w:val="16"/>
                            </w:rPr>
                            <w:t> </w:t>
                          </w:r>
                          <w:r>
                            <w:rPr>
                              <w:rFonts w:ascii="Arial MT"/>
                              <w:sz w:val="16"/>
                            </w:rPr>
                            <w:t>Kanoon</w:t>
                          </w:r>
                          <w:r>
                            <w:rPr>
                              <w:rFonts w:ascii="Arial MT"/>
                              <w:spacing w:val="-3"/>
                              <w:sz w:val="16"/>
                            </w:rPr>
                            <w:t> </w:t>
                          </w:r>
                          <w:r>
                            <w:rPr>
                              <w:rFonts w:ascii="Arial MT"/>
                              <w:sz w:val="16"/>
                            </w:rPr>
                            <w:t>-</w:t>
                          </w:r>
                          <w:r>
                            <w:rPr>
                              <w:rFonts w:ascii="Arial MT"/>
                              <w:spacing w:val="-3"/>
                              <w:sz w:val="16"/>
                            </w:rPr>
                            <w:t> </w:t>
                          </w:r>
                          <w:hyperlink r:id="rId1">
                            <w:r>
                              <w:rPr>
                                <w:rFonts w:ascii="Arial MT"/>
                                <w:spacing w:val="-2"/>
                                <w:sz w:val="16"/>
                              </w:rPr>
                              <w:t>http://indiankanoon.org/doc/59098751/</w:t>
                            </w:r>
                          </w:hyperlink>
                        </w:p>
                      </w:txbxContent>
                    </wps:txbx>
                    <wps:bodyPr wrap="square" lIns="0" tIns="0" rIns="0" bIns="0" rtlCol="0">
                      <a:noAutofit/>
                    </wps:bodyPr>
                  </wps:wsp>
                </a:graphicData>
              </a:graphic>
            </wp:anchor>
          </w:drawing>
        </mc:Choice>
        <mc:Fallback>
          <w:pict>
            <v:shape style="position:absolute;margin-left:71pt;margin-top:747.375pt;width:197.25pt;height:11.95pt;mso-position-horizontal-relative:page;mso-position-vertical-relative:page;z-index:-15816704" type="#_x0000_t202" id="docshape2" filled="false" stroked="false">
              <v:textbox inset="0,0,0,0">
                <w:txbxContent>
                  <w:p>
                    <w:pPr>
                      <w:spacing w:before="22"/>
                      <w:ind w:left="20" w:right="0" w:firstLine="0"/>
                      <w:jc w:val="left"/>
                      <w:rPr>
                        <w:rFonts w:ascii="Arial MT"/>
                        <w:sz w:val="16"/>
                      </w:rPr>
                    </w:pPr>
                    <w:r>
                      <w:rPr>
                        <w:rFonts w:ascii="Arial MT"/>
                        <w:sz w:val="16"/>
                      </w:rPr>
                      <w:t>Indian</w:t>
                    </w:r>
                    <w:r>
                      <w:rPr>
                        <w:rFonts w:ascii="Arial MT"/>
                        <w:spacing w:val="-4"/>
                        <w:sz w:val="16"/>
                      </w:rPr>
                      <w:t> </w:t>
                    </w:r>
                    <w:r>
                      <w:rPr>
                        <w:rFonts w:ascii="Arial MT"/>
                        <w:sz w:val="16"/>
                      </w:rPr>
                      <w:t>Kanoon</w:t>
                    </w:r>
                    <w:r>
                      <w:rPr>
                        <w:rFonts w:ascii="Arial MT"/>
                        <w:spacing w:val="-3"/>
                        <w:sz w:val="16"/>
                      </w:rPr>
                      <w:t> </w:t>
                    </w:r>
                    <w:r>
                      <w:rPr>
                        <w:rFonts w:ascii="Arial MT"/>
                        <w:sz w:val="16"/>
                      </w:rPr>
                      <w:t>-</w:t>
                    </w:r>
                    <w:r>
                      <w:rPr>
                        <w:rFonts w:ascii="Arial MT"/>
                        <w:spacing w:val="-3"/>
                        <w:sz w:val="16"/>
                      </w:rPr>
                      <w:t> </w:t>
                    </w:r>
                    <w:hyperlink r:id="rId1">
                      <w:r>
                        <w:rPr>
                          <w:rFonts w:ascii="Arial MT"/>
                          <w:spacing w:val="-2"/>
                          <w:sz w:val="16"/>
                        </w:rPr>
                        <w:t>http://indiankanoon.org/doc/59098751/</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00288">
              <wp:simplePos x="0" y="0"/>
              <wp:positionH relativeFrom="page">
                <wp:posOffset>7004710</wp:posOffset>
              </wp:positionH>
              <wp:positionV relativeFrom="page">
                <wp:posOffset>9491662</wp:posOffset>
              </wp:positionV>
              <wp:extent cx="145415" cy="1517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415" cy="151765"/>
                      </a:xfrm>
                      <a:prstGeom prst="rect">
                        <a:avLst/>
                      </a:prstGeom>
                    </wps:spPr>
                    <wps:txbx>
                      <w:txbxContent>
                        <w:p>
                          <w:pPr>
                            <w:spacing w:before="22"/>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551.552002pt;margin-top:747.375pt;width:11.45pt;height:11.95pt;mso-position-horizontal-relative:page;mso-position-vertical-relative:page;z-index:-15816192" type="#_x0000_t202" id="docshape3" filled="false" stroked="false">
              <v:textbox inset="0,0,0,0">
                <w:txbxContent>
                  <w:p>
                    <w:pPr>
                      <w:spacing w:before="22"/>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9264">
              <wp:simplePos x="0" y="0"/>
              <wp:positionH relativeFrom="page">
                <wp:posOffset>2542794</wp:posOffset>
              </wp:positionH>
              <wp:positionV relativeFrom="page">
                <wp:posOffset>449262</wp:posOffset>
              </wp:positionV>
              <wp:extent cx="2928620"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28620" cy="151765"/>
                      </a:xfrm>
                      <a:prstGeom prst="rect">
                        <a:avLst/>
                      </a:prstGeom>
                    </wps:spPr>
                    <wps:txbx>
                      <w:txbxContent>
                        <w:p>
                          <w:pPr>
                            <w:spacing w:before="22"/>
                            <w:ind w:left="20" w:right="0" w:firstLine="0"/>
                            <w:jc w:val="left"/>
                            <w:rPr>
                              <w:rFonts w:ascii="Arial MT"/>
                              <w:sz w:val="16"/>
                            </w:rPr>
                          </w:pPr>
                          <w:r>
                            <w:rPr>
                              <w:rFonts w:ascii="Arial MT"/>
                              <w:sz w:val="16"/>
                            </w:rPr>
                            <w:t>A</w:t>
                          </w:r>
                          <w:r>
                            <w:rPr>
                              <w:rFonts w:ascii="Arial MT"/>
                              <w:spacing w:val="-2"/>
                              <w:sz w:val="16"/>
                            </w:rPr>
                            <w:t> </w:t>
                          </w:r>
                          <w:r>
                            <w:rPr>
                              <w:rFonts w:ascii="Arial MT"/>
                              <w:sz w:val="16"/>
                            </w:rPr>
                            <w:t>John</w:t>
                          </w:r>
                          <w:r>
                            <w:rPr>
                              <w:rFonts w:ascii="Arial MT"/>
                              <w:spacing w:val="-2"/>
                              <w:sz w:val="16"/>
                            </w:rPr>
                            <w:t> </w:t>
                          </w:r>
                          <w:r>
                            <w:rPr>
                              <w:rFonts w:ascii="Arial MT"/>
                              <w:sz w:val="16"/>
                            </w:rPr>
                            <w:t>Kennedy</w:t>
                          </w:r>
                          <w:r>
                            <w:rPr>
                              <w:rFonts w:ascii="Arial MT"/>
                              <w:spacing w:val="-2"/>
                              <w:sz w:val="16"/>
                            </w:rPr>
                            <w:t> </w:t>
                          </w:r>
                          <w:r>
                            <w:rPr>
                              <w:rFonts w:ascii="Arial MT"/>
                              <w:sz w:val="16"/>
                            </w:rPr>
                            <w:t>vs</w:t>
                          </w:r>
                          <w:r>
                            <w:rPr>
                              <w:rFonts w:ascii="Arial MT"/>
                              <w:spacing w:val="-2"/>
                              <w:sz w:val="16"/>
                            </w:rPr>
                            <w:t> </w:t>
                          </w:r>
                          <w:r>
                            <w:rPr>
                              <w:rFonts w:ascii="Arial MT"/>
                              <w:sz w:val="16"/>
                            </w:rPr>
                            <w:t>The</w:t>
                          </w:r>
                          <w:r>
                            <w:rPr>
                              <w:rFonts w:ascii="Arial MT"/>
                              <w:spacing w:val="-1"/>
                              <w:sz w:val="16"/>
                            </w:rPr>
                            <w:t> </w:t>
                          </w:r>
                          <w:r>
                            <w:rPr>
                              <w:rFonts w:ascii="Arial MT"/>
                              <w:sz w:val="16"/>
                            </w:rPr>
                            <w:t>State</w:t>
                          </w:r>
                          <w:r>
                            <w:rPr>
                              <w:rFonts w:ascii="Arial MT"/>
                              <w:spacing w:val="-2"/>
                              <w:sz w:val="16"/>
                            </w:rPr>
                            <w:t> </w:t>
                          </w:r>
                          <w:r>
                            <w:rPr>
                              <w:rFonts w:ascii="Arial MT"/>
                              <w:sz w:val="16"/>
                            </w:rPr>
                            <w:t>Of</w:t>
                          </w:r>
                          <w:r>
                            <w:rPr>
                              <w:rFonts w:ascii="Arial MT"/>
                              <w:spacing w:val="-2"/>
                              <w:sz w:val="16"/>
                            </w:rPr>
                            <w:t> </w:t>
                          </w:r>
                          <w:r>
                            <w:rPr>
                              <w:rFonts w:ascii="Arial MT"/>
                              <w:sz w:val="16"/>
                            </w:rPr>
                            <w:t>Tamil</w:t>
                          </w:r>
                          <w:r>
                            <w:rPr>
                              <w:rFonts w:ascii="Arial MT"/>
                              <w:spacing w:val="-2"/>
                              <w:sz w:val="16"/>
                            </w:rPr>
                            <w:t> </w:t>
                          </w:r>
                          <w:r>
                            <w:rPr>
                              <w:rFonts w:ascii="Arial MT"/>
                              <w:sz w:val="16"/>
                            </w:rPr>
                            <w:t>Nadu</w:t>
                          </w:r>
                          <w:r>
                            <w:rPr>
                              <w:rFonts w:ascii="Arial MT"/>
                              <w:spacing w:val="-1"/>
                              <w:sz w:val="16"/>
                            </w:rPr>
                            <w:t> </w:t>
                          </w:r>
                          <w:r>
                            <w:rPr>
                              <w:rFonts w:ascii="Arial MT"/>
                              <w:sz w:val="16"/>
                            </w:rPr>
                            <w:t>on</w:t>
                          </w:r>
                          <w:r>
                            <w:rPr>
                              <w:rFonts w:ascii="Arial MT"/>
                              <w:spacing w:val="-2"/>
                              <w:sz w:val="16"/>
                            </w:rPr>
                            <w:t> </w:t>
                          </w:r>
                          <w:r>
                            <w:rPr>
                              <w:rFonts w:ascii="Arial MT"/>
                              <w:sz w:val="16"/>
                            </w:rPr>
                            <w:t>24</w:t>
                          </w:r>
                          <w:r>
                            <w:rPr>
                              <w:rFonts w:ascii="Arial MT"/>
                              <w:spacing w:val="-2"/>
                              <w:sz w:val="16"/>
                            </w:rPr>
                            <w:t> </w:t>
                          </w:r>
                          <w:r>
                            <w:rPr>
                              <w:rFonts w:ascii="Arial MT"/>
                              <w:sz w:val="16"/>
                            </w:rPr>
                            <w:t>March,</w:t>
                          </w:r>
                          <w:r>
                            <w:rPr>
                              <w:rFonts w:ascii="Arial MT"/>
                              <w:spacing w:val="-2"/>
                              <w:sz w:val="16"/>
                            </w:rPr>
                            <w:t> </w:t>
                          </w:r>
                          <w:r>
                            <w:rPr>
                              <w:rFonts w:ascii="Arial MT"/>
                              <w:spacing w:val="-4"/>
                              <w:sz w:val="16"/>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0.220001pt;margin-top:35.375pt;width:230.6pt;height:11.95pt;mso-position-horizontal-relative:page;mso-position-vertical-relative:page;z-index:-15817216" type="#_x0000_t202" id="docshape1" filled="false" stroked="false">
              <v:textbox inset="0,0,0,0">
                <w:txbxContent>
                  <w:p>
                    <w:pPr>
                      <w:spacing w:before="22"/>
                      <w:ind w:left="20" w:right="0" w:firstLine="0"/>
                      <w:jc w:val="left"/>
                      <w:rPr>
                        <w:rFonts w:ascii="Arial MT"/>
                        <w:sz w:val="16"/>
                      </w:rPr>
                    </w:pPr>
                    <w:r>
                      <w:rPr>
                        <w:rFonts w:ascii="Arial MT"/>
                        <w:sz w:val="16"/>
                      </w:rPr>
                      <w:t>A</w:t>
                    </w:r>
                    <w:r>
                      <w:rPr>
                        <w:rFonts w:ascii="Arial MT"/>
                        <w:spacing w:val="-2"/>
                        <w:sz w:val="16"/>
                      </w:rPr>
                      <w:t> </w:t>
                    </w:r>
                    <w:r>
                      <w:rPr>
                        <w:rFonts w:ascii="Arial MT"/>
                        <w:sz w:val="16"/>
                      </w:rPr>
                      <w:t>John</w:t>
                    </w:r>
                    <w:r>
                      <w:rPr>
                        <w:rFonts w:ascii="Arial MT"/>
                        <w:spacing w:val="-2"/>
                        <w:sz w:val="16"/>
                      </w:rPr>
                      <w:t> </w:t>
                    </w:r>
                    <w:r>
                      <w:rPr>
                        <w:rFonts w:ascii="Arial MT"/>
                        <w:sz w:val="16"/>
                      </w:rPr>
                      <w:t>Kennedy</w:t>
                    </w:r>
                    <w:r>
                      <w:rPr>
                        <w:rFonts w:ascii="Arial MT"/>
                        <w:spacing w:val="-2"/>
                        <w:sz w:val="16"/>
                      </w:rPr>
                      <w:t> </w:t>
                    </w:r>
                    <w:r>
                      <w:rPr>
                        <w:rFonts w:ascii="Arial MT"/>
                        <w:sz w:val="16"/>
                      </w:rPr>
                      <w:t>vs</w:t>
                    </w:r>
                    <w:r>
                      <w:rPr>
                        <w:rFonts w:ascii="Arial MT"/>
                        <w:spacing w:val="-2"/>
                        <w:sz w:val="16"/>
                      </w:rPr>
                      <w:t> </w:t>
                    </w:r>
                    <w:r>
                      <w:rPr>
                        <w:rFonts w:ascii="Arial MT"/>
                        <w:sz w:val="16"/>
                      </w:rPr>
                      <w:t>The</w:t>
                    </w:r>
                    <w:r>
                      <w:rPr>
                        <w:rFonts w:ascii="Arial MT"/>
                        <w:spacing w:val="-1"/>
                        <w:sz w:val="16"/>
                      </w:rPr>
                      <w:t> </w:t>
                    </w:r>
                    <w:r>
                      <w:rPr>
                        <w:rFonts w:ascii="Arial MT"/>
                        <w:sz w:val="16"/>
                      </w:rPr>
                      <w:t>State</w:t>
                    </w:r>
                    <w:r>
                      <w:rPr>
                        <w:rFonts w:ascii="Arial MT"/>
                        <w:spacing w:val="-2"/>
                        <w:sz w:val="16"/>
                      </w:rPr>
                      <w:t> </w:t>
                    </w:r>
                    <w:r>
                      <w:rPr>
                        <w:rFonts w:ascii="Arial MT"/>
                        <w:sz w:val="16"/>
                      </w:rPr>
                      <w:t>Of</w:t>
                    </w:r>
                    <w:r>
                      <w:rPr>
                        <w:rFonts w:ascii="Arial MT"/>
                        <w:spacing w:val="-2"/>
                        <w:sz w:val="16"/>
                      </w:rPr>
                      <w:t> </w:t>
                    </w:r>
                    <w:r>
                      <w:rPr>
                        <w:rFonts w:ascii="Arial MT"/>
                        <w:sz w:val="16"/>
                      </w:rPr>
                      <w:t>Tamil</w:t>
                    </w:r>
                    <w:r>
                      <w:rPr>
                        <w:rFonts w:ascii="Arial MT"/>
                        <w:spacing w:val="-2"/>
                        <w:sz w:val="16"/>
                      </w:rPr>
                      <w:t> </w:t>
                    </w:r>
                    <w:r>
                      <w:rPr>
                        <w:rFonts w:ascii="Arial MT"/>
                        <w:sz w:val="16"/>
                      </w:rPr>
                      <w:t>Nadu</w:t>
                    </w:r>
                    <w:r>
                      <w:rPr>
                        <w:rFonts w:ascii="Arial MT"/>
                        <w:spacing w:val="-1"/>
                        <w:sz w:val="16"/>
                      </w:rPr>
                      <w:t> </w:t>
                    </w:r>
                    <w:r>
                      <w:rPr>
                        <w:rFonts w:ascii="Arial MT"/>
                        <w:sz w:val="16"/>
                      </w:rPr>
                      <w:t>on</w:t>
                    </w:r>
                    <w:r>
                      <w:rPr>
                        <w:rFonts w:ascii="Arial MT"/>
                        <w:spacing w:val="-2"/>
                        <w:sz w:val="16"/>
                      </w:rPr>
                      <w:t> </w:t>
                    </w:r>
                    <w:r>
                      <w:rPr>
                        <w:rFonts w:ascii="Arial MT"/>
                        <w:sz w:val="16"/>
                      </w:rPr>
                      <w:t>24</w:t>
                    </w:r>
                    <w:r>
                      <w:rPr>
                        <w:rFonts w:ascii="Arial MT"/>
                        <w:spacing w:val="-2"/>
                        <w:sz w:val="16"/>
                      </w:rPr>
                      <w:t> </w:t>
                    </w:r>
                    <w:r>
                      <w:rPr>
                        <w:rFonts w:ascii="Arial MT"/>
                        <w:sz w:val="16"/>
                      </w:rPr>
                      <w:t>March,</w:t>
                    </w:r>
                    <w:r>
                      <w:rPr>
                        <w:rFonts w:ascii="Arial MT"/>
                        <w:spacing w:val="-2"/>
                        <w:sz w:val="16"/>
                      </w:rPr>
                      <w:t> </w:t>
                    </w:r>
                    <w:r>
                      <w:rPr>
                        <w:rFonts w:ascii="Arial MT"/>
                        <w:spacing w:val="-4"/>
                        <w:sz w:val="16"/>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213"/>
        <w:jc w:val="left"/>
      </w:pPr>
      <w:rPr>
        <w:rFonts w:hint="default" w:ascii="Georgia" w:hAnsi="Georgia" w:eastAsia="Georgia" w:cs="Georgia"/>
        <w:b w:val="0"/>
        <w:bCs w:val="0"/>
        <w:i w:val="0"/>
        <w:iCs w:val="0"/>
        <w:spacing w:val="0"/>
        <w:w w:val="100"/>
        <w:sz w:val="22"/>
        <w:szCs w:val="22"/>
        <w:lang w:val="en-US" w:eastAsia="en-US" w:bidi="ar-SA"/>
      </w:rPr>
    </w:lvl>
    <w:lvl w:ilvl="1">
      <w:start w:val="30"/>
      <w:numFmt w:val="decimal"/>
      <w:lvlText w:val="%2."/>
      <w:lvlJc w:val="left"/>
      <w:pPr>
        <w:ind w:left="743" w:hanging="376"/>
        <w:jc w:val="right"/>
      </w:pPr>
      <w:rPr>
        <w:rFonts w:hint="default" w:ascii="Georgia" w:hAnsi="Georgia" w:eastAsia="Georgia" w:cs="Georgia"/>
        <w:b w:val="0"/>
        <w:bCs w:val="0"/>
        <w:i w:val="0"/>
        <w:iCs w:val="0"/>
        <w:spacing w:val="0"/>
        <w:w w:val="100"/>
        <w:sz w:val="22"/>
        <w:szCs w:val="22"/>
        <w:lang w:val="en-US" w:eastAsia="en-US" w:bidi="ar-SA"/>
      </w:rPr>
    </w:lvl>
    <w:lvl w:ilvl="2">
      <w:start w:val="0"/>
      <w:numFmt w:val="bullet"/>
      <w:lvlText w:val="•"/>
      <w:lvlJc w:val="left"/>
      <w:pPr>
        <w:ind w:left="1822" w:hanging="376"/>
      </w:pPr>
      <w:rPr>
        <w:rFonts w:hint="default"/>
        <w:lang w:val="en-US" w:eastAsia="en-US" w:bidi="ar-SA"/>
      </w:rPr>
    </w:lvl>
    <w:lvl w:ilvl="3">
      <w:start w:val="0"/>
      <w:numFmt w:val="bullet"/>
      <w:lvlText w:val="•"/>
      <w:lvlJc w:val="left"/>
      <w:pPr>
        <w:ind w:left="2905" w:hanging="376"/>
      </w:pPr>
      <w:rPr>
        <w:rFonts w:hint="default"/>
        <w:lang w:val="en-US" w:eastAsia="en-US" w:bidi="ar-SA"/>
      </w:rPr>
    </w:lvl>
    <w:lvl w:ilvl="4">
      <w:start w:val="0"/>
      <w:numFmt w:val="bullet"/>
      <w:lvlText w:val="•"/>
      <w:lvlJc w:val="left"/>
      <w:pPr>
        <w:ind w:left="3987" w:hanging="376"/>
      </w:pPr>
      <w:rPr>
        <w:rFonts w:hint="default"/>
        <w:lang w:val="en-US" w:eastAsia="en-US" w:bidi="ar-SA"/>
      </w:rPr>
    </w:lvl>
    <w:lvl w:ilvl="5">
      <w:start w:val="0"/>
      <w:numFmt w:val="bullet"/>
      <w:lvlText w:val="•"/>
      <w:lvlJc w:val="left"/>
      <w:pPr>
        <w:ind w:left="5070" w:hanging="376"/>
      </w:pPr>
      <w:rPr>
        <w:rFonts w:hint="default"/>
        <w:lang w:val="en-US" w:eastAsia="en-US" w:bidi="ar-SA"/>
      </w:rPr>
    </w:lvl>
    <w:lvl w:ilvl="6">
      <w:start w:val="0"/>
      <w:numFmt w:val="bullet"/>
      <w:lvlText w:val="•"/>
      <w:lvlJc w:val="left"/>
      <w:pPr>
        <w:ind w:left="6152" w:hanging="376"/>
      </w:pPr>
      <w:rPr>
        <w:rFonts w:hint="default"/>
        <w:lang w:val="en-US" w:eastAsia="en-US" w:bidi="ar-SA"/>
      </w:rPr>
    </w:lvl>
    <w:lvl w:ilvl="7">
      <w:start w:val="0"/>
      <w:numFmt w:val="bullet"/>
      <w:lvlText w:val="•"/>
      <w:lvlJc w:val="left"/>
      <w:pPr>
        <w:ind w:left="7235" w:hanging="376"/>
      </w:pPr>
      <w:rPr>
        <w:rFonts w:hint="default"/>
        <w:lang w:val="en-US" w:eastAsia="en-US" w:bidi="ar-SA"/>
      </w:rPr>
    </w:lvl>
    <w:lvl w:ilvl="8">
      <w:start w:val="0"/>
      <w:numFmt w:val="bullet"/>
      <w:lvlText w:val="•"/>
      <w:lvlJc w:val="left"/>
      <w:pPr>
        <w:ind w:left="8317" w:hanging="3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Title" w:type="paragraph">
    <w:name w:val="Title"/>
    <w:basedOn w:val="Normal"/>
    <w:uiPriority w:val="1"/>
    <w:qFormat/>
    <w:pPr>
      <w:spacing w:before="99"/>
      <w:ind w:left="23"/>
    </w:pPr>
    <w:rPr>
      <w:rFonts w:ascii="Arial" w:hAnsi="Arial" w:eastAsia="Arial" w:cs="Arial"/>
      <w:b/>
      <w:bCs/>
      <w:sz w:val="31"/>
      <w:szCs w:val="31"/>
      <w:lang w:val="en-US" w:eastAsia="en-US" w:bidi="ar-SA"/>
    </w:rPr>
  </w:style>
  <w:style w:styleId="ListParagraph" w:type="paragraph">
    <w:name w:val="List Paragraph"/>
    <w:basedOn w:val="Normal"/>
    <w:uiPriority w:val="1"/>
    <w:qFormat/>
    <w:pPr>
      <w:ind w:left="23" w:right="710"/>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indiankanoon.org/doc/59098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John Kennedy vs The State Of Tamil Nadu on 24 March, 2025</dc:title>
  <dcterms:created xsi:type="dcterms:W3CDTF">2026-03-12T08:14:21Z</dcterms:created>
  <dcterms:modified xsi:type="dcterms:W3CDTF">2026-03-12T08:14:21Z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Producer">
    <vt:lpwstr>htmldoc 1.9.15 Copyright 2011-2022 by Michael R Sweet</vt:lpwstr>
  </property>
  <property fmtid="{D5CDD505-2E9C-101B-9397-08002B2CF9AE}" pid="4" name="LastSaved">
    <vt:filetime>2025-04-06T00:00:00Z</vt:filetime>
  </property>
</Properties>
</file>