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w:t>
      </w:r>
      <w:r>
        <w:rPr>
          <w:spacing w:val="9"/>
        </w:rPr>
        <w:t> </w:t>
      </w:r>
      <w:r>
        <w:rPr/>
        <w:t>Rajendra</w:t>
      </w:r>
      <w:r>
        <w:rPr>
          <w:spacing w:val="9"/>
        </w:rPr>
        <w:t> </w:t>
      </w:r>
      <w:r>
        <w:rPr/>
        <w:t>vs</w:t>
      </w:r>
      <w:r>
        <w:rPr>
          <w:spacing w:val="10"/>
        </w:rPr>
        <w:t> </w:t>
      </w:r>
      <w:r>
        <w:rPr/>
        <w:t>Gonugunta</w:t>
      </w:r>
      <w:r>
        <w:rPr>
          <w:spacing w:val="9"/>
        </w:rPr>
        <w:t> </w:t>
      </w:r>
      <w:r>
        <w:rPr/>
        <w:t>Madhusudhan</w:t>
      </w:r>
      <w:r>
        <w:rPr>
          <w:spacing w:val="10"/>
        </w:rPr>
        <w:t> </w:t>
      </w:r>
      <w:r>
        <w:rPr/>
        <w:t>Rao</w:t>
      </w:r>
      <w:r>
        <w:rPr>
          <w:spacing w:val="9"/>
        </w:rPr>
        <w:t> </w:t>
      </w:r>
      <w:r>
        <w:rPr/>
        <w:t>on</w:t>
      </w:r>
      <w:r>
        <w:rPr>
          <w:spacing w:val="9"/>
        </w:rPr>
        <w:t> </w:t>
      </w:r>
      <w:r>
        <w:rPr/>
        <w:t>4</w:t>
      </w:r>
      <w:r>
        <w:rPr>
          <w:spacing w:val="10"/>
        </w:rPr>
        <w:t> </w:t>
      </w:r>
      <w:r>
        <w:rPr/>
        <w:t>April,</w:t>
      </w:r>
      <w:r>
        <w:rPr>
          <w:spacing w:val="9"/>
        </w:rPr>
        <w:t> </w:t>
      </w:r>
      <w:r>
        <w:rPr>
          <w:spacing w:val="-4"/>
        </w:rPr>
        <w:t>2025</w:t>
      </w:r>
    </w:p>
    <w:p>
      <w:pPr>
        <w:pStyle w:val="BodyText"/>
        <w:spacing w:before="32"/>
        <w:rPr>
          <w:rFonts w:ascii="Arial"/>
          <w:b/>
          <w:sz w:val="31"/>
        </w:rPr>
      </w:pPr>
    </w:p>
    <w:p>
      <w:pPr>
        <w:spacing w:line="544" w:lineRule="auto" w:before="0"/>
        <w:ind w:left="23" w:right="6911" w:firstLine="0"/>
        <w:jc w:val="left"/>
        <w:rPr>
          <w:rFonts w:ascii="Arial"/>
          <w:b/>
          <w:sz w:val="26"/>
        </w:rPr>
      </w:pPr>
      <w:r>
        <w:rPr>
          <w:rFonts w:ascii="Arial"/>
          <w:b/>
          <w:sz w:val="26"/>
        </w:rPr>
        <w:t>Author: Abhay S. </w:t>
      </w:r>
      <w:r>
        <w:rPr>
          <w:rFonts w:ascii="Arial"/>
          <w:b/>
          <w:sz w:val="26"/>
        </w:rPr>
        <w:t>Oka Bench: Abhay S. Oka</w:t>
      </w:r>
    </w:p>
    <w:p>
      <w:pPr>
        <w:spacing w:before="12"/>
        <w:ind w:left="743" w:right="0" w:firstLine="0"/>
        <w:jc w:val="left"/>
        <w:rPr>
          <w:rFonts w:ascii="Courier New"/>
          <w:sz w:val="18"/>
        </w:rPr>
      </w:pPr>
      <w:r>
        <w:rPr>
          <w:rFonts w:ascii="Courier New"/>
          <w:sz w:val="18"/>
        </w:rPr>
        <w:t>2025</w:t>
      </w:r>
      <w:r>
        <w:rPr>
          <w:rFonts w:ascii="Courier New"/>
          <w:spacing w:val="10"/>
          <w:sz w:val="18"/>
        </w:rPr>
        <w:t> </w:t>
      </w:r>
      <w:r>
        <w:rPr>
          <w:rFonts w:ascii="Courier New"/>
          <w:sz w:val="18"/>
        </w:rPr>
        <w:t>INSC</w:t>
      </w:r>
      <w:r>
        <w:rPr>
          <w:rFonts w:ascii="Courier New"/>
          <w:spacing w:val="11"/>
          <w:sz w:val="18"/>
        </w:rPr>
        <w:t> </w:t>
      </w:r>
      <w:r>
        <w:rPr>
          <w:rFonts w:ascii="Courier New"/>
          <w:spacing w:val="-5"/>
          <w:sz w:val="18"/>
        </w:rPr>
        <w:t>447</w:t>
      </w: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spacing w:before="14"/>
        <w:rPr>
          <w:rFonts w:ascii="Courier New"/>
          <w:sz w:val="18"/>
        </w:rPr>
      </w:pPr>
    </w:p>
    <w:p>
      <w:pPr>
        <w:spacing w:line="302" w:lineRule="auto" w:before="0"/>
        <w:ind w:left="5727" w:right="1342" w:hanging="111"/>
        <w:jc w:val="left"/>
        <w:rPr>
          <w:rFonts w:ascii="Courier New"/>
          <w:sz w:val="18"/>
        </w:rPr>
      </w:pPr>
      <w:r>
        <w:rPr>
          <w:rFonts w:ascii="Courier New"/>
          <w:sz w:val="18"/>
        </w:rPr>
        <w:t>IN THE SUPREME COURT OF </w:t>
      </w:r>
      <w:r>
        <w:rPr>
          <w:rFonts w:ascii="Courier New"/>
          <w:sz w:val="18"/>
        </w:rPr>
        <w:t>INDIA CIVIL</w:t>
      </w:r>
      <w:r>
        <w:rPr>
          <w:rFonts w:ascii="Courier New"/>
          <w:spacing w:val="17"/>
          <w:sz w:val="18"/>
        </w:rPr>
        <w:t> </w:t>
      </w:r>
      <w:r>
        <w:rPr>
          <w:rFonts w:ascii="Courier New"/>
          <w:sz w:val="18"/>
        </w:rPr>
        <w:t>APPELLATE</w:t>
      </w:r>
      <w:r>
        <w:rPr>
          <w:rFonts w:ascii="Courier New"/>
          <w:spacing w:val="17"/>
          <w:sz w:val="18"/>
        </w:rPr>
        <w:t> </w:t>
      </w:r>
      <w:r>
        <w:rPr>
          <w:rFonts w:ascii="Courier New"/>
          <w:spacing w:val="-2"/>
          <w:sz w:val="18"/>
        </w:rPr>
        <w:t>JURISDICTION</w:t>
      </w:r>
    </w:p>
    <w:p>
      <w:pPr>
        <w:spacing w:line="302" w:lineRule="auto" w:before="0"/>
        <w:ind w:left="5616" w:right="1342" w:hanging="776"/>
        <w:jc w:val="left"/>
        <w:rPr>
          <w:rFonts w:ascii="Courier New"/>
          <w:sz w:val="18"/>
        </w:rPr>
      </w:pPr>
      <w:r>
        <w:rPr>
          <w:rFonts w:ascii="Courier New"/>
          <w:sz w:val="18"/>
        </w:rPr>
        <w:t>CIVIL APPEAL NOS.11070 - 11071 OF </w:t>
      </w:r>
      <w:r>
        <w:rPr>
          <w:rFonts w:ascii="Courier New"/>
          <w:sz w:val="18"/>
        </w:rPr>
        <w:t>2024 (@ DIARY NO. 10029 OF 2024)</w:t>
      </w:r>
    </w:p>
    <w:p>
      <w:pPr>
        <w:pStyle w:val="BodyText"/>
        <w:rPr>
          <w:rFonts w:ascii="Courier New"/>
          <w:sz w:val="18"/>
        </w:rPr>
      </w:pPr>
    </w:p>
    <w:p>
      <w:pPr>
        <w:pStyle w:val="BodyText"/>
        <w:spacing w:before="104"/>
        <w:rPr>
          <w:rFonts w:ascii="Courier New"/>
          <w:sz w:val="18"/>
        </w:rPr>
      </w:pPr>
    </w:p>
    <w:p>
      <w:pPr>
        <w:tabs>
          <w:tab w:pos="10047" w:val="left" w:leader="none"/>
        </w:tabs>
        <w:spacing w:before="0"/>
        <w:ind w:left="3844" w:right="-15" w:firstLine="0"/>
        <w:jc w:val="left"/>
        <w:rPr>
          <w:rFonts w:ascii="Courier New" w:hAnsi="Courier New"/>
          <w:sz w:val="18"/>
        </w:rPr>
      </w:pPr>
      <w:r>
        <w:rPr>
          <w:rFonts w:ascii="Courier New" w:hAnsi="Courier New"/>
          <w:sz w:val="18"/>
        </w:rPr>
        <w:t>A</w:t>
      </w:r>
      <w:r>
        <w:rPr>
          <w:rFonts w:ascii="Courier New" w:hAnsi="Courier New"/>
          <w:spacing w:val="4"/>
          <w:sz w:val="18"/>
        </w:rPr>
        <w:t> </w:t>
      </w:r>
      <w:r>
        <w:rPr>
          <w:rFonts w:ascii="Courier New" w:hAnsi="Courier New"/>
          <w:spacing w:val="-2"/>
          <w:sz w:val="18"/>
        </w:rPr>
        <w:t>RAJENDRA</w:t>
      </w:r>
      <w:r>
        <w:rPr>
          <w:rFonts w:ascii="Courier New" w:hAnsi="Courier New"/>
          <w:sz w:val="18"/>
        </w:rPr>
        <w:tab/>
        <w:t>…</w:t>
      </w:r>
      <w:r>
        <w:rPr>
          <w:rFonts w:ascii="Courier New" w:hAnsi="Courier New"/>
          <w:spacing w:val="4"/>
          <w:sz w:val="18"/>
        </w:rPr>
        <w:t> </w:t>
      </w:r>
      <w:r>
        <w:rPr>
          <w:rFonts w:ascii="Courier New" w:hAnsi="Courier New"/>
          <w:spacing w:val="-5"/>
          <w:sz w:val="18"/>
        </w:rPr>
        <w:t>AP</w:t>
      </w:r>
    </w:p>
    <w:p>
      <w:pPr>
        <w:pStyle w:val="BodyText"/>
        <w:spacing w:before="106"/>
        <w:rPr>
          <w:rFonts w:ascii="Courier New"/>
          <w:sz w:val="18"/>
        </w:rPr>
      </w:pPr>
    </w:p>
    <w:p>
      <w:pPr>
        <w:spacing w:before="0"/>
        <w:ind w:left="0" w:right="1098" w:firstLine="0"/>
        <w:jc w:val="right"/>
        <w:rPr>
          <w:rFonts w:ascii="Courier New"/>
          <w:sz w:val="18"/>
        </w:rPr>
      </w:pPr>
      <w:r>
        <w:rPr>
          <w:rFonts w:ascii="Courier New"/>
          <w:spacing w:val="-2"/>
          <w:sz w:val="18"/>
        </w:rPr>
        <w:t>VERSUS</w:t>
      </w:r>
    </w:p>
    <w:p>
      <w:pPr>
        <w:pStyle w:val="BodyText"/>
        <w:spacing w:before="105"/>
        <w:rPr>
          <w:rFonts w:ascii="Courier New"/>
          <w:sz w:val="18"/>
        </w:rPr>
      </w:pPr>
    </w:p>
    <w:p>
      <w:pPr>
        <w:spacing w:before="1"/>
        <w:ind w:left="3844" w:right="0" w:firstLine="0"/>
        <w:jc w:val="left"/>
        <w:rPr>
          <w:rFonts w:ascii="Courier New"/>
          <w:sz w:val="18"/>
        </w:rPr>
      </w:pPr>
      <w:r>
        <w:rPr>
          <w:rFonts w:ascii="Courier New"/>
          <w:sz w:val="18"/>
        </w:rPr>
        <w:t>GONUGUNTA</w:t>
      </w:r>
      <w:r>
        <w:rPr>
          <w:rFonts w:ascii="Courier New"/>
          <w:spacing w:val="23"/>
          <w:sz w:val="18"/>
        </w:rPr>
        <w:t> </w:t>
      </w:r>
      <w:r>
        <w:rPr>
          <w:rFonts w:ascii="Courier New"/>
          <w:sz w:val="18"/>
        </w:rPr>
        <w:t>MADHUSUDHAN</w:t>
      </w:r>
      <w:r>
        <w:rPr>
          <w:rFonts w:ascii="Courier New"/>
          <w:spacing w:val="24"/>
          <w:sz w:val="18"/>
        </w:rPr>
        <w:t> </w:t>
      </w:r>
      <w:r>
        <w:rPr>
          <w:rFonts w:ascii="Courier New"/>
          <w:spacing w:val="-5"/>
          <w:sz w:val="18"/>
        </w:rPr>
        <w:t>RAO</w:t>
      </w:r>
    </w:p>
    <w:p>
      <w:pPr>
        <w:tabs>
          <w:tab w:pos="6502" w:val="left" w:leader="none"/>
        </w:tabs>
        <w:spacing w:before="52"/>
        <w:ind w:left="3844" w:right="0" w:firstLine="0"/>
        <w:jc w:val="left"/>
        <w:rPr>
          <w:rFonts w:ascii="Courier New"/>
          <w:sz w:val="18"/>
        </w:rPr>
      </w:pPr>
      <w:r>
        <w:rPr>
          <w:rFonts w:ascii="Courier New"/>
          <w:sz w:val="18"/>
        </w:rPr>
        <w:t>&amp;</w:t>
      </w:r>
      <w:r>
        <w:rPr>
          <w:rFonts w:ascii="Courier New"/>
          <w:spacing w:val="4"/>
          <w:sz w:val="18"/>
        </w:rPr>
        <w:t> </w:t>
      </w:r>
      <w:r>
        <w:rPr>
          <w:rFonts w:ascii="Courier New"/>
          <w:spacing w:val="-5"/>
          <w:sz w:val="18"/>
        </w:rPr>
        <w:t>ORS</w:t>
      </w:r>
      <w:r>
        <w:rPr>
          <w:rFonts w:ascii="Courier New"/>
          <w:sz w:val="18"/>
        </w:rPr>
        <w:tab/>
        <w:t>...</w:t>
      </w:r>
      <w:r>
        <w:rPr>
          <w:rFonts w:ascii="Courier New"/>
          <w:spacing w:val="16"/>
          <w:sz w:val="18"/>
        </w:rPr>
        <w:t> </w:t>
      </w:r>
      <w:r>
        <w:rPr>
          <w:rFonts w:ascii="Courier New"/>
          <w:sz w:val="18"/>
        </w:rPr>
        <w:t>RESPONDENT</w:t>
      </w:r>
      <w:r>
        <w:rPr>
          <w:rFonts w:ascii="Courier New"/>
          <w:spacing w:val="16"/>
          <w:sz w:val="18"/>
        </w:rPr>
        <w:t> </w:t>
      </w:r>
      <w:r>
        <w:rPr>
          <w:rFonts w:ascii="Courier New"/>
          <w:spacing w:val="-5"/>
          <w:sz w:val="18"/>
        </w:rPr>
        <w:t>(S)</w:t>
      </w: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spacing w:before="7"/>
        <w:rPr>
          <w:rFonts w:ascii="Courier New"/>
          <w:sz w:val="18"/>
        </w:rPr>
      </w:pPr>
    </w:p>
    <w:p>
      <w:pPr>
        <w:spacing w:before="0"/>
        <w:ind w:left="0" w:right="1651" w:firstLine="0"/>
        <w:jc w:val="right"/>
        <w:rPr>
          <w:rFonts w:ascii="Courier New"/>
          <w:sz w:val="18"/>
        </w:rPr>
      </w:pPr>
      <w:r>
        <w:rPr>
          <w:rFonts w:ascii="Courier New"/>
          <w:sz w:val="18"/>
        </w:rPr>
        <w:t>J</w:t>
      </w:r>
      <w:r>
        <w:rPr>
          <w:rFonts w:ascii="Courier New"/>
          <w:spacing w:val="4"/>
          <w:sz w:val="18"/>
        </w:rPr>
        <w:t> </w:t>
      </w:r>
      <w:r>
        <w:rPr>
          <w:rFonts w:ascii="Courier New"/>
          <w:sz w:val="18"/>
        </w:rPr>
        <w:t>U</w:t>
      </w:r>
      <w:r>
        <w:rPr>
          <w:rFonts w:ascii="Courier New"/>
          <w:spacing w:val="4"/>
          <w:sz w:val="18"/>
        </w:rPr>
        <w:t> </w:t>
      </w:r>
      <w:r>
        <w:rPr>
          <w:rFonts w:ascii="Courier New"/>
          <w:sz w:val="18"/>
        </w:rPr>
        <w:t>D</w:t>
      </w:r>
      <w:r>
        <w:rPr>
          <w:rFonts w:ascii="Courier New"/>
          <w:spacing w:val="4"/>
          <w:sz w:val="18"/>
        </w:rPr>
        <w:t> </w:t>
      </w:r>
      <w:r>
        <w:rPr>
          <w:rFonts w:ascii="Courier New"/>
          <w:sz w:val="18"/>
        </w:rPr>
        <w:t>G</w:t>
      </w:r>
      <w:r>
        <w:rPr>
          <w:rFonts w:ascii="Courier New"/>
          <w:spacing w:val="4"/>
          <w:sz w:val="18"/>
        </w:rPr>
        <w:t> </w:t>
      </w:r>
      <w:r>
        <w:rPr>
          <w:rFonts w:ascii="Courier New"/>
          <w:sz w:val="18"/>
        </w:rPr>
        <w:t>M</w:t>
      </w:r>
      <w:r>
        <w:rPr>
          <w:rFonts w:ascii="Courier New"/>
          <w:spacing w:val="4"/>
          <w:sz w:val="18"/>
        </w:rPr>
        <w:t> </w:t>
      </w:r>
      <w:r>
        <w:rPr>
          <w:rFonts w:ascii="Courier New"/>
          <w:sz w:val="18"/>
        </w:rPr>
        <w:t>E</w:t>
      </w:r>
      <w:r>
        <w:rPr>
          <w:rFonts w:ascii="Courier New"/>
          <w:spacing w:val="4"/>
          <w:sz w:val="18"/>
        </w:rPr>
        <w:t> </w:t>
      </w:r>
      <w:r>
        <w:rPr>
          <w:rFonts w:ascii="Courier New"/>
          <w:sz w:val="18"/>
        </w:rPr>
        <w:t>N</w:t>
      </w:r>
      <w:r>
        <w:rPr>
          <w:rFonts w:ascii="Courier New"/>
          <w:spacing w:val="5"/>
          <w:sz w:val="18"/>
        </w:rPr>
        <w:t> </w:t>
      </w:r>
      <w:r>
        <w:rPr>
          <w:rFonts w:ascii="Courier New"/>
          <w:spacing w:val="-10"/>
          <w:sz w:val="18"/>
        </w:rPr>
        <w:t>T</w:t>
      </w:r>
    </w:p>
    <w:p>
      <w:pPr>
        <w:pStyle w:val="BodyText"/>
        <w:spacing w:before="97"/>
        <w:rPr>
          <w:rFonts w:ascii="Courier New"/>
        </w:rPr>
      </w:pPr>
    </w:p>
    <w:p>
      <w:pPr>
        <w:spacing w:before="0"/>
        <w:ind w:left="23" w:right="0" w:firstLine="0"/>
        <w:jc w:val="left"/>
        <w:rPr>
          <w:sz w:val="22"/>
        </w:rPr>
      </w:pPr>
      <w:r>
        <w:rPr>
          <w:sz w:val="22"/>
        </w:rPr>
        <w:t>AUGUSTINE</w:t>
      </w:r>
      <w:r>
        <w:rPr>
          <w:spacing w:val="-9"/>
          <w:sz w:val="22"/>
        </w:rPr>
        <w:t> </w:t>
      </w:r>
      <w:r>
        <w:rPr>
          <w:sz w:val="22"/>
        </w:rPr>
        <w:t>GEORGE</w:t>
      </w:r>
      <w:r>
        <w:rPr>
          <w:spacing w:val="-9"/>
          <w:sz w:val="22"/>
        </w:rPr>
        <w:t> </w:t>
      </w:r>
      <w:r>
        <w:rPr>
          <w:sz w:val="22"/>
        </w:rPr>
        <w:t>MASIH,</w:t>
      </w:r>
      <w:r>
        <w:rPr>
          <w:spacing w:val="-9"/>
          <w:sz w:val="22"/>
        </w:rPr>
        <w:t> </w:t>
      </w:r>
      <w:r>
        <w:rPr>
          <w:spacing w:val="-5"/>
          <w:sz w:val="22"/>
        </w:rPr>
        <w:t>J.</w:t>
      </w:r>
    </w:p>
    <w:p>
      <w:pPr>
        <w:pStyle w:val="BodyText"/>
        <w:spacing w:before="116"/>
      </w:pPr>
    </w:p>
    <w:p>
      <w:pPr>
        <w:pStyle w:val="ListParagraph"/>
        <w:numPr>
          <w:ilvl w:val="0"/>
          <w:numId w:val="1"/>
        </w:numPr>
        <w:tabs>
          <w:tab w:pos="243" w:val="left" w:leader="none"/>
        </w:tabs>
        <w:spacing w:line="295" w:lineRule="auto" w:before="0" w:after="0"/>
        <w:ind w:left="23" w:right="704" w:firstLine="0"/>
        <w:jc w:val="both"/>
        <w:rPr>
          <w:sz w:val="22"/>
        </w:rPr>
      </w:pPr>
      <w:r>
        <w:rPr>
          <w:sz w:val="22"/>
        </w:rPr>
        <w:t>These appeals have been preferred against the Order dated 18.01.2024 passed by the National Company Law Appellate Tribunal (hereinafter referred to as “NCLAT”) where appeals preferred by the </w:t>
      </w:r>
      <w:r>
        <w:rPr>
          <w:spacing w:val="11"/>
          <w:sz w:val="22"/>
        </w:rPr>
        <w:t>appellant </w:t>
      </w:r>
      <w:r>
        <w:rPr>
          <w:spacing w:val="10"/>
          <w:sz w:val="22"/>
        </w:rPr>
        <w:t>herein stand </w:t>
      </w:r>
      <w:r>
        <w:rPr>
          <w:spacing w:val="11"/>
          <w:sz w:val="22"/>
        </w:rPr>
        <w:t>dismissed </w:t>
      </w:r>
      <w:r>
        <w:rPr>
          <w:sz w:val="22"/>
        </w:rPr>
        <w:t>as a </w:t>
      </w:r>
      <w:r>
        <w:rPr>
          <w:spacing w:val="11"/>
          <w:sz w:val="22"/>
        </w:rPr>
        <w:t>consequence </w:t>
      </w:r>
      <w:r>
        <w:rPr>
          <w:sz w:val="22"/>
        </w:rPr>
        <w:t>of </w:t>
      </w:r>
      <w:r>
        <w:rPr>
          <w:spacing w:val="11"/>
          <w:sz w:val="22"/>
        </w:rPr>
        <w:t>dismissal </w:t>
      </w:r>
      <w:r>
        <w:rPr>
          <w:sz w:val="22"/>
        </w:rPr>
        <w:t>of the </w:t>
      </w:r>
      <w:r>
        <w:rPr>
          <w:spacing w:val="11"/>
          <w:sz w:val="22"/>
        </w:rPr>
        <w:t>applications </w:t>
      </w:r>
      <w:r>
        <w:rPr>
          <w:spacing w:val="13"/>
          <w:sz w:val="22"/>
        </w:rPr>
        <w:t>of </w:t>
      </w:r>
      <w:r>
        <w:rPr>
          <w:sz w:val="22"/>
        </w:rPr>
        <w:t>condonation of delay on the even date.</w:t>
      </w:r>
    </w:p>
    <w:p>
      <w:pPr>
        <w:pStyle w:val="BodyText"/>
        <w:spacing w:before="60"/>
      </w:pPr>
    </w:p>
    <w:p>
      <w:pPr>
        <w:spacing w:before="0"/>
        <w:ind w:left="23" w:right="0" w:firstLine="0"/>
        <w:jc w:val="left"/>
        <w:rPr>
          <w:sz w:val="22"/>
        </w:rPr>
      </w:pPr>
      <w:r>
        <w:rPr>
          <w:sz w:val="22"/>
        </w:rPr>
        <w:t>CIVIL</w:t>
      </w:r>
      <w:r>
        <w:rPr>
          <w:spacing w:val="-2"/>
          <w:sz w:val="22"/>
        </w:rPr>
        <w:t> </w:t>
      </w:r>
      <w:r>
        <w:rPr>
          <w:sz w:val="22"/>
        </w:rPr>
        <w:t>APPEAL</w:t>
      </w:r>
      <w:r>
        <w:rPr>
          <w:spacing w:val="-2"/>
          <w:sz w:val="22"/>
        </w:rPr>
        <w:t> </w:t>
      </w:r>
      <w:r>
        <w:rPr>
          <w:sz w:val="22"/>
        </w:rPr>
        <w:t>NO(S).</w:t>
      </w:r>
      <w:r>
        <w:rPr>
          <w:spacing w:val="-1"/>
          <w:sz w:val="22"/>
        </w:rPr>
        <w:t> </w:t>
      </w:r>
      <w:r>
        <w:rPr>
          <w:sz w:val="22"/>
        </w:rPr>
        <w:t>11070</w:t>
      </w:r>
      <w:r>
        <w:rPr>
          <w:spacing w:val="-2"/>
          <w:sz w:val="22"/>
        </w:rPr>
        <w:t> </w:t>
      </w:r>
      <w:r>
        <w:rPr>
          <w:sz w:val="22"/>
        </w:rPr>
        <w:t>–</w:t>
      </w:r>
      <w:r>
        <w:rPr>
          <w:spacing w:val="-2"/>
          <w:sz w:val="22"/>
        </w:rPr>
        <w:t> </w:t>
      </w:r>
      <w:r>
        <w:rPr>
          <w:sz w:val="22"/>
        </w:rPr>
        <w:t>11071</w:t>
      </w:r>
      <w:r>
        <w:rPr>
          <w:spacing w:val="-1"/>
          <w:sz w:val="22"/>
        </w:rPr>
        <w:t> </w:t>
      </w:r>
      <w:r>
        <w:rPr>
          <w:sz w:val="22"/>
        </w:rPr>
        <w:t>OF</w:t>
      </w:r>
      <w:r>
        <w:rPr>
          <w:spacing w:val="-2"/>
          <w:sz w:val="22"/>
        </w:rPr>
        <w:t> </w:t>
      </w:r>
      <w:r>
        <w:rPr>
          <w:spacing w:val="-4"/>
          <w:sz w:val="22"/>
        </w:rPr>
        <w:t>2024</w:t>
      </w:r>
    </w:p>
    <w:p>
      <w:pPr>
        <w:pStyle w:val="BodyText"/>
        <w:spacing w:before="116"/>
      </w:pPr>
    </w:p>
    <w:p>
      <w:pPr>
        <w:pStyle w:val="ListParagraph"/>
        <w:numPr>
          <w:ilvl w:val="0"/>
          <w:numId w:val="1"/>
        </w:numPr>
        <w:tabs>
          <w:tab w:pos="260" w:val="left" w:leader="none"/>
        </w:tabs>
        <w:spacing w:line="295" w:lineRule="auto" w:before="0" w:after="0"/>
        <w:ind w:left="23" w:right="712" w:firstLine="0"/>
        <w:jc w:val="both"/>
        <w:rPr>
          <w:sz w:val="22"/>
        </w:rPr>
      </w:pPr>
      <w:r>
        <w:rPr>
          <w:sz w:val="22"/>
        </w:rPr>
        <w:t>Two appeals were preferred before the NCLAT against two separate orders passed on 20.07.2023 by the National Company Law Tribunal (hereinafter referred to as “NCLT”) where an </w:t>
      </w:r>
      <w:r>
        <w:rPr>
          <w:sz w:val="22"/>
        </w:rPr>
        <w:t>application filed by the appellant herein who is the shareholder and suspended Managing Director of Dharti Dredging and Infrastructure Limited (Corporate Debtor) under Section 60(5) read with Section 35(1)(N) of the Insolvency and Bankruptcy Code, 2016 (hereinafter referred to as “IBC”) seeking a direction to the respondent(s) to place the Resolution Plans submitted by him before the Committee of</w:t>
      </w:r>
      <w:r>
        <w:rPr>
          <w:spacing w:val="3"/>
          <w:sz w:val="22"/>
        </w:rPr>
        <w:t> </w:t>
      </w:r>
      <w:r>
        <w:rPr>
          <w:sz w:val="22"/>
        </w:rPr>
        <w:t>Creditors</w:t>
      </w:r>
      <w:r>
        <w:rPr>
          <w:spacing w:val="3"/>
          <w:sz w:val="22"/>
        </w:rPr>
        <w:t> </w:t>
      </w:r>
      <w:r>
        <w:rPr>
          <w:sz w:val="22"/>
        </w:rPr>
        <w:t>(CoC)</w:t>
      </w:r>
      <w:r>
        <w:rPr>
          <w:spacing w:val="3"/>
          <w:sz w:val="22"/>
        </w:rPr>
        <w:t> </w:t>
      </w:r>
      <w:r>
        <w:rPr>
          <w:sz w:val="22"/>
        </w:rPr>
        <w:t>for</w:t>
      </w:r>
      <w:r>
        <w:rPr>
          <w:spacing w:val="4"/>
          <w:sz w:val="22"/>
        </w:rPr>
        <w:t> </w:t>
      </w:r>
      <w:r>
        <w:rPr>
          <w:sz w:val="22"/>
        </w:rPr>
        <w:t>consideration</w:t>
      </w:r>
      <w:r>
        <w:rPr>
          <w:spacing w:val="3"/>
          <w:sz w:val="22"/>
        </w:rPr>
        <w:t> </w:t>
      </w:r>
      <w:r>
        <w:rPr>
          <w:sz w:val="22"/>
        </w:rPr>
        <w:t>along</w:t>
      </w:r>
      <w:r>
        <w:rPr>
          <w:spacing w:val="3"/>
          <w:sz w:val="22"/>
        </w:rPr>
        <w:t> </w:t>
      </w:r>
      <w:r>
        <w:rPr>
          <w:sz w:val="22"/>
        </w:rPr>
        <w:t>with</w:t>
      </w:r>
      <w:r>
        <w:rPr>
          <w:spacing w:val="4"/>
          <w:sz w:val="22"/>
        </w:rPr>
        <w:t> </w:t>
      </w:r>
      <w:r>
        <w:rPr>
          <w:sz w:val="22"/>
        </w:rPr>
        <w:t>the</w:t>
      </w:r>
      <w:r>
        <w:rPr>
          <w:spacing w:val="3"/>
          <w:sz w:val="22"/>
        </w:rPr>
        <w:t> </w:t>
      </w:r>
      <w:r>
        <w:rPr>
          <w:sz w:val="22"/>
        </w:rPr>
        <w:t>other</w:t>
      </w:r>
      <w:r>
        <w:rPr>
          <w:spacing w:val="3"/>
          <w:sz w:val="22"/>
        </w:rPr>
        <w:t> </w:t>
      </w:r>
      <w:r>
        <w:rPr>
          <w:sz w:val="22"/>
        </w:rPr>
        <w:t>Resolution</w:t>
      </w:r>
      <w:r>
        <w:rPr>
          <w:spacing w:val="4"/>
          <w:sz w:val="22"/>
        </w:rPr>
        <w:t> </w:t>
      </w:r>
      <w:r>
        <w:rPr>
          <w:sz w:val="22"/>
        </w:rPr>
        <w:t>Plan</w:t>
      </w:r>
      <w:r>
        <w:rPr>
          <w:spacing w:val="3"/>
          <w:sz w:val="22"/>
        </w:rPr>
        <w:t> </w:t>
      </w:r>
      <w:r>
        <w:rPr>
          <w:sz w:val="22"/>
        </w:rPr>
        <w:t>and</w:t>
      </w:r>
      <w:r>
        <w:rPr>
          <w:spacing w:val="3"/>
          <w:sz w:val="22"/>
        </w:rPr>
        <w:t> </w:t>
      </w:r>
      <w:r>
        <w:rPr>
          <w:sz w:val="22"/>
        </w:rPr>
        <w:t>for</w:t>
      </w:r>
      <w:r>
        <w:rPr>
          <w:spacing w:val="4"/>
          <w:sz w:val="22"/>
        </w:rPr>
        <w:t> </w:t>
      </w:r>
      <w:r>
        <w:rPr>
          <w:sz w:val="22"/>
        </w:rPr>
        <w:t>staying</w:t>
      </w:r>
      <w:r>
        <w:rPr>
          <w:spacing w:val="3"/>
          <w:sz w:val="22"/>
        </w:rPr>
        <w:t> </w:t>
      </w:r>
      <w:r>
        <w:rPr>
          <w:sz w:val="22"/>
        </w:rPr>
        <w:t>the</w:t>
      </w:r>
      <w:r>
        <w:rPr>
          <w:spacing w:val="3"/>
          <w:sz w:val="22"/>
        </w:rPr>
        <w:t> </w:t>
      </w:r>
      <w:r>
        <w:rPr>
          <w:spacing w:val="-2"/>
          <w:sz w:val="22"/>
        </w:rPr>
        <w:t>voting</w:t>
      </w:r>
    </w:p>
    <w:p>
      <w:pPr>
        <w:pStyle w:val="ListParagraph"/>
        <w:spacing w:after="0" w:line="295" w:lineRule="auto"/>
        <w:jc w:val="both"/>
        <w:rPr>
          <w:sz w:val="22"/>
        </w:rPr>
        <w:sectPr>
          <w:headerReference w:type="default" r:id="rId5"/>
          <w:footerReference w:type="default" r:id="rId6"/>
          <w:type w:val="continuous"/>
          <w:pgSz w:w="11900" w:h="15840"/>
          <w:pgMar w:header="726" w:footer="672" w:top="960" w:bottom="860" w:left="1417" w:right="0"/>
          <w:pgNumType w:start="1"/>
        </w:sectPr>
      </w:pPr>
    </w:p>
    <w:p>
      <w:pPr>
        <w:pStyle w:val="BodyText"/>
        <w:spacing w:line="295" w:lineRule="auto" w:before="91"/>
        <w:ind w:left="23" w:right="704"/>
        <w:jc w:val="both"/>
      </w:pPr>
      <w:r>
        <w:rPr>
          <w:spacing w:val="11"/>
        </w:rPr>
        <w:t>results </w:t>
      </w:r>
      <w:r>
        <w:rPr/>
        <w:t>on the </w:t>
      </w:r>
      <w:r>
        <w:rPr>
          <w:spacing w:val="11"/>
        </w:rPr>
        <w:t>Resolution </w:t>
      </w:r>
      <w:r>
        <w:rPr>
          <w:spacing w:val="9"/>
        </w:rPr>
        <w:t>Plan </w:t>
      </w:r>
      <w:r>
        <w:rPr>
          <w:spacing w:val="10"/>
        </w:rPr>
        <w:t>which </w:t>
      </w:r>
      <w:r>
        <w:rPr/>
        <w:t>was </w:t>
      </w:r>
      <w:r>
        <w:rPr>
          <w:spacing w:val="11"/>
        </w:rPr>
        <w:t>dismissed </w:t>
      </w:r>
      <w:r>
        <w:rPr/>
        <w:t>and </w:t>
      </w:r>
      <w:r>
        <w:rPr>
          <w:spacing w:val="11"/>
        </w:rPr>
        <w:t>another application preferred </w:t>
      </w:r>
      <w:r>
        <w:rPr/>
        <w:t>by Respondent No. 1, Resolution Professional of the Corporate Debtor (hereinafter referred to as “RP”) </w:t>
      </w:r>
      <w:r>
        <w:rPr>
          <w:spacing w:val="9"/>
        </w:rPr>
        <w:t>under </w:t>
      </w:r>
      <w:r>
        <w:rPr>
          <w:spacing w:val="10"/>
        </w:rPr>
        <w:t>Section </w:t>
      </w:r>
      <w:r>
        <w:rPr>
          <w:spacing w:val="9"/>
        </w:rPr>
        <w:t>30(6) </w:t>
      </w:r>
      <w:r>
        <w:rPr/>
        <w:t>and </w:t>
      </w:r>
      <w:r>
        <w:rPr>
          <w:spacing w:val="9"/>
        </w:rPr>
        <w:t>31(1) </w:t>
      </w:r>
      <w:r>
        <w:rPr/>
        <w:t>of the IBC read with </w:t>
      </w:r>
      <w:r>
        <w:rPr>
          <w:spacing w:val="10"/>
        </w:rPr>
        <w:t>regulation </w:t>
      </w:r>
      <w:r>
        <w:rPr>
          <w:spacing w:val="9"/>
        </w:rPr>
        <w:t>39(4) </w:t>
      </w:r>
      <w:r>
        <w:rPr/>
        <w:t>of the </w:t>
      </w:r>
      <w:r>
        <w:rPr>
          <w:spacing w:val="10"/>
        </w:rPr>
        <w:t>Insolvency </w:t>
      </w:r>
      <w:r>
        <w:rPr>
          <w:spacing w:val="12"/>
        </w:rPr>
        <w:t>and </w:t>
      </w:r>
      <w:r>
        <w:rPr>
          <w:spacing w:val="11"/>
        </w:rPr>
        <w:t>Bankruptcy </w:t>
      </w:r>
      <w:r>
        <w:rPr>
          <w:spacing w:val="10"/>
        </w:rPr>
        <w:t>Board </w:t>
      </w:r>
      <w:r>
        <w:rPr/>
        <w:t>of </w:t>
      </w:r>
      <w:r>
        <w:rPr>
          <w:spacing w:val="10"/>
        </w:rPr>
        <w:t>India (IBBI) </w:t>
      </w:r>
      <w:r>
        <w:rPr>
          <w:spacing w:val="11"/>
        </w:rPr>
        <w:t>(Insolvency Resolution Process </w:t>
      </w:r>
      <w:r>
        <w:rPr/>
        <w:t>for </w:t>
      </w:r>
      <w:r>
        <w:rPr>
          <w:spacing w:val="11"/>
        </w:rPr>
        <w:t>Corporate </w:t>
      </w:r>
      <w:r>
        <w:rPr>
          <w:spacing w:val="13"/>
        </w:rPr>
        <w:t>Persons) </w:t>
      </w:r>
      <w:r>
        <w:rPr/>
        <w:t>Regulations, 2016 in short regulations for approval of the Resolution Plan dated 10.01.2023 of</w:t>
      </w:r>
      <w:r>
        <w:rPr>
          <w:spacing w:val="40"/>
        </w:rPr>
        <w:t> </w:t>
      </w:r>
      <w:r>
        <w:rPr/>
        <w:t>CIVIL APPEAL NO(S). 11070 – 11071 OF 2024 consortium Respondent No. 5 herein had been </w:t>
      </w:r>
      <w:r>
        <w:rPr>
          <w:spacing w:val="-2"/>
        </w:rPr>
        <w:t>allowed.</w:t>
      </w:r>
    </w:p>
    <w:p>
      <w:pPr>
        <w:pStyle w:val="BodyText"/>
        <w:spacing w:before="62"/>
      </w:pPr>
    </w:p>
    <w:p>
      <w:pPr>
        <w:pStyle w:val="ListParagraph"/>
        <w:numPr>
          <w:ilvl w:val="0"/>
          <w:numId w:val="1"/>
        </w:numPr>
        <w:tabs>
          <w:tab w:pos="259" w:val="left" w:leader="none"/>
        </w:tabs>
        <w:spacing w:line="295" w:lineRule="auto" w:before="0" w:after="0"/>
        <w:ind w:left="23" w:right="709" w:firstLine="0"/>
        <w:jc w:val="both"/>
        <w:rPr>
          <w:sz w:val="22"/>
        </w:rPr>
      </w:pPr>
      <w:r>
        <w:rPr>
          <w:sz w:val="22"/>
        </w:rPr>
        <w:t>It needs to be noted here at this stage that the appeals were preferred without any application for condonation of delay by the appellant herein with a declaration in Paragraph 6 of the grounds of appeal that the same is within the period specified in Section 61 of the IBC. Upon notice having been issued to the respondents in the appeals, objection was raised by the respondents to the effect that the appeals were beyond the period of limitation, applications for condonation of delay were preferred in both the appeals.</w:t>
      </w:r>
    </w:p>
    <w:p>
      <w:pPr>
        <w:pStyle w:val="BodyText"/>
        <w:spacing w:before="61"/>
      </w:pPr>
    </w:p>
    <w:p>
      <w:pPr>
        <w:pStyle w:val="ListParagraph"/>
        <w:numPr>
          <w:ilvl w:val="0"/>
          <w:numId w:val="1"/>
        </w:numPr>
        <w:tabs>
          <w:tab w:pos="274" w:val="left" w:leader="none"/>
        </w:tabs>
        <w:spacing w:line="295" w:lineRule="auto" w:before="0" w:after="0"/>
        <w:ind w:left="23" w:right="712" w:firstLine="0"/>
        <w:jc w:val="both"/>
        <w:rPr>
          <w:sz w:val="22"/>
        </w:rPr>
      </w:pPr>
      <w:r>
        <w:rPr>
          <w:sz w:val="22"/>
        </w:rPr>
        <w:t>Since the first appeal had been filed along with free certified copy, which, on being ready and became available on 01.08.2023 was made the basis to assert in the application that the appeal was within limitation whereas in the application in the other appeal, it was asserted that the period of limitation would begin from the date of knowledge of the contents of the Order which was </w:t>
      </w:r>
      <w:r>
        <w:rPr>
          <w:sz w:val="22"/>
        </w:rPr>
        <w:t>made available to the appellant by the ‘RP’ on 07.08.2023, therefore the appeal was within limitation. Although it was CIVIL APPEAL NO(S). 11070 – 11071 OF 2024 mentioned that the copies have been applied for by instructing the counsel, but no proofs thereof have been submitted rather at a subsequent stage it is admitted as a matter of fact that the appellant has not applied for the certified copy of any of the Orders.</w:t>
      </w:r>
    </w:p>
    <w:p>
      <w:pPr>
        <w:pStyle w:val="BodyText"/>
        <w:spacing w:before="63"/>
      </w:pPr>
    </w:p>
    <w:p>
      <w:pPr>
        <w:pStyle w:val="ListParagraph"/>
        <w:numPr>
          <w:ilvl w:val="0"/>
          <w:numId w:val="1"/>
        </w:numPr>
        <w:tabs>
          <w:tab w:pos="251" w:val="left" w:leader="none"/>
        </w:tabs>
        <w:spacing w:line="295" w:lineRule="auto" w:before="0" w:after="0"/>
        <w:ind w:left="23" w:right="709" w:firstLine="0"/>
        <w:jc w:val="both"/>
        <w:rPr>
          <w:sz w:val="22"/>
        </w:rPr>
      </w:pPr>
      <w:r>
        <w:rPr>
          <w:sz w:val="22"/>
        </w:rPr>
        <w:t>The NCLAT, Chennai proceeded to decide the question with regard to the period of limitation and the justification which is sought to have been given by the appellant for the delay in filing the</w:t>
      </w:r>
      <w:r>
        <w:rPr>
          <w:spacing w:val="40"/>
          <w:sz w:val="22"/>
        </w:rPr>
        <w:t> </w:t>
      </w:r>
      <w:r>
        <w:rPr>
          <w:sz w:val="22"/>
        </w:rPr>
        <w:t>appeals as also the mis-statement made in the ground of appeal and dismissed the same. The reasons for the same were that the appellant is guilty of suppression of correct facts and making wrong averments in para 6 and 17 of the grounds of appeal where it is asserted that the appeals have been</w:t>
      </w:r>
      <w:r>
        <w:rPr>
          <w:spacing w:val="-1"/>
          <w:sz w:val="22"/>
        </w:rPr>
        <w:t> </w:t>
      </w:r>
      <w:r>
        <w:rPr>
          <w:sz w:val="22"/>
        </w:rPr>
        <w:t>preferred</w:t>
      </w:r>
      <w:r>
        <w:rPr>
          <w:spacing w:val="-1"/>
          <w:sz w:val="22"/>
        </w:rPr>
        <w:t> </w:t>
      </w:r>
      <w:r>
        <w:rPr>
          <w:sz w:val="22"/>
        </w:rPr>
        <w:t>within</w:t>
      </w:r>
      <w:r>
        <w:rPr>
          <w:spacing w:val="-1"/>
          <w:sz w:val="22"/>
        </w:rPr>
        <w:t> </w:t>
      </w:r>
      <w:r>
        <w:rPr>
          <w:sz w:val="22"/>
        </w:rPr>
        <w:t>the</w:t>
      </w:r>
      <w:r>
        <w:rPr>
          <w:spacing w:val="-1"/>
          <w:sz w:val="22"/>
        </w:rPr>
        <w:t> </w:t>
      </w:r>
      <w:r>
        <w:rPr>
          <w:sz w:val="22"/>
        </w:rPr>
        <w:t>time</w:t>
      </w:r>
      <w:r>
        <w:rPr>
          <w:spacing w:val="-1"/>
          <w:sz w:val="22"/>
        </w:rPr>
        <w:t> </w:t>
      </w:r>
      <w:r>
        <w:rPr>
          <w:sz w:val="22"/>
        </w:rPr>
        <w:t>as</w:t>
      </w:r>
      <w:r>
        <w:rPr>
          <w:spacing w:val="-1"/>
          <w:sz w:val="22"/>
        </w:rPr>
        <w:t> </w:t>
      </w:r>
      <w:r>
        <w:rPr>
          <w:sz w:val="22"/>
        </w:rPr>
        <w:t>specified</w:t>
      </w:r>
      <w:r>
        <w:rPr>
          <w:spacing w:val="-1"/>
          <w:sz w:val="22"/>
        </w:rPr>
        <w:t> </w:t>
      </w:r>
      <w:r>
        <w:rPr>
          <w:sz w:val="22"/>
        </w:rPr>
        <w:t>under</w:t>
      </w:r>
      <w:r>
        <w:rPr>
          <w:spacing w:val="-1"/>
          <w:sz w:val="22"/>
        </w:rPr>
        <w:t> </w:t>
      </w:r>
      <w:r>
        <w:rPr>
          <w:sz w:val="22"/>
        </w:rPr>
        <w:t>the</w:t>
      </w:r>
      <w:r>
        <w:rPr>
          <w:spacing w:val="-1"/>
          <w:sz w:val="22"/>
        </w:rPr>
        <w:t> </w:t>
      </w:r>
      <w:r>
        <w:rPr>
          <w:sz w:val="22"/>
        </w:rPr>
        <w:t>statute.</w:t>
      </w:r>
      <w:r>
        <w:rPr>
          <w:spacing w:val="-1"/>
          <w:sz w:val="22"/>
        </w:rPr>
        <w:t> </w:t>
      </w:r>
      <w:r>
        <w:rPr>
          <w:sz w:val="22"/>
        </w:rPr>
        <w:t>The</w:t>
      </w:r>
      <w:r>
        <w:rPr>
          <w:spacing w:val="-1"/>
          <w:sz w:val="22"/>
        </w:rPr>
        <w:t> </w:t>
      </w:r>
      <w:r>
        <w:rPr>
          <w:sz w:val="22"/>
        </w:rPr>
        <w:t>factum</w:t>
      </w:r>
      <w:r>
        <w:rPr>
          <w:spacing w:val="-1"/>
          <w:sz w:val="22"/>
        </w:rPr>
        <w:t> </w:t>
      </w:r>
      <w:r>
        <w:rPr>
          <w:sz w:val="22"/>
        </w:rPr>
        <w:t>with</w:t>
      </w:r>
      <w:r>
        <w:rPr>
          <w:spacing w:val="-1"/>
          <w:sz w:val="22"/>
        </w:rPr>
        <w:t> </w:t>
      </w:r>
      <w:r>
        <w:rPr>
          <w:sz w:val="22"/>
        </w:rPr>
        <w:t>regard</w:t>
      </w:r>
      <w:r>
        <w:rPr>
          <w:spacing w:val="-1"/>
          <w:sz w:val="22"/>
        </w:rPr>
        <w:t> </w:t>
      </w:r>
      <w:r>
        <w:rPr>
          <w:sz w:val="22"/>
        </w:rPr>
        <w:t>to</w:t>
      </w:r>
      <w:r>
        <w:rPr>
          <w:spacing w:val="-1"/>
          <w:sz w:val="22"/>
        </w:rPr>
        <w:t> </w:t>
      </w:r>
      <w:r>
        <w:rPr>
          <w:sz w:val="22"/>
        </w:rPr>
        <w:t>the</w:t>
      </w:r>
      <w:r>
        <w:rPr>
          <w:spacing w:val="-1"/>
          <w:sz w:val="22"/>
        </w:rPr>
        <w:t> </w:t>
      </w:r>
      <w:r>
        <w:rPr>
          <w:sz w:val="22"/>
        </w:rPr>
        <w:t>certified copy having been applied for by the appellant has also been informed to be not correct and therefore the application preferred in the second appeal for dispensing with the certified copy has also been stated to be a mis-statement apart from the fact that CIVIL APPEAL NO(S). 11070 – 11071 OF 2024 the appellant had taken a totally new stand in the application for condonation of delay which is contrary to the stand taken in the grounds of appeal. The applications for condonation of delay were therefore dismissed leading to the dismissal of the appeals.</w:t>
      </w:r>
    </w:p>
    <w:p>
      <w:pPr>
        <w:pStyle w:val="BodyText"/>
        <w:spacing w:before="64"/>
      </w:pPr>
    </w:p>
    <w:p>
      <w:pPr>
        <w:pStyle w:val="ListParagraph"/>
        <w:numPr>
          <w:ilvl w:val="0"/>
          <w:numId w:val="1"/>
        </w:numPr>
        <w:tabs>
          <w:tab w:pos="275" w:val="left" w:leader="none"/>
        </w:tabs>
        <w:spacing w:line="295" w:lineRule="auto" w:before="0" w:after="0"/>
        <w:ind w:left="23" w:right="704" w:firstLine="0"/>
        <w:jc w:val="both"/>
        <w:rPr>
          <w:sz w:val="22"/>
        </w:rPr>
      </w:pPr>
      <w:r>
        <w:rPr>
          <w:sz w:val="22"/>
        </w:rPr>
        <w:t>Learned senior counsel for the appellant, although on facts, could not dispute the findings as returned by the NCLAT but had however sought to assert that, the appeals as have been filed being within the permissible period where the delay could be condoned by the NCLAT as provided for under Section 12(3) of the Limitation Act. The Appellate Tribunal could not dismiss the application or</w:t>
      </w:r>
      <w:r>
        <w:rPr>
          <w:spacing w:val="37"/>
          <w:sz w:val="22"/>
        </w:rPr>
        <w:t> </w:t>
      </w:r>
      <w:r>
        <w:rPr>
          <w:sz w:val="22"/>
        </w:rPr>
        <w:t>the</w:t>
      </w:r>
      <w:r>
        <w:rPr>
          <w:spacing w:val="10"/>
          <w:sz w:val="22"/>
        </w:rPr>
        <w:t> appeal. Reliance </w:t>
      </w:r>
      <w:r>
        <w:rPr>
          <w:sz w:val="22"/>
        </w:rPr>
        <w:t>has</w:t>
      </w:r>
      <w:r>
        <w:rPr>
          <w:spacing w:val="37"/>
          <w:sz w:val="22"/>
        </w:rPr>
        <w:t> </w:t>
      </w:r>
      <w:r>
        <w:rPr>
          <w:sz w:val="22"/>
        </w:rPr>
        <w:t>also</w:t>
      </w:r>
      <w:r>
        <w:rPr>
          <w:spacing w:val="37"/>
          <w:sz w:val="22"/>
        </w:rPr>
        <w:t> </w:t>
      </w:r>
      <w:r>
        <w:rPr>
          <w:sz w:val="22"/>
        </w:rPr>
        <w:t>been</w:t>
      </w:r>
      <w:r>
        <w:rPr>
          <w:spacing w:val="10"/>
          <w:sz w:val="22"/>
        </w:rPr>
        <w:t> placed </w:t>
      </w:r>
      <w:r>
        <w:rPr>
          <w:sz w:val="22"/>
        </w:rPr>
        <w:t>on</w:t>
      </w:r>
      <w:r>
        <w:rPr>
          <w:spacing w:val="10"/>
          <w:sz w:val="22"/>
        </w:rPr>
        <w:t> Section </w:t>
      </w:r>
      <w:r>
        <w:rPr>
          <w:sz w:val="22"/>
        </w:rPr>
        <w:t>61</w:t>
      </w:r>
      <w:r>
        <w:rPr>
          <w:spacing w:val="37"/>
          <w:sz w:val="22"/>
        </w:rPr>
        <w:t> </w:t>
      </w:r>
      <w:r>
        <w:rPr>
          <w:sz w:val="22"/>
        </w:rPr>
        <w:t>of</w:t>
      </w:r>
      <w:r>
        <w:rPr>
          <w:spacing w:val="37"/>
          <w:sz w:val="22"/>
        </w:rPr>
        <w:t> </w:t>
      </w:r>
      <w:r>
        <w:rPr>
          <w:sz w:val="22"/>
        </w:rPr>
        <w:t>the</w:t>
      </w:r>
      <w:r>
        <w:rPr>
          <w:spacing w:val="37"/>
          <w:sz w:val="22"/>
        </w:rPr>
        <w:t> </w:t>
      </w:r>
      <w:r>
        <w:rPr>
          <w:sz w:val="22"/>
        </w:rPr>
        <w:t>IBC</w:t>
      </w:r>
      <w:r>
        <w:rPr>
          <w:spacing w:val="10"/>
          <w:sz w:val="22"/>
        </w:rPr>
        <w:t> especially proviso </w:t>
      </w:r>
      <w:r>
        <w:rPr>
          <w:spacing w:val="12"/>
          <w:sz w:val="22"/>
        </w:rPr>
        <w:t>to </w:t>
      </w:r>
      <w:r>
        <w:rPr>
          <w:sz w:val="22"/>
        </w:rPr>
        <w:t>sub-section</w:t>
      </w:r>
      <w:r>
        <w:rPr>
          <w:spacing w:val="31"/>
          <w:sz w:val="22"/>
        </w:rPr>
        <w:t> </w:t>
      </w:r>
      <w:r>
        <w:rPr>
          <w:sz w:val="22"/>
        </w:rPr>
        <w:t>(2)</w:t>
      </w:r>
      <w:r>
        <w:rPr>
          <w:spacing w:val="31"/>
          <w:sz w:val="22"/>
        </w:rPr>
        <w:t> </w:t>
      </w:r>
      <w:r>
        <w:rPr>
          <w:sz w:val="22"/>
        </w:rPr>
        <w:t>thereto.</w:t>
      </w:r>
      <w:r>
        <w:rPr>
          <w:spacing w:val="31"/>
          <w:sz w:val="22"/>
        </w:rPr>
        <w:t> </w:t>
      </w:r>
      <w:r>
        <w:rPr>
          <w:sz w:val="22"/>
        </w:rPr>
        <w:t>The</w:t>
      </w:r>
      <w:r>
        <w:rPr>
          <w:spacing w:val="31"/>
          <w:sz w:val="22"/>
        </w:rPr>
        <w:t> </w:t>
      </w:r>
      <w:r>
        <w:rPr>
          <w:sz w:val="22"/>
        </w:rPr>
        <w:t>said</w:t>
      </w:r>
      <w:r>
        <w:rPr>
          <w:spacing w:val="31"/>
          <w:sz w:val="22"/>
        </w:rPr>
        <w:t> </w:t>
      </w:r>
      <w:r>
        <w:rPr>
          <w:sz w:val="22"/>
        </w:rPr>
        <w:t>proviso</w:t>
      </w:r>
      <w:r>
        <w:rPr>
          <w:spacing w:val="31"/>
          <w:sz w:val="22"/>
        </w:rPr>
        <w:t> </w:t>
      </w:r>
      <w:r>
        <w:rPr>
          <w:sz w:val="22"/>
        </w:rPr>
        <w:t>allows</w:t>
      </w:r>
      <w:r>
        <w:rPr>
          <w:spacing w:val="31"/>
          <w:sz w:val="22"/>
        </w:rPr>
        <w:t> </w:t>
      </w:r>
      <w:r>
        <w:rPr>
          <w:sz w:val="22"/>
        </w:rPr>
        <w:t>an</w:t>
      </w:r>
      <w:r>
        <w:rPr>
          <w:spacing w:val="31"/>
          <w:sz w:val="22"/>
        </w:rPr>
        <w:t> </w:t>
      </w:r>
      <w:r>
        <w:rPr>
          <w:sz w:val="22"/>
        </w:rPr>
        <w:t>additional</w:t>
      </w:r>
      <w:r>
        <w:rPr>
          <w:spacing w:val="31"/>
          <w:sz w:val="22"/>
        </w:rPr>
        <w:t> </w:t>
      </w:r>
      <w:r>
        <w:rPr>
          <w:sz w:val="22"/>
        </w:rPr>
        <w:t>period</w:t>
      </w:r>
      <w:r>
        <w:rPr>
          <w:spacing w:val="31"/>
          <w:sz w:val="22"/>
        </w:rPr>
        <w:t> </w:t>
      </w:r>
      <w:r>
        <w:rPr>
          <w:sz w:val="22"/>
        </w:rPr>
        <w:t>of</w:t>
      </w:r>
      <w:r>
        <w:rPr>
          <w:spacing w:val="31"/>
          <w:sz w:val="22"/>
        </w:rPr>
        <w:t> </w:t>
      </w:r>
      <w:r>
        <w:rPr>
          <w:sz w:val="22"/>
        </w:rPr>
        <w:t>15</w:t>
      </w:r>
      <w:r>
        <w:rPr>
          <w:spacing w:val="31"/>
          <w:sz w:val="22"/>
        </w:rPr>
        <w:t> </w:t>
      </w:r>
      <w:r>
        <w:rPr>
          <w:sz w:val="22"/>
        </w:rPr>
        <w:t>days</w:t>
      </w:r>
      <w:r>
        <w:rPr>
          <w:spacing w:val="31"/>
          <w:sz w:val="22"/>
        </w:rPr>
        <w:t> </w:t>
      </w:r>
      <w:r>
        <w:rPr>
          <w:sz w:val="22"/>
        </w:rPr>
        <w:t>to</w:t>
      </w:r>
      <w:r>
        <w:rPr>
          <w:spacing w:val="31"/>
          <w:sz w:val="22"/>
        </w:rPr>
        <w:t> </w:t>
      </w:r>
      <w:r>
        <w:rPr>
          <w:sz w:val="22"/>
        </w:rPr>
        <w:t>file</w:t>
      </w:r>
      <w:r>
        <w:rPr>
          <w:spacing w:val="31"/>
          <w:sz w:val="22"/>
        </w:rPr>
        <w:t> </w:t>
      </w:r>
      <w:r>
        <w:rPr>
          <w:sz w:val="22"/>
        </w:rPr>
        <w:t>an</w:t>
      </w:r>
      <w:r>
        <w:rPr>
          <w:spacing w:val="31"/>
          <w:sz w:val="22"/>
        </w:rPr>
        <w:t> </w:t>
      </w:r>
      <w:r>
        <w:rPr>
          <w:sz w:val="22"/>
        </w:rPr>
        <w:t>appeal</w:t>
      </w:r>
    </w:p>
    <w:p>
      <w:pPr>
        <w:pStyle w:val="ListParagraph"/>
        <w:spacing w:after="0" w:line="295" w:lineRule="auto"/>
        <w:jc w:val="both"/>
        <w:rPr>
          <w:sz w:val="22"/>
        </w:rPr>
        <w:sectPr>
          <w:pgSz w:w="11900" w:h="15840"/>
          <w:pgMar w:header="726" w:footer="672" w:top="960" w:bottom="860" w:left="1417" w:right="0"/>
        </w:sectPr>
      </w:pPr>
    </w:p>
    <w:p>
      <w:pPr>
        <w:pStyle w:val="BodyText"/>
        <w:spacing w:line="295" w:lineRule="auto" w:before="91"/>
        <w:ind w:left="23" w:right="716"/>
        <w:jc w:val="both"/>
      </w:pPr>
      <w:r>
        <w:rPr/>
        <w:t>beyond the initial period of 30 days. It is on this basis asserted that since 45 days had not passed on the date of filing the appeal from the date of pronouncement of the Order i.e. 20th of July, 2023 by the NCLAT, the delay in filing the appeal should have been condoned.</w:t>
      </w:r>
    </w:p>
    <w:p>
      <w:pPr>
        <w:pStyle w:val="BodyText"/>
        <w:spacing w:before="59"/>
      </w:pPr>
    </w:p>
    <w:p>
      <w:pPr>
        <w:spacing w:before="1"/>
        <w:ind w:left="23" w:right="0" w:firstLine="0"/>
        <w:jc w:val="both"/>
        <w:rPr>
          <w:sz w:val="22"/>
        </w:rPr>
      </w:pPr>
      <w:r>
        <w:rPr>
          <w:sz w:val="22"/>
        </w:rPr>
        <w:t>CIVIL</w:t>
      </w:r>
      <w:r>
        <w:rPr>
          <w:spacing w:val="-2"/>
          <w:sz w:val="22"/>
        </w:rPr>
        <w:t> </w:t>
      </w:r>
      <w:r>
        <w:rPr>
          <w:sz w:val="22"/>
        </w:rPr>
        <w:t>APPEAL</w:t>
      </w:r>
      <w:r>
        <w:rPr>
          <w:spacing w:val="-2"/>
          <w:sz w:val="22"/>
        </w:rPr>
        <w:t> </w:t>
      </w:r>
      <w:r>
        <w:rPr>
          <w:sz w:val="22"/>
        </w:rPr>
        <w:t>NO(S).</w:t>
      </w:r>
      <w:r>
        <w:rPr>
          <w:spacing w:val="-1"/>
          <w:sz w:val="22"/>
        </w:rPr>
        <w:t> </w:t>
      </w:r>
      <w:r>
        <w:rPr>
          <w:sz w:val="22"/>
        </w:rPr>
        <w:t>11070</w:t>
      </w:r>
      <w:r>
        <w:rPr>
          <w:spacing w:val="-2"/>
          <w:sz w:val="22"/>
        </w:rPr>
        <w:t> </w:t>
      </w:r>
      <w:r>
        <w:rPr>
          <w:sz w:val="22"/>
        </w:rPr>
        <w:t>–</w:t>
      </w:r>
      <w:r>
        <w:rPr>
          <w:spacing w:val="-2"/>
          <w:sz w:val="22"/>
        </w:rPr>
        <w:t> </w:t>
      </w:r>
      <w:r>
        <w:rPr>
          <w:sz w:val="22"/>
        </w:rPr>
        <w:t>11071</w:t>
      </w:r>
      <w:r>
        <w:rPr>
          <w:spacing w:val="-1"/>
          <w:sz w:val="22"/>
        </w:rPr>
        <w:t> </w:t>
      </w:r>
      <w:r>
        <w:rPr>
          <w:sz w:val="22"/>
        </w:rPr>
        <w:t>OF</w:t>
      </w:r>
      <w:r>
        <w:rPr>
          <w:spacing w:val="-2"/>
          <w:sz w:val="22"/>
        </w:rPr>
        <w:t> </w:t>
      </w:r>
      <w:r>
        <w:rPr>
          <w:spacing w:val="-4"/>
          <w:sz w:val="22"/>
        </w:rPr>
        <w:t>2024</w:t>
      </w:r>
    </w:p>
    <w:p>
      <w:pPr>
        <w:pStyle w:val="BodyText"/>
        <w:spacing w:before="116"/>
      </w:pPr>
    </w:p>
    <w:p>
      <w:pPr>
        <w:pStyle w:val="ListParagraph"/>
        <w:numPr>
          <w:ilvl w:val="0"/>
          <w:numId w:val="1"/>
        </w:numPr>
        <w:tabs>
          <w:tab w:pos="249" w:val="left" w:leader="none"/>
        </w:tabs>
        <w:spacing w:line="295" w:lineRule="auto" w:before="0" w:after="0"/>
        <w:ind w:left="23" w:right="709" w:firstLine="0"/>
        <w:jc w:val="both"/>
        <w:rPr>
          <w:sz w:val="22"/>
        </w:rPr>
      </w:pPr>
      <w:r>
        <w:rPr>
          <w:sz w:val="22"/>
        </w:rPr>
        <w:t>It is submitted that the appellant instructed his Counsel to obtain a certified copy of the order on the date the order was pronounced by the NCLT. The free certified copy thereof was made ready and given</w:t>
      </w:r>
      <w:r>
        <w:rPr>
          <w:spacing w:val="-1"/>
          <w:sz w:val="22"/>
        </w:rPr>
        <w:t> </w:t>
      </w:r>
      <w:r>
        <w:rPr>
          <w:sz w:val="22"/>
        </w:rPr>
        <w:t>to</w:t>
      </w:r>
      <w:r>
        <w:rPr>
          <w:spacing w:val="-1"/>
          <w:sz w:val="22"/>
        </w:rPr>
        <w:t> </w:t>
      </w:r>
      <w:r>
        <w:rPr>
          <w:sz w:val="22"/>
        </w:rPr>
        <w:t>the</w:t>
      </w:r>
      <w:r>
        <w:rPr>
          <w:spacing w:val="-1"/>
          <w:sz w:val="22"/>
        </w:rPr>
        <w:t> </w:t>
      </w:r>
      <w:r>
        <w:rPr>
          <w:sz w:val="22"/>
        </w:rPr>
        <w:t>appellant</w:t>
      </w:r>
      <w:r>
        <w:rPr>
          <w:spacing w:val="-1"/>
          <w:sz w:val="22"/>
        </w:rPr>
        <w:t> </w:t>
      </w:r>
      <w:r>
        <w:rPr>
          <w:sz w:val="22"/>
        </w:rPr>
        <w:t>on</w:t>
      </w:r>
      <w:r>
        <w:rPr>
          <w:spacing w:val="-1"/>
          <w:sz w:val="22"/>
        </w:rPr>
        <w:t> </w:t>
      </w:r>
      <w:r>
        <w:rPr>
          <w:sz w:val="22"/>
        </w:rPr>
        <w:t>01.08.2023.</w:t>
      </w:r>
      <w:r>
        <w:rPr>
          <w:spacing w:val="-1"/>
          <w:sz w:val="22"/>
        </w:rPr>
        <w:t> </w:t>
      </w:r>
      <w:r>
        <w:rPr>
          <w:sz w:val="22"/>
        </w:rPr>
        <w:t>The</w:t>
      </w:r>
      <w:r>
        <w:rPr>
          <w:spacing w:val="-1"/>
          <w:sz w:val="22"/>
        </w:rPr>
        <w:t> </w:t>
      </w:r>
      <w:r>
        <w:rPr>
          <w:sz w:val="22"/>
        </w:rPr>
        <w:t>limitation,</w:t>
      </w:r>
      <w:r>
        <w:rPr>
          <w:spacing w:val="-1"/>
          <w:sz w:val="22"/>
        </w:rPr>
        <w:t> </w:t>
      </w:r>
      <w:r>
        <w:rPr>
          <w:sz w:val="22"/>
        </w:rPr>
        <w:t>if</w:t>
      </w:r>
      <w:r>
        <w:rPr>
          <w:spacing w:val="-1"/>
          <w:sz w:val="22"/>
        </w:rPr>
        <w:t> </w:t>
      </w:r>
      <w:r>
        <w:rPr>
          <w:sz w:val="22"/>
        </w:rPr>
        <w:t>taken</w:t>
      </w:r>
      <w:r>
        <w:rPr>
          <w:spacing w:val="-1"/>
          <w:sz w:val="22"/>
        </w:rPr>
        <w:t> </w:t>
      </w:r>
      <w:r>
        <w:rPr>
          <w:sz w:val="22"/>
        </w:rPr>
        <w:t>from</w:t>
      </w:r>
      <w:r>
        <w:rPr>
          <w:spacing w:val="-1"/>
          <w:sz w:val="22"/>
        </w:rPr>
        <w:t> </w:t>
      </w:r>
      <w:r>
        <w:rPr>
          <w:sz w:val="22"/>
        </w:rPr>
        <w:t>the</w:t>
      </w:r>
      <w:r>
        <w:rPr>
          <w:spacing w:val="-1"/>
          <w:sz w:val="22"/>
        </w:rPr>
        <w:t> </w:t>
      </w:r>
      <w:r>
        <w:rPr>
          <w:sz w:val="22"/>
        </w:rPr>
        <w:t>date</w:t>
      </w:r>
      <w:r>
        <w:rPr>
          <w:spacing w:val="-1"/>
          <w:sz w:val="22"/>
        </w:rPr>
        <w:t> </w:t>
      </w:r>
      <w:r>
        <w:rPr>
          <w:sz w:val="22"/>
        </w:rPr>
        <w:t>of</w:t>
      </w:r>
      <w:r>
        <w:rPr>
          <w:spacing w:val="-1"/>
          <w:sz w:val="22"/>
        </w:rPr>
        <w:t> </w:t>
      </w:r>
      <w:r>
        <w:rPr>
          <w:sz w:val="22"/>
        </w:rPr>
        <w:t>pronouncement</w:t>
      </w:r>
      <w:r>
        <w:rPr>
          <w:spacing w:val="-1"/>
          <w:sz w:val="22"/>
        </w:rPr>
        <w:t> </w:t>
      </w:r>
      <w:r>
        <w:rPr>
          <w:sz w:val="22"/>
        </w:rPr>
        <w:t>of</w:t>
      </w:r>
      <w:r>
        <w:rPr>
          <w:spacing w:val="-1"/>
          <w:sz w:val="22"/>
        </w:rPr>
        <w:t> </w:t>
      </w:r>
      <w:r>
        <w:rPr>
          <w:sz w:val="22"/>
        </w:rPr>
        <w:t>the Order would end on 19th August 2023 whereas the appeal has been filed on 28th August 2023. Therefore, the delay is of ten days. He, however, submits that unless the contents of the order are known, no effective appeal can be filed by the party and thus, the limitation is to be counted from</w:t>
      </w:r>
      <w:r>
        <w:rPr>
          <w:spacing w:val="40"/>
          <w:sz w:val="22"/>
        </w:rPr>
        <w:t> </w:t>
      </w:r>
      <w:r>
        <w:rPr>
          <w:sz w:val="22"/>
        </w:rPr>
        <w:t>the date of the knowledge of the contents of the Order. The appeal, in any case, could not have been filed as the Order was not available to the appellant prior to the receipt thereof and the appeal</w:t>
      </w:r>
      <w:r>
        <w:rPr>
          <w:spacing w:val="40"/>
          <w:sz w:val="22"/>
        </w:rPr>
        <w:t> </w:t>
      </w:r>
      <w:r>
        <w:rPr>
          <w:sz w:val="22"/>
        </w:rPr>
        <w:t>would, in such circumstances, be within limitation. In any case, it is asserted that even if the limitation is to be seen from the initial date of pronouncement, the delay being of only ten days, the same was condonable by NCLAT as the extended period would come to an end much thereafter, it is on this basis submitted that the NCLAT should have accepted the prayer in the CIVIL APPEAL NO(S). 11070 – 11071 OF 2024 application for condonation of delay and heard the matter on merits.</w:t>
      </w:r>
    </w:p>
    <w:p>
      <w:pPr>
        <w:pStyle w:val="BodyText"/>
        <w:spacing w:before="65"/>
      </w:pPr>
    </w:p>
    <w:p>
      <w:pPr>
        <w:pStyle w:val="ListParagraph"/>
        <w:numPr>
          <w:ilvl w:val="0"/>
          <w:numId w:val="1"/>
        </w:numPr>
        <w:tabs>
          <w:tab w:pos="278" w:val="left" w:leader="none"/>
        </w:tabs>
        <w:spacing w:line="295" w:lineRule="auto" w:before="0" w:after="0"/>
        <w:ind w:left="23" w:right="712" w:firstLine="0"/>
        <w:jc w:val="both"/>
        <w:rPr>
          <w:sz w:val="22"/>
        </w:rPr>
      </w:pPr>
      <w:r>
        <w:rPr>
          <w:sz w:val="22"/>
        </w:rPr>
        <w:t>Counsel, in any case contended, that the non-filing of the application for condonation of delay along with the appeal would not be fatal as it is a curable defect. Assertion has also been made that the period of ten days has been consumed in seeking the legal opinion and preparing the appeal which should have been taken into consideration by NCLAT for condoning the delay as this could be a sufficient cause to the satisfaction of the Appellate Tribunal.</w:t>
      </w:r>
    </w:p>
    <w:p>
      <w:pPr>
        <w:pStyle w:val="BodyText"/>
        <w:spacing w:before="60"/>
      </w:pPr>
    </w:p>
    <w:p>
      <w:pPr>
        <w:pStyle w:val="ListParagraph"/>
        <w:numPr>
          <w:ilvl w:val="0"/>
          <w:numId w:val="1"/>
        </w:numPr>
        <w:tabs>
          <w:tab w:pos="262" w:val="left" w:leader="none"/>
        </w:tabs>
        <w:spacing w:line="295" w:lineRule="auto" w:before="0" w:after="0"/>
        <w:ind w:left="23" w:right="713" w:firstLine="0"/>
        <w:jc w:val="both"/>
        <w:rPr>
          <w:sz w:val="22"/>
        </w:rPr>
      </w:pPr>
      <w:r>
        <w:rPr>
          <w:sz w:val="22"/>
        </w:rPr>
        <w:t>In the other appeal, it has been asserted that the same was filed without the certified copy and an application has been preferred seeking dispensation of the filing of the certified copy on the plea</w:t>
      </w:r>
      <w:r>
        <w:rPr>
          <w:spacing w:val="80"/>
          <w:sz w:val="22"/>
        </w:rPr>
        <w:t> </w:t>
      </w:r>
      <w:r>
        <w:rPr>
          <w:sz w:val="22"/>
        </w:rPr>
        <w:t>that the copy has been lost in transit. Reliance has been placed upon the judgment of this Court in Sesh Nath Singh &amp; Anr. V. Baidyabati Sheoraphuli Co-operative Bank Ltd and Anr1 to contend that application for the purpose of condonation of delay is not required to be filed. On this basis, prayer has 2021 (7) SCC 313 CIVIL APPEAL NO(S). 11070 – 11071 OF 2024 been made for setting aside the impugned order, allow the present appeal, to condone the delay in filing the appeals and remand them to the NCLAT for fresh decision on merits.</w:t>
      </w:r>
    </w:p>
    <w:p>
      <w:pPr>
        <w:pStyle w:val="BodyText"/>
        <w:spacing w:before="63"/>
      </w:pPr>
    </w:p>
    <w:p>
      <w:pPr>
        <w:pStyle w:val="ListParagraph"/>
        <w:numPr>
          <w:ilvl w:val="0"/>
          <w:numId w:val="1"/>
        </w:numPr>
        <w:tabs>
          <w:tab w:pos="365" w:val="left" w:leader="none"/>
        </w:tabs>
        <w:spacing w:line="295" w:lineRule="auto" w:before="0" w:after="0"/>
        <w:ind w:left="23" w:right="708" w:firstLine="0"/>
        <w:jc w:val="both"/>
        <w:rPr>
          <w:sz w:val="22"/>
        </w:rPr>
      </w:pPr>
      <w:r>
        <w:rPr>
          <w:sz w:val="22"/>
        </w:rPr>
        <w:t>Learned</w:t>
      </w:r>
      <w:r>
        <w:rPr>
          <w:spacing w:val="-2"/>
          <w:sz w:val="22"/>
        </w:rPr>
        <w:t> </w:t>
      </w:r>
      <w:r>
        <w:rPr>
          <w:sz w:val="22"/>
        </w:rPr>
        <w:t>counsel</w:t>
      </w:r>
      <w:r>
        <w:rPr>
          <w:spacing w:val="-2"/>
          <w:sz w:val="22"/>
        </w:rPr>
        <w:t> </w:t>
      </w:r>
      <w:r>
        <w:rPr>
          <w:sz w:val="22"/>
        </w:rPr>
        <w:t>for</w:t>
      </w:r>
      <w:r>
        <w:rPr>
          <w:spacing w:val="-2"/>
          <w:sz w:val="22"/>
        </w:rPr>
        <w:t> </w:t>
      </w:r>
      <w:r>
        <w:rPr>
          <w:sz w:val="22"/>
        </w:rPr>
        <w:t>the</w:t>
      </w:r>
      <w:r>
        <w:rPr>
          <w:spacing w:val="-2"/>
          <w:sz w:val="22"/>
        </w:rPr>
        <w:t> </w:t>
      </w:r>
      <w:r>
        <w:rPr>
          <w:sz w:val="22"/>
        </w:rPr>
        <w:t>respondents</w:t>
      </w:r>
      <w:r>
        <w:rPr>
          <w:spacing w:val="-2"/>
          <w:sz w:val="22"/>
        </w:rPr>
        <w:t> </w:t>
      </w:r>
      <w:r>
        <w:rPr>
          <w:sz w:val="22"/>
        </w:rPr>
        <w:t>on</w:t>
      </w:r>
      <w:r>
        <w:rPr>
          <w:spacing w:val="-2"/>
          <w:sz w:val="22"/>
        </w:rPr>
        <w:t> </w:t>
      </w:r>
      <w:r>
        <w:rPr>
          <w:sz w:val="22"/>
        </w:rPr>
        <w:t>the</w:t>
      </w:r>
      <w:r>
        <w:rPr>
          <w:spacing w:val="-2"/>
          <w:sz w:val="22"/>
        </w:rPr>
        <w:t> </w:t>
      </w:r>
      <w:r>
        <w:rPr>
          <w:sz w:val="22"/>
        </w:rPr>
        <w:t>other</w:t>
      </w:r>
      <w:r>
        <w:rPr>
          <w:spacing w:val="-2"/>
          <w:sz w:val="22"/>
        </w:rPr>
        <w:t> </w:t>
      </w:r>
      <w:r>
        <w:rPr>
          <w:sz w:val="22"/>
        </w:rPr>
        <w:t>hand</w:t>
      </w:r>
      <w:r>
        <w:rPr>
          <w:spacing w:val="-2"/>
          <w:sz w:val="22"/>
        </w:rPr>
        <w:t> </w:t>
      </w:r>
      <w:r>
        <w:rPr>
          <w:sz w:val="22"/>
        </w:rPr>
        <w:t>has</w:t>
      </w:r>
      <w:r>
        <w:rPr>
          <w:spacing w:val="-2"/>
          <w:sz w:val="22"/>
        </w:rPr>
        <w:t> </w:t>
      </w:r>
      <w:r>
        <w:rPr>
          <w:sz w:val="22"/>
        </w:rPr>
        <w:t>opposed</w:t>
      </w:r>
      <w:r>
        <w:rPr>
          <w:spacing w:val="-2"/>
          <w:sz w:val="22"/>
        </w:rPr>
        <w:t> </w:t>
      </w:r>
      <w:r>
        <w:rPr>
          <w:sz w:val="22"/>
        </w:rPr>
        <w:t>the</w:t>
      </w:r>
      <w:r>
        <w:rPr>
          <w:spacing w:val="-2"/>
          <w:sz w:val="22"/>
        </w:rPr>
        <w:t> </w:t>
      </w:r>
      <w:r>
        <w:rPr>
          <w:sz w:val="22"/>
        </w:rPr>
        <w:t>prayer</w:t>
      </w:r>
      <w:r>
        <w:rPr>
          <w:spacing w:val="-2"/>
          <w:sz w:val="22"/>
        </w:rPr>
        <w:t> </w:t>
      </w:r>
      <w:r>
        <w:rPr>
          <w:sz w:val="22"/>
        </w:rPr>
        <w:t>as</w:t>
      </w:r>
      <w:r>
        <w:rPr>
          <w:spacing w:val="-2"/>
          <w:sz w:val="22"/>
        </w:rPr>
        <w:t> </w:t>
      </w:r>
      <w:r>
        <w:rPr>
          <w:sz w:val="22"/>
        </w:rPr>
        <w:t>has</w:t>
      </w:r>
      <w:r>
        <w:rPr>
          <w:spacing w:val="-2"/>
          <w:sz w:val="22"/>
        </w:rPr>
        <w:t> </w:t>
      </w:r>
      <w:r>
        <w:rPr>
          <w:sz w:val="22"/>
        </w:rPr>
        <w:t>been</w:t>
      </w:r>
      <w:r>
        <w:rPr>
          <w:spacing w:val="-2"/>
          <w:sz w:val="22"/>
        </w:rPr>
        <w:t> </w:t>
      </w:r>
      <w:r>
        <w:rPr>
          <w:sz w:val="22"/>
        </w:rPr>
        <w:t>made by the counsel for the appellant and has supported the Order passed by the NCLAT on the same grounds as has been put forth in the impugned order. Since the facts are borne out from the pleadings itself, it is asserted by the senior counsel for the respondents that no certified copy had been applied for by the appellant. The appeal was filed on 28.08.2023 whereas the impugned Order was pronounced by NCLT on 20th July 2023. The period expired on 19.08.2023 i.e. 30 days as provided under Section 61(2) of IBC that the counsel has stressed upon the fact that the appellant had not come to the Court with clean hands and is guilty of supressing facts. Reference has been made</w:t>
      </w:r>
      <w:r>
        <w:rPr>
          <w:spacing w:val="9"/>
          <w:sz w:val="22"/>
        </w:rPr>
        <w:t> </w:t>
      </w:r>
      <w:r>
        <w:rPr>
          <w:sz w:val="22"/>
        </w:rPr>
        <w:t>to</w:t>
      </w:r>
      <w:r>
        <w:rPr>
          <w:spacing w:val="10"/>
          <w:sz w:val="22"/>
        </w:rPr>
        <w:t> </w:t>
      </w:r>
      <w:r>
        <w:rPr>
          <w:sz w:val="22"/>
        </w:rPr>
        <w:t>para</w:t>
      </w:r>
      <w:r>
        <w:rPr>
          <w:spacing w:val="10"/>
          <w:sz w:val="22"/>
        </w:rPr>
        <w:t> </w:t>
      </w:r>
      <w:r>
        <w:rPr>
          <w:sz w:val="22"/>
        </w:rPr>
        <w:t>6</w:t>
      </w:r>
      <w:r>
        <w:rPr>
          <w:spacing w:val="10"/>
          <w:sz w:val="22"/>
        </w:rPr>
        <w:t> </w:t>
      </w:r>
      <w:r>
        <w:rPr>
          <w:sz w:val="22"/>
        </w:rPr>
        <w:t>and</w:t>
      </w:r>
      <w:r>
        <w:rPr>
          <w:spacing w:val="10"/>
          <w:sz w:val="22"/>
        </w:rPr>
        <w:t> </w:t>
      </w:r>
      <w:r>
        <w:rPr>
          <w:sz w:val="22"/>
        </w:rPr>
        <w:t>17</w:t>
      </w:r>
      <w:r>
        <w:rPr>
          <w:spacing w:val="9"/>
          <w:sz w:val="22"/>
        </w:rPr>
        <w:t> </w:t>
      </w:r>
      <w:r>
        <w:rPr>
          <w:sz w:val="22"/>
        </w:rPr>
        <w:t>of</w:t>
      </w:r>
      <w:r>
        <w:rPr>
          <w:spacing w:val="10"/>
          <w:sz w:val="22"/>
        </w:rPr>
        <w:t> </w:t>
      </w:r>
      <w:r>
        <w:rPr>
          <w:sz w:val="22"/>
        </w:rPr>
        <w:t>the</w:t>
      </w:r>
      <w:r>
        <w:rPr>
          <w:spacing w:val="10"/>
          <w:sz w:val="22"/>
        </w:rPr>
        <w:t> </w:t>
      </w:r>
      <w:r>
        <w:rPr>
          <w:sz w:val="22"/>
        </w:rPr>
        <w:t>grounds</w:t>
      </w:r>
      <w:r>
        <w:rPr>
          <w:spacing w:val="10"/>
          <w:sz w:val="22"/>
        </w:rPr>
        <w:t> </w:t>
      </w:r>
      <w:r>
        <w:rPr>
          <w:sz w:val="22"/>
        </w:rPr>
        <w:t>of</w:t>
      </w:r>
      <w:r>
        <w:rPr>
          <w:spacing w:val="10"/>
          <w:sz w:val="22"/>
        </w:rPr>
        <w:t> </w:t>
      </w:r>
      <w:r>
        <w:rPr>
          <w:sz w:val="22"/>
        </w:rPr>
        <w:t>appeal</w:t>
      </w:r>
      <w:r>
        <w:rPr>
          <w:spacing w:val="10"/>
          <w:sz w:val="22"/>
        </w:rPr>
        <w:t> </w:t>
      </w:r>
      <w:r>
        <w:rPr>
          <w:sz w:val="22"/>
        </w:rPr>
        <w:t>wherein</w:t>
      </w:r>
      <w:r>
        <w:rPr>
          <w:spacing w:val="9"/>
          <w:sz w:val="22"/>
        </w:rPr>
        <w:t> </w:t>
      </w:r>
      <w:r>
        <w:rPr>
          <w:sz w:val="22"/>
        </w:rPr>
        <w:t>para</w:t>
      </w:r>
      <w:r>
        <w:rPr>
          <w:spacing w:val="10"/>
          <w:sz w:val="22"/>
        </w:rPr>
        <w:t> </w:t>
      </w:r>
      <w:r>
        <w:rPr>
          <w:sz w:val="22"/>
        </w:rPr>
        <w:t>6</w:t>
      </w:r>
      <w:r>
        <w:rPr>
          <w:spacing w:val="10"/>
          <w:sz w:val="22"/>
        </w:rPr>
        <w:t> </w:t>
      </w:r>
      <w:r>
        <w:rPr>
          <w:sz w:val="22"/>
        </w:rPr>
        <w:t>it</w:t>
      </w:r>
      <w:r>
        <w:rPr>
          <w:spacing w:val="10"/>
          <w:sz w:val="22"/>
        </w:rPr>
        <w:t> </w:t>
      </w:r>
      <w:r>
        <w:rPr>
          <w:sz w:val="22"/>
        </w:rPr>
        <w:t>was</w:t>
      </w:r>
      <w:r>
        <w:rPr>
          <w:spacing w:val="10"/>
          <w:sz w:val="22"/>
        </w:rPr>
        <w:t> </w:t>
      </w:r>
      <w:r>
        <w:rPr>
          <w:sz w:val="22"/>
        </w:rPr>
        <w:t>declared</w:t>
      </w:r>
      <w:r>
        <w:rPr>
          <w:spacing w:val="10"/>
          <w:sz w:val="22"/>
        </w:rPr>
        <w:t> </w:t>
      </w:r>
      <w:r>
        <w:rPr>
          <w:sz w:val="22"/>
        </w:rPr>
        <w:t>that</w:t>
      </w:r>
      <w:r>
        <w:rPr>
          <w:spacing w:val="9"/>
          <w:sz w:val="22"/>
        </w:rPr>
        <w:t> </w:t>
      </w:r>
      <w:r>
        <w:rPr>
          <w:sz w:val="22"/>
        </w:rPr>
        <w:t>the</w:t>
      </w:r>
      <w:r>
        <w:rPr>
          <w:spacing w:val="10"/>
          <w:sz w:val="22"/>
        </w:rPr>
        <w:t> </w:t>
      </w:r>
      <w:r>
        <w:rPr>
          <w:sz w:val="22"/>
        </w:rPr>
        <w:t>appeal</w:t>
      </w:r>
      <w:r>
        <w:rPr>
          <w:spacing w:val="10"/>
          <w:sz w:val="22"/>
        </w:rPr>
        <w:t> </w:t>
      </w:r>
      <w:r>
        <w:rPr>
          <w:spacing w:val="-5"/>
          <w:sz w:val="22"/>
        </w:rPr>
        <w:t>had</w:t>
      </w:r>
    </w:p>
    <w:p>
      <w:pPr>
        <w:pStyle w:val="ListParagraph"/>
        <w:spacing w:after="0" w:line="295" w:lineRule="auto"/>
        <w:jc w:val="both"/>
        <w:rPr>
          <w:sz w:val="22"/>
        </w:rPr>
        <w:sectPr>
          <w:pgSz w:w="11900" w:h="15840"/>
          <w:pgMar w:header="726" w:footer="672" w:top="960" w:bottom="860" w:left="1417" w:right="0"/>
        </w:sectPr>
      </w:pPr>
    </w:p>
    <w:p>
      <w:pPr>
        <w:pStyle w:val="BodyText"/>
        <w:spacing w:line="295" w:lineRule="auto" w:before="91"/>
        <w:ind w:left="23" w:right="706"/>
        <w:jc w:val="both"/>
      </w:pPr>
      <w:r>
        <w:rPr/>
        <w:t>been filed within the period of limitation while in para 17, assertion has been made CIVIL APPEAL NO(S). 11070 – 11071 OF 2024 that the appellant had applied for the certified copy of the Order on 01.08.2023 and received the same on 10.08.2023 seeking exclusion of this period of ten days under Section 12(3) of the Limitation Act, 1963. Non-filing of the application for condonation of delay along with the appeal has also been asserted to be unacceptable when under the proviso it is so permissible. However, he asserts that the said application was filed on 06.12.2023 which is much </w:t>
      </w:r>
      <w:r>
        <w:rPr>
          <w:spacing w:val="10"/>
        </w:rPr>
        <w:t>beyond </w:t>
      </w:r>
      <w:r>
        <w:rPr/>
        <w:t>the </w:t>
      </w:r>
      <w:r>
        <w:rPr>
          <w:spacing w:val="10"/>
        </w:rPr>
        <w:t>permissible period. Further, </w:t>
      </w:r>
      <w:r>
        <w:rPr/>
        <w:t>a new </w:t>
      </w:r>
      <w:r>
        <w:rPr>
          <w:spacing w:val="9"/>
        </w:rPr>
        <w:t>stand </w:t>
      </w:r>
      <w:r>
        <w:rPr/>
        <w:t>has been </w:t>
      </w:r>
      <w:r>
        <w:rPr>
          <w:spacing w:val="9"/>
        </w:rPr>
        <w:t>taken </w:t>
      </w:r>
      <w:r>
        <w:rPr/>
        <w:t>in the </w:t>
      </w:r>
      <w:r>
        <w:rPr>
          <w:spacing w:val="10"/>
        </w:rPr>
        <w:t>application </w:t>
      </w:r>
      <w:r>
        <w:rPr>
          <w:spacing w:val="12"/>
        </w:rPr>
        <w:t>for </w:t>
      </w:r>
      <w:r>
        <w:rPr/>
        <w:t>condonation</w:t>
      </w:r>
      <w:r>
        <w:rPr>
          <w:spacing w:val="-1"/>
        </w:rPr>
        <w:t> </w:t>
      </w:r>
      <w:r>
        <w:rPr/>
        <w:t>of</w:t>
      </w:r>
      <w:r>
        <w:rPr>
          <w:spacing w:val="-1"/>
        </w:rPr>
        <w:t> </w:t>
      </w:r>
      <w:r>
        <w:rPr/>
        <w:t>delay</w:t>
      </w:r>
      <w:r>
        <w:rPr>
          <w:spacing w:val="-1"/>
        </w:rPr>
        <w:t> </w:t>
      </w:r>
      <w:r>
        <w:rPr/>
        <w:t>contrary</w:t>
      </w:r>
      <w:r>
        <w:rPr>
          <w:spacing w:val="-1"/>
        </w:rPr>
        <w:t> </w:t>
      </w:r>
      <w:r>
        <w:rPr/>
        <w:t>to</w:t>
      </w:r>
      <w:r>
        <w:rPr>
          <w:spacing w:val="-1"/>
        </w:rPr>
        <w:t> </w:t>
      </w:r>
      <w:r>
        <w:rPr/>
        <w:t>the</w:t>
      </w:r>
      <w:r>
        <w:rPr>
          <w:spacing w:val="-1"/>
        </w:rPr>
        <w:t> </w:t>
      </w:r>
      <w:r>
        <w:rPr/>
        <w:t>appeal.</w:t>
      </w:r>
      <w:r>
        <w:rPr>
          <w:spacing w:val="-1"/>
        </w:rPr>
        <w:t> </w:t>
      </w:r>
      <w:r>
        <w:rPr/>
        <w:t>Whereas,</w:t>
      </w:r>
      <w:r>
        <w:rPr>
          <w:spacing w:val="-1"/>
        </w:rPr>
        <w:t> </w:t>
      </w:r>
      <w:r>
        <w:rPr/>
        <w:t>as</w:t>
      </w:r>
      <w:r>
        <w:rPr>
          <w:spacing w:val="-1"/>
        </w:rPr>
        <w:t> </w:t>
      </w:r>
      <w:r>
        <w:rPr/>
        <w:t>a</w:t>
      </w:r>
      <w:r>
        <w:rPr>
          <w:spacing w:val="-1"/>
        </w:rPr>
        <w:t> </w:t>
      </w:r>
      <w:r>
        <w:rPr/>
        <w:t>matter</w:t>
      </w:r>
      <w:r>
        <w:rPr>
          <w:spacing w:val="-1"/>
        </w:rPr>
        <w:t> </w:t>
      </w:r>
      <w:r>
        <w:rPr/>
        <w:t>of</w:t>
      </w:r>
      <w:r>
        <w:rPr>
          <w:spacing w:val="-1"/>
        </w:rPr>
        <w:t> </w:t>
      </w:r>
      <w:r>
        <w:rPr/>
        <w:t>fact,</w:t>
      </w:r>
      <w:r>
        <w:rPr>
          <w:spacing w:val="-1"/>
        </w:rPr>
        <w:t> </w:t>
      </w:r>
      <w:r>
        <w:rPr/>
        <w:t>it</w:t>
      </w:r>
      <w:r>
        <w:rPr>
          <w:spacing w:val="-1"/>
        </w:rPr>
        <w:t> </w:t>
      </w:r>
      <w:r>
        <w:rPr/>
        <w:t>is</w:t>
      </w:r>
      <w:r>
        <w:rPr>
          <w:spacing w:val="-1"/>
        </w:rPr>
        <w:t> </w:t>
      </w:r>
      <w:r>
        <w:rPr/>
        <w:t>admitted</w:t>
      </w:r>
      <w:r>
        <w:rPr>
          <w:spacing w:val="-1"/>
        </w:rPr>
        <w:t> </w:t>
      </w:r>
      <w:r>
        <w:rPr/>
        <w:t>in</w:t>
      </w:r>
      <w:r>
        <w:rPr>
          <w:spacing w:val="-1"/>
        </w:rPr>
        <w:t> </w:t>
      </w:r>
      <w:r>
        <w:rPr/>
        <w:t>both</w:t>
      </w:r>
      <w:r>
        <w:rPr>
          <w:spacing w:val="-1"/>
        </w:rPr>
        <w:t> </w:t>
      </w:r>
      <w:r>
        <w:rPr/>
        <w:t>cases that certified copy was never applied for supporting the findings. For the reason given by NCLAT in the impugned order, Counsel has prayed for dismissal of the appeals.</w:t>
      </w:r>
    </w:p>
    <w:p>
      <w:pPr>
        <w:pStyle w:val="BodyText"/>
        <w:spacing w:before="63"/>
      </w:pPr>
    </w:p>
    <w:p>
      <w:pPr>
        <w:pStyle w:val="ListParagraph"/>
        <w:numPr>
          <w:ilvl w:val="0"/>
          <w:numId w:val="1"/>
        </w:numPr>
        <w:tabs>
          <w:tab w:pos="336" w:val="left" w:leader="none"/>
        </w:tabs>
        <w:spacing w:line="295" w:lineRule="auto" w:before="0" w:after="0"/>
        <w:ind w:left="23" w:right="711" w:firstLine="0"/>
        <w:jc w:val="both"/>
        <w:rPr>
          <w:sz w:val="22"/>
        </w:rPr>
      </w:pPr>
      <w:r>
        <w:rPr>
          <w:sz w:val="22"/>
        </w:rPr>
        <w:t>Having considered the submissions made by the Counsel for the parties and going through the pleadings and the law, as has been settled by this Court, we are unable to accept the prayer of the appellant and find the reasons as assigned by the Appellate Tribunal while passing the impugned CIVIL APPEAL NO(S). 11070 – 11071 OF 2024 order to be justified and in accordance with law for declining the prayer for condonation of delay. Thus, rightly dismissing the appeals as barred by </w:t>
      </w:r>
      <w:r>
        <w:rPr>
          <w:spacing w:val="-2"/>
          <w:sz w:val="22"/>
        </w:rPr>
        <w:t>limitation.</w:t>
      </w:r>
    </w:p>
    <w:p>
      <w:pPr>
        <w:pStyle w:val="BodyText"/>
        <w:spacing w:before="61"/>
      </w:pPr>
    </w:p>
    <w:p>
      <w:pPr>
        <w:pStyle w:val="ListParagraph"/>
        <w:numPr>
          <w:ilvl w:val="0"/>
          <w:numId w:val="1"/>
        </w:numPr>
        <w:tabs>
          <w:tab w:pos="354" w:val="left" w:leader="none"/>
        </w:tabs>
        <w:spacing w:line="295" w:lineRule="auto" w:before="1" w:after="0"/>
        <w:ind w:left="23" w:right="704" w:firstLine="0"/>
        <w:jc w:val="both"/>
        <w:rPr>
          <w:sz w:val="22"/>
        </w:rPr>
      </w:pPr>
      <w:r>
        <w:rPr>
          <w:sz w:val="22"/>
        </w:rPr>
        <w:t>The facts are not in dispute and therefore are not being repeated. As is apparent, first appeal was </w:t>
      </w:r>
      <w:r>
        <w:rPr>
          <w:spacing w:val="11"/>
          <w:sz w:val="22"/>
        </w:rPr>
        <w:t>preferred </w:t>
      </w:r>
      <w:r>
        <w:rPr>
          <w:spacing w:val="10"/>
          <w:sz w:val="22"/>
        </w:rPr>
        <w:t>along </w:t>
      </w:r>
      <w:r>
        <w:rPr>
          <w:spacing w:val="9"/>
          <w:sz w:val="22"/>
        </w:rPr>
        <w:t>with </w:t>
      </w:r>
      <w:r>
        <w:rPr>
          <w:sz w:val="22"/>
        </w:rPr>
        <w:t>the </w:t>
      </w:r>
      <w:r>
        <w:rPr>
          <w:spacing w:val="9"/>
          <w:sz w:val="22"/>
        </w:rPr>
        <w:t>free </w:t>
      </w:r>
      <w:r>
        <w:rPr>
          <w:spacing w:val="11"/>
          <w:sz w:val="22"/>
        </w:rPr>
        <w:t>certified </w:t>
      </w:r>
      <w:r>
        <w:rPr>
          <w:spacing w:val="9"/>
          <w:sz w:val="22"/>
        </w:rPr>
        <w:t>copy </w:t>
      </w:r>
      <w:r>
        <w:rPr>
          <w:spacing w:val="10"/>
          <w:sz w:val="22"/>
        </w:rPr>
        <w:t>which </w:t>
      </w:r>
      <w:r>
        <w:rPr>
          <w:sz w:val="22"/>
        </w:rPr>
        <w:t>was </w:t>
      </w:r>
      <w:r>
        <w:rPr>
          <w:spacing w:val="9"/>
          <w:sz w:val="22"/>
        </w:rPr>
        <w:t>made </w:t>
      </w:r>
      <w:r>
        <w:rPr>
          <w:spacing w:val="10"/>
          <w:sz w:val="22"/>
        </w:rPr>
        <w:t>ready </w:t>
      </w:r>
      <w:r>
        <w:rPr>
          <w:sz w:val="22"/>
        </w:rPr>
        <w:t>and </w:t>
      </w:r>
      <w:r>
        <w:rPr>
          <w:spacing w:val="11"/>
          <w:sz w:val="22"/>
        </w:rPr>
        <w:t>available </w:t>
      </w:r>
      <w:r>
        <w:rPr>
          <w:spacing w:val="10"/>
          <w:sz w:val="22"/>
        </w:rPr>
        <w:t>after </w:t>
      </w:r>
      <w:r>
        <w:rPr>
          <w:spacing w:val="13"/>
          <w:sz w:val="22"/>
        </w:rPr>
        <w:t>the </w:t>
      </w:r>
      <w:r>
        <w:rPr>
          <w:sz w:val="22"/>
        </w:rPr>
        <w:t>pronouncement of the Order of 20th July 2023 on 01.08.2023. It is an admitted position on facts that in the second appeal, no certified copy was appended. Rather, an application for exemption from filing of the certified copy was filed with an assertion that the certified copy had been applied for. In the absence of any certified copy having been applied for, the period of limitation would start from the very next day of pronouncement of the order i.e., 21.07.2023 as the date of pronouncement of the Order stands excluded as per Section 61 of the IBC. Section 61 of the IBC reads as follows:-</w:t>
      </w:r>
    </w:p>
    <w:p>
      <w:pPr>
        <w:pStyle w:val="BodyText"/>
        <w:spacing w:before="62"/>
      </w:pPr>
    </w:p>
    <w:p>
      <w:pPr>
        <w:pStyle w:val="BodyText"/>
        <w:spacing w:line="295" w:lineRule="auto"/>
        <w:ind w:left="743" w:right="1434"/>
        <w:jc w:val="both"/>
      </w:pPr>
      <w:r>
        <w:rPr/>
        <w:t>61. Appeals and Appellate Authority. — (1) Notwithstanding anything to the contrary contained under the Companies Act, 2013 (18 of 2013) any person aggrieved by the order</w:t>
      </w:r>
      <w:r>
        <w:rPr>
          <w:spacing w:val="-3"/>
        </w:rPr>
        <w:t> </w:t>
      </w:r>
      <w:r>
        <w:rPr/>
        <w:t>of</w:t>
      </w:r>
      <w:r>
        <w:rPr>
          <w:spacing w:val="-3"/>
        </w:rPr>
        <w:t> </w:t>
      </w:r>
      <w:r>
        <w:rPr/>
        <w:t>the</w:t>
      </w:r>
      <w:r>
        <w:rPr>
          <w:spacing w:val="-3"/>
        </w:rPr>
        <w:t> </w:t>
      </w:r>
      <w:r>
        <w:rPr/>
        <w:t>Adjudicating</w:t>
      </w:r>
      <w:r>
        <w:rPr>
          <w:spacing w:val="-3"/>
        </w:rPr>
        <w:t> </w:t>
      </w:r>
      <w:r>
        <w:rPr/>
        <w:t>Authority</w:t>
      </w:r>
      <w:r>
        <w:rPr>
          <w:spacing w:val="-3"/>
        </w:rPr>
        <w:t> </w:t>
      </w:r>
      <w:r>
        <w:rPr/>
        <w:t>under</w:t>
      </w:r>
      <w:r>
        <w:rPr>
          <w:spacing w:val="-3"/>
        </w:rPr>
        <w:t> </w:t>
      </w:r>
      <w:r>
        <w:rPr/>
        <w:t>this</w:t>
      </w:r>
      <w:r>
        <w:rPr>
          <w:spacing w:val="-3"/>
        </w:rPr>
        <w:t> </w:t>
      </w:r>
      <w:r>
        <w:rPr/>
        <w:t>part</w:t>
      </w:r>
      <w:r>
        <w:rPr>
          <w:spacing w:val="-3"/>
        </w:rPr>
        <w:t> </w:t>
      </w:r>
      <w:r>
        <w:rPr/>
        <w:t>may</w:t>
      </w:r>
      <w:r>
        <w:rPr>
          <w:spacing w:val="-3"/>
        </w:rPr>
        <w:t> </w:t>
      </w:r>
      <w:r>
        <w:rPr/>
        <w:t>CIVIL</w:t>
      </w:r>
      <w:r>
        <w:rPr>
          <w:spacing w:val="-3"/>
        </w:rPr>
        <w:t> </w:t>
      </w:r>
      <w:r>
        <w:rPr/>
        <w:t>APPEAL</w:t>
      </w:r>
      <w:r>
        <w:rPr>
          <w:spacing w:val="-3"/>
        </w:rPr>
        <w:t> </w:t>
      </w:r>
      <w:r>
        <w:rPr/>
        <w:t>NO(S).</w:t>
      </w:r>
      <w:r>
        <w:rPr>
          <w:spacing w:val="-3"/>
        </w:rPr>
        <w:t> </w:t>
      </w:r>
      <w:r>
        <w:rPr/>
        <w:t>11070 – 11071 OF 2024 prefer an appeal to the National Company Law Appellate Tribunal.</w:t>
      </w:r>
    </w:p>
    <w:p>
      <w:pPr>
        <w:pStyle w:val="BodyText"/>
        <w:spacing w:before="60"/>
      </w:pPr>
    </w:p>
    <w:p>
      <w:pPr>
        <w:pStyle w:val="ListParagraph"/>
        <w:numPr>
          <w:ilvl w:val="0"/>
          <w:numId w:val="2"/>
        </w:numPr>
        <w:tabs>
          <w:tab w:pos="365" w:val="left" w:leader="none"/>
        </w:tabs>
        <w:spacing w:line="295" w:lineRule="auto" w:before="0" w:after="0"/>
        <w:ind w:left="23" w:right="716" w:firstLine="0"/>
        <w:jc w:val="both"/>
        <w:rPr>
          <w:sz w:val="22"/>
        </w:rPr>
      </w:pPr>
      <w:r>
        <w:rPr>
          <w:sz w:val="22"/>
        </w:rPr>
        <w:t>Every appeal under sub-section (1) shall be filed within thirty days before the National Company Law Appellate Tribunal:</w:t>
      </w:r>
    </w:p>
    <w:p>
      <w:pPr>
        <w:pStyle w:val="BodyText"/>
        <w:spacing w:before="59"/>
      </w:pPr>
    </w:p>
    <w:p>
      <w:pPr>
        <w:pStyle w:val="BodyText"/>
        <w:spacing w:line="295" w:lineRule="auto"/>
        <w:ind w:left="743" w:right="1436"/>
        <w:jc w:val="both"/>
      </w:pPr>
      <w:r>
        <w:rPr/>
        <w:t>Provided that the National Company Law Appellate Tribunal may allow an appeal to be filed after the expiry of the said period of thirty days if it is satisfied that there was sufficient cause for not filing the appeal but such period shall not exceed fifteen days.</w:t>
      </w:r>
    </w:p>
    <w:p>
      <w:pPr>
        <w:pStyle w:val="BodyText"/>
        <w:spacing w:before="60"/>
      </w:pPr>
    </w:p>
    <w:p>
      <w:pPr>
        <w:pStyle w:val="ListParagraph"/>
        <w:numPr>
          <w:ilvl w:val="0"/>
          <w:numId w:val="2"/>
        </w:numPr>
        <w:tabs>
          <w:tab w:pos="1091" w:val="left" w:leader="none"/>
        </w:tabs>
        <w:spacing w:line="295" w:lineRule="auto" w:before="0" w:after="0"/>
        <w:ind w:left="743" w:right="1435" w:firstLine="0"/>
        <w:jc w:val="both"/>
        <w:rPr>
          <w:sz w:val="22"/>
        </w:rPr>
      </w:pPr>
      <w:r>
        <w:rPr>
          <w:sz w:val="22"/>
        </w:rPr>
        <w:t>An appeal against an order approving a resolution plan under section 31 may be filed on the following grounds, namely:—</w:t>
      </w:r>
    </w:p>
    <w:p>
      <w:pPr>
        <w:pStyle w:val="BodyText"/>
        <w:spacing w:before="59"/>
      </w:pPr>
    </w:p>
    <w:p>
      <w:pPr>
        <w:pStyle w:val="ListParagraph"/>
        <w:numPr>
          <w:ilvl w:val="1"/>
          <w:numId w:val="2"/>
        </w:numPr>
        <w:tabs>
          <w:tab w:pos="1038" w:val="left" w:leader="none"/>
        </w:tabs>
        <w:spacing w:line="295" w:lineRule="auto" w:before="0" w:after="0"/>
        <w:ind w:left="743" w:right="1434" w:firstLine="0"/>
        <w:jc w:val="both"/>
        <w:rPr>
          <w:sz w:val="22"/>
        </w:rPr>
      </w:pPr>
      <w:r>
        <w:rPr>
          <w:sz w:val="22"/>
        </w:rPr>
        <w:t>the approved resolution plan is in contravention of the provisions of any law for the time being in force;</w:t>
      </w:r>
    </w:p>
    <w:p>
      <w:pPr>
        <w:pStyle w:val="ListParagraph"/>
        <w:spacing w:after="0" w:line="295" w:lineRule="auto"/>
        <w:jc w:val="both"/>
        <w:rPr>
          <w:sz w:val="22"/>
        </w:rPr>
        <w:sectPr>
          <w:pgSz w:w="11900" w:h="15840"/>
          <w:pgMar w:header="726" w:footer="672" w:top="960" w:bottom="860" w:left="1417" w:right="0"/>
        </w:sectPr>
      </w:pPr>
    </w:p>
    <w:p>
      <w:pPr>
        <w:pStyle w:val="ListParagraph"/>
        <w:numPr>
          <w:ilvl w:val="1"/>
          <w:numId w:val="2"/>
        </w:numPr>
        <w:tabs>
          <w:tab w:pos="1111" w:val="left" w:leader="none"/>
        </w:tabs>
        <w:spacing w:line="295" w:lineRule="auto" w:before="91" w:after="0"/>
        <w:ind w:left="743" w:right="1432" w:firstLine="0"/>
        <w:jc w:val="both"/>
        <w:rPr>
          <w:sz w:val="22"/>
        </w:rPr>
      </w:pPr>
      <w:r>
        <w:rPr>
          <w:sz w:val="22"/>
        </w:rPr>
        <w:t>there has been material irregularity in exercise of the powers by the resolution professional during the corporate insolvency resolution period;</w:t>
      </w:r>
    </w:p>
    <w:p>
      <w:pPr>
        <w:pStyle w:val="BodyText"/>
        <w:spacing w:before="59"/>
      </w:pPr>
    </w:p>
    <w:p>
      <w:pPr>
        <w:pStyle w:val="ListParagraph"/>
        <w:numPr>
          <w:ilvl w:val="1"/>
          <w:numId w:val="2"/>
        </w:numPr>
        <w:tabs>
          <w:tab w:pos="1179" w:val="left" w:leader="none"/>
        </w:tabs>
        <w:spacing w:line="295" w:lineRule="auto" w:before="0" w:after="0"/>
        <w:ind w:left="743" w:right="1433" w:firstLine="0"/>
        <w:jc w:val="both"/>
        <w:rPr>
          <w:sz w:val="22"/>
        </w:rPr>
      </w:pPr>
      <w:r>
        <w:rPr>
          <w:sz w:val="22"/>
        </w:rPr>
        <w:t>the debts owed to operational creditors of the corporate debtor have not been provided for in the resolution plan in the manner specified by the Board;</w:t>
      </w:r>
    </w:p>
    <w:p>
      <w:pPr>
        <w:pStyle w:val="BodyText"/>
        <w:spacing w:before="59"/>
      </w:pPr>
    </w:p>
    <w:p>
      <w:pPr>
        <w:pStyle w:val="ListParagraph"/>
        <w:numPr>
          <w:ilvl w:val="1"/>
          <w:numId w:val="2"/>
        </w:numPr>
        <w:tabs>
          <w:tab w:pos="1140" w:val="left" w:leader="none"/>
        </w:tabs>
        <w:spacing w:line="295" w:lineRule="auto" w:before="0" w:after="0"/>
        <w:ind w:left="743" w:right="1436" w:firstLine="0"/>
        <w:jc w:val="both"/>
        <w:rPr>
          <w:sz w:val="22"/>
        </w:rPr>
      </w:pPr>
      <w:r>
        <w:rPr>
          <w:sz w:val="22"/>
        </w:rPr>
        <w:t>the insolvency resolution process costs have not been provided for repayment in priority to all other debts; or</w:t>
      </w:r>
    </w:p>
    <w:p>
      <w:pPr>
        <w:pStyle w:val="BodyText"/>
        <w:spacing w:before="59"/>
      </w:pPr>
    </w:p>
    <w:p>
      <w:pPr>
        <w:pStyle w:val="ListParagraph"/>
        <w:numPr>
          <w:ilvl w:val="1"/>
          <w:numId w:val="2"/>
        </w:numPr>
        <w:tabs>
          <w:tab w:pos="1070" w:val="left" w:leader="none"/>
        </w:tabs>
        <w:spacing w:line="240" w:lineRule="auto" w:before="0" w:after="0"/>
        <w:ind w:left="1070" w:right="0" w:hanging="327"/>
        <w:jc w:val="both"/>
        <w:rPr>
          <w:sz w:val="22"/>
        </w:rPr>
      </w:pPr>
      <w:r>
        <w:rPr>
          <w:sz w:val="22"/>
        </w:rPr>
        <w:t>the</w:t>
      </w:r>
      <w:r>
        <w:rPr>
          <w:spacing w:val="-4"/>
          <w:sz w:val="22"/>
        </w:rPr>
        <w:t> </w:t>
      </w:r>
      <w:r>
        <w:rPr>
          <w:sz w:val="22"/>
        </w:rPr>
        <w:t>resolution</w:t>
      </w:r>
      <w:r>
        <w:rPr>
          <w:spacing w:val="-4"/>
          <w:sz w:val="22"/>
        </w:rPr>
        <w:t> </w:t>
      </w:r>
      <w:r>
        <w:rPr>
          <w:sz w:val="22"/>
        </w:rPr>
        <w:t>plan</w:t>
      </w:r>
      <w:r>
        <w:rPr>
          <w:spacing w:val="-4"/>
          <w:sz w:val="22"/>
        </w:rPr>
        <w:t> </w:t>
      </w:r>
      <w:r>
        <w:rPr>
          <w:sz w:val="22"/>
        </w:rPr>
        <w:t>does</w:t>
      </w:r>
      <w:r>
        <w:rPr>
          <w:spacing w:val="-3"/>
          <w:sz w:val="22"/>
        </w:rPr>
        <w:t> </w:t>
      </w:r>
      <w:r>
        <w:rPr>
          <w:sz w:val="22"/>
        </w:rPr>
        <w:t>not</w:t>
      </w:r>
      <w:r>
        <w:rPr>
          <w:spacing w:val="-4"/>
          <w:sz w:val="22"/>
        </w:rPr>
        <w:t> </w:t>
      </w:r>
      <w:r>
        <w:rPr>
          <w:sz w:val="22"/>
        </w:rPr>
        <w:t>comply</w:t>
      </w:r>
      <w:r>
        <w:rPr>
          <w:spacing w:val="-4"/>
          <w:sz w:val="22"/>
        </w:rPr>
        <w:t> </w:t>
      </w:r>
      <w:r>
        <w:rPr>
          <w:sz w:val="22"/>
        </w:rPr>
        <w:t>with</w:t>
      </w:r>
      <w:r>
        <w:rPr>
          <w:spacing w:val="-3"/>
          <w:sz w:val="22"/>
        </w:rPr>
        <w:t> </w:t>
      </w:r>
      <w:r>
        <w:rPr>
          <w:sz w:val="22"/>
        </w:rPr>
        <w:t>any</w:t>
      </w:r>
      <w:r>
        <w:rPr>
          <w:spacing w:val="-4"/>
          <w:sz w:val="22"/>
        </w:rPr>
        <w:t> </w:t>
      </w:r>
      <w:r>
        <w:rPr>
          <w:sz w:val="22"/>
        </w:rPr>
        <w:t>other</w:t>
      </w:r>
      <w:r>
        <w:rPr>
          <w:spacing w:val="-4"/>
          <w:sz w:val="22"/>
        </w:rPr>
        <w:t> </w:t>
      </w:r>
      <w:r>
        <w:rPr>
          <w:sz w:val="22"/>
        </w:rPr>
        <w:t>criteria</w:t>
      </w:r>
      <w:r>
        <w:rPr>
          <w:spacing w:val="-3"/>
          <w:sz w:val="22"/>
        </w:rPr>
        <w:t> </w:t>
      </w:r>
      <w:r>
        <w:rPr>
          <w:sz w:val="22"/>
        </w:rPr>
        <w:t>specified</w:t>
      </w:r>
      <w:r>
        <w:rPr>
          <w:spacing w:val="-4"/>
          <w:sz w:val="22"/>
        </w:rPr>
        <w:t> </w:t>
      </w:r>
      <w:r>
        <w:rPr>
          <w:sz w:val="22"/>
        </w:rPr>
        <w:t>by</w:t>
      </w:r>
      <w:r>
        <w:rPr>
          <w:spacing w:val="-4"/>
          <w:sz w:val="22"/>
        </w:rPr>
        <w:t> </w:t>
      </w:r>
      <w:r>
        <w:rPr>
          <w:sz w:val="22"/>
        </w:rPr>
        <w:t>the</w:t>
      </w:r>
      <w:r>
        <w:rPr>
          <w:spacing w:val="-4"/>
          <w:sz w:val="22"/>
        </w:rPr>
        <w:t> </w:t>
      </w:r>
      <w:r>
        <w:rPr>
          <w:spacing w:val="-2"/>
          <w:sz w:val="22"/>
        </w:rPr>
        <w:t>Board.</w:t>
      </w:r>
    </w:p>
    <w:p>
      <w:pPr>
        <w:pStyle w:val="BodyText"/>
        <w:spacing w:line="295" w:lineRule="auto" w:before="58"/>
        <w:ind w:left="743" w:right="1423"/>
        <w:jc w:val="both"/>
      </w:pPr>
      <w:r>
        <w:rPr/>
        <w:t>(4) An appeal against a liquidation order passed under section 33, or sub-section (4) of Section 54L, or sub-section (4) of Section 54N, may be filed on grounds of material irregularity or fraud committed in relation to such a liquidation order. (5) An appeal against an order for initiation of corporate insolvency resolution process passed </w:t>
      </w:r>
      <w:r>
        <w:rPr>
          <w:spacing w:val="12"/>
        </w:rPr>
        <w:t>under</w:t>
      </w:r>
      <w:r>
        <w:rPr>
          <w:spacing w:val="12"/>
        </w:rPr>
        <w:t> </w:t>
      </w:r>
      <w:r>
        <w:rPr>
          <w:spacing w:val="15"/>
        </w:rPr>
        <w:t>sub-</w:t>
      </w:r>
      <w:r>
        <w:rPr>
          <w:spacing w:val="12"/>
        </w:rPr>
        <w:t>section</w:t>
      </w:r>
      <w:r>
        <w:rPr>
          <w:spacing w:val="12"/>
        </w:rPr>
        <w:t> </w:t>
      </w:r>
      <w:r>
        <w:rPr>
          <w:spacing w:val="10"/>
        </w:rPr>
        <w:t>(2)</w:t>
      </w:r>
      <w:r>
        <w:rPr>
          <w:spacing w:val="10"/>
        </w:rPr>
        <w:t> </w:t>
      </w:r>
      <w:r>
        <w:rPr/>
        <w:t>of </w:t>
      </w:r>
      <w:r>
        <w:rPr>
          <w:spacing w:val="12"/>
        </w:rPr>
        <w:t>Section</w:t>
      </w:r>
      <w:r>
        <w:rPr>
          <w:spacing w:val="12"/>
        </w:rPr>
        <w:t> </w:t>
      </w:r>
      <w:r>
        <w:rPr>
          <w:spacing w:val="15"/>
        </w:rPr>
        <w:t>54-</w:t>
      </w:r>
      <w:r>
        <w:rPr/>
        <w:t>O, </w:t>
      </w:r>
      <w:r>
        <w:rPr>
          <w:spacing w:val="10"/>
        </w:rPr>
        <w:t>may</w:t>
      </w:r>
      <w:r>
        <w:rPr>
          <w:spacing w:val="10"/>
        </w:rPr>
        <w:t> </w:t>
      </w:r>
      <w:r>
        <w:rPr/>
        <w:t>be </w:t>
      </w:r>
      <w:r>
        <w:rPr>
          <w:spacing w:val="12"/>
        </w:rPr>
        <w:t>filed</w:t>
      </w:r>
      <w:r>
        <w:rPr>
          <w:spacing w:val="12"/>
        </w:rPr>
        <w:t> </w:t>
      </w:r>
      <w:r>
        <w:rPr/>
        <w:t>on </w:t>
      </w:r>
      <w:r>
        <w:rPr>
          <w:spacing w:val="12"/>
        </w:rPr>
        <w:t>grounds</w:t>
      </w:r>
      <w:r>
        <w:rPr>
          <w:spacing w:val="12"/>
        </w:rPr>
        <w:t> </w:t>
      </w:r>
      <w:r>
        <w:rPr/>
        <w:t>of </w:t>
      </w:r>
      <w:r>
        <w:rPr>
          <w:spacing w:val="15"/>
        </w:rPr>
        <w:t>material </w:t>
      </w:r>
      <w:r>
        <w:rPr/>
        <w:t>irregularity or fraud committed in relation to such an order.</w:t>
      </w:r>
    </w:p>
    <w:p>
      <w:pPr>
        <w:pStyle w:val="BodyText"/>
        <w:spacing w:before="61"/>
      </w:pPr>
    </w:p>
    <w:p>
      <w:pPr>
        <w:spacing w:before="1"/>
        <w:ind w:left="23" w:right="0" w:firstLine="0"/>
        <w:jc w:val="left"/>
        <w:rPr>
          <w:sz w:val="22"/>
        </w:rPr>
      </w:pPr>
      <w:r>
        <w:rPr>
          <w:sz w:val="22"/>
        </w:rPr>
        <w:t>CIVIL</w:t>
      </w:r>
      <w:r>
        <w:rPr>
          <w:spacing w:val="-2"/>
          <w:sz w:val="22"/>
        </w:rPr>
        <w:t> </w:t>
      </w:r>
      <w:r>
        <w:rPr>
          <w:sz w:val="22"/>
        </w:rPr>
        <w:t>APPEAL</w:t>
      </w:r>
      <w:r>
        <w:rPr>
          <w:spacing w:val="-2"/>
          <w:sz w:val="22"/>
        </w:rPr>
        <w:t> </w:t>
      </w:r>
      <w:r>
        <w:rPr>
          <w:sz w:val="22"/>
        </w:rPr>
        <w:t>NO(S).</w:t>
      </w:r>
      <w:r>
        <w:rPr>
          <w:spacing w:val="-1"/>
          <w:sz w:val="22"/>
        </w:rPr>
        <w:t> </w:t>
      </w:r>
      <w:r>
        <w:rPr>
          <w:sz w:val="22"/>
        </w:rPr>
        <w:t>11070</w:t>
      </w:r>
      <w:r>
        <w:rPr>
          <w:spacing w:val="-2"/>
          <w:sz w:val="22"/>
        </w:rPr>
        <w:t> </w:t>
      </w:r>
      <w:r>
        <w:rPr>
          <w:sz w:val="22"/>
        </w:rPr>
        <w:t>–</w:t>
      </w:r>
      <w:r>
        <w:rPr>
          <w:spacing w:val="-2"/>
          <w:sz w:val="22"/>
        </w:rPr>
        <w:t> </w:t>
      </w:r>
      <w:r>
        <w:rPr>
          <w:sz w:val="22"/>
        </w:rPr>
        <w:t>11071</w:t>
      </w:r>
      <w:r>
        <w:rPr>
          <w:spacing w:val="-1"/>
          <w:sz w:val="22"/>
        </w:rPr>
        <w:t> </w:t>
      </w:r>
      <w:r>
        <w:rPr>
          <w:sz w:val="22"/>
        </w:rPr>
        <w:t>OF</w:t>
      </w:r>
      <w:r>
        <w:rPr>
          <w:spacing w:val="-2"/>
          <w:sz w:val="22"/>
        </w:rPr>
        <w:t> </w:t>
      </w:r>
      <w:r>
        <w:rPr>
          <w:spacing w:val="-4"/>
          <w:sz w:val="22"/>
        </w:rPr>
        <w:t>2024</w:t>
      </w:r>
    </w:p>
    <w:p>
      <w:pPr>
        <w:pStyle w:val="BodyText"/>
        <w:spacing w:before="115"/>
      </w:pPr>
    </w:p>
    <w:p>
      <w:pPr>
        <w:pStyle w:val="ListParagraph"/>
        <w:numPr>
          <w:ilvl w:val="0"/>
          <w:numId w:val="1"/>
        </w:numPr>
        <w:tabs>
          <w:tab w:pos="362" w:val="left" w:leader="none"/>
        </w:tabs>
        <w:spacing w:line="295" w:lineRule="auto" w:before="1" w:after="0"/>
        <w:ind w:left="23" w:right="714" w:firstLine="0"/>
        <w:jc w:val="both"/>
        <w:rPr>
          <w:sz w:val="22"/>
        </w:rPr>
      </w:pPr>
      <w:r>
        <w:rPr>
          <w:sz w:val="22"/>
        </w:rPr>
        <w:t>A perusal of the above Section would show that any party which is aggrieved by decision of the NCLT can file an appeal before the NCLAT. A feature which needs to be highlighted here is that this provision begins with a non obstante clause signifying an overriding effect of this provision in case</w:t>
      </w:r>
      <w:r>
        <w:rPr>
          <w:spacing w:val="40"/>
          <w:sz w:val="22"/>
        </w:rPr>
        <w:t> </w:t>
      </w:r>
      <w:r>
        <w:rPr>
          <w:sz w:val="22"/>
        </w:rPr>
        <w:t>of some contradistinction with the contents contemplated in the Companies Act, 2013.</w:t>
      </w:r>
    </w:p>
    <w:p>
      <w:pPr>
        <w:pStyle w:val="BodyText"/>
        <w:spacing w:before="60"/>
      </w:pPr>
    </w:p>
    <w:p>
      <w:pPr>
        <w:pStyle w:val="ListParagraph"/>
        <w:numPr>
          <w:ilvl w:val="0"/>
          <w:numId w:val="1"/>
        </w:numPr>
        <w:tabs>
          <w:tab w:pos="355" w:val="left" w:leader="none"/>
        </w:tabs>
        <w:spacing w:line="295" w:lineRule="auto" w:before="0" w:after="0"/>
        <w:ind w:left="23" w:right="702" w:firstLine="0"/>
        <w:jc w:val="both"/>
        <w:rPr>
          <w:sz w:val="22"/>
        </w:rPr>
      </w:pPr>
      <w:r>
        <w:rPr>
          <w:sz w:val="22"/>
        </w:rPr>
        <w:t>Statutory time limit of 30 days within which an appeal can be preferred has been provided for in sub-section (2) of Section 61 of IBC. Proviso thereto allows an additional period of 15 days to file an appeal only on the satisfaction of NCLAT that there was sufficient cause for not filing the appeal earlier within the initial period of 30 days. The restrictions with regard to allowing extension in the provisions stipulated is cloaked in such a manner that the provisions have to be strictly followed.</w:t>
      </w:r>
      <w:r>
        <w:rPr>
          <w:spacing w:val="40"/>
          <w:sz w:val="22"/>
        </w:rPr>
        <w:t> </w:t>
      </w:r>
      <w:r>
        <w:rPr>
          <w:sz w:val="22"/>
        </w:rPr>
        <w:t>The first aspect is that the period is extendable by 15 days and not beyond that. The limit, therefore, has been prescribed as regards the period within which the discretion has to be applied by NCLAT. That apart, this period cannot be claimed as a matter of right CIVIL APPEAL NO(S). 11070 – 11071 OF 2024 for extension of the limitation rather it is laced with the satisfaction at the end of the </w:t>
      </w:r>
      <w:r>
        <w:rPr>
          <w:spacing w:val="12"/>
          <w:sz w:val="22"/>
        </w:rPr>
        <w:t>NCLAT</w:t>
      </w:r>
      <w:r>
        <w:rPr>
          <w:spacing w:val="12"/>
          <w:sz w:val="22"/>
        </w:rPr>
        <w:t> </w:t>
      </w:r>
      <w:r>
        <w:rPr>
          <w:spacing w:val="11"/>
          <w:sz w:val="22"/>
        </w:rPr>
        <w:t>upon</w:t>
      </w:r>
      <w:r>
        <w:rPr>
          <w:spacing w:val="11"/>
          <w:sz w:val="22"/>
        </w:rPr>
        <w:t> </w:t>
      </w:r>
      <w:r>
        <w:rPr>
          <w:spacing w:val="12"/>
          <w:sz w:val="22"/>
        </w:rPr>
        <w:t>having</w:t>
      </w:r>
      <w:r>
        <w:rPr>
          <w:spacing w:val="12"/>
          <w:sz w:val="22"/>
        </w:rPr>
        <w:t> shown</w:t>
      </w:r>
      <w:r>
        <w:rPr>
          <w:spacing w:val="12"/>
          <w:sz w:val="22"/>
        </w:rPr>
        <w:t> </w:t>
      </w:r>
      <w:r>
        <w:rPr>
          <w:spacing w:val="13"/>
          <w:sz w:val="22"/>
        </w:rPr>
        <w:t>sufficient</w:t>
      </w:r>
      <w:r>
        <w:rPr>
          <w:spacing w:val="13"/>
          <w:sz w:val="22"/>
        </w:rPr>
        <w:t> </w:t>
      </w:r>
      <w:r>
        <w:rPr>
          <w:spacing w:val="12"/>
          <w:sz w:val="22"/>
        </w:rPr>
        <w:t>cause.</w:t>
      </w:r>
      <w:r>
        <w:rPr>
          <w:spacing w:val="12"/>
          <w:sz w:val="22"/>
        </w:rPr>
        <w:t> </w:t>
      </w:r>
      <w:r>
        <w:rPr>
          <w:spacing w:val="10"/>
          <w:sz w:val="22"/>
        </w:rPr>
        <w:t>The</w:t>
      </w:r>
      <w:r>
        <w:rPr>
          <w:spacing w:val="10"/>
          <w:sz w:val="22"/>
        </w:rPr>
        <w:t> </w:t>
      </w:r>
      <w:r>
        <w:rPr>
          <w:spacing w:val="13"/>
          <w:sz w:val="22"/>
        </w:rPr>
        <w:t>discretion,</w:t>
      </w:r>
      <w:r>
        <w:rPr>
          <w:spacing w:val="13"/>
          <w:sz w:val="22"/>
        </w:rPr>
        <w:t> therefore,</w:t>
      </w:r>
      <w:r>
        <w:rPr>
          <w:spacing w:val="13"/>
          <w:sz w:val="22"/>
        </w:rPr>
        <w:t> </w:t>
      </w:r>
      <w:r>
        <w:rPr>
          <w:spacing w:val="10"/>
          <w:sz w:val="22"/>
        </w:rPr>
        <w:t>has</w:t>
      </w:r>
      <w:r>
        <w:rPr>
          <w:spacing w:val="10"/>
          <w:sz w:val="22"/>
        </w:rPr>
        <w:t> </w:t>
      </w:r>
      <w:r>
        <w:rPr>
          <w:spacing w:val="12"/>
          <w:sz w:val="22"/>
        </w:rPr>
        <w:t>further</w:t>
      </w:r>
      <w:r>
        <w:rPr>
          <w:spacing w:val="12"/>
          <w:sz w:val="22"/>
        </w:rPr>
        <w:t> </w:t>
      </w:r>
      <w:r>
        <w:rPr>
          <w:spacing w:val="15"/>
          <w:sz w:val="22"/>
        </w:rPr>
        <w:t>been </w:t>
      </w:r>
      <w:r>
        <w:rPr>
          <w:sz w:val="22"/>
        </w:rPr>
        <w:t>circumscribed and not merely left at the whims and fancy of NCLAT. The cumulative reading of the proviso would therefore entail that the extension of period so provided for has to be </w:t>
      </w:r>
      <w:r>
        <w:rPr>
          <w:sz w:val="22"/>
        </w:rPr>
        <w:t>strictly construed and has not to be exercised in a liberal manner which highlights the legislative intent which has to be given effect to.</w:t>
      </w:r>
    </w:p>
    <w:p>
      <w:pPr>
        <w:pStyle w:val="BodyText"/>
        <w:spacing w:before="65"/>
      </w:pPr>
    </w:p>
    <w:p>
      <w:pPr>
        <w:pStyle w:val="ListParagraph"/>
        <w:numPr>
          <w:ilvl w:val="0"/>
          <w:numId w:val="1"/>
        </w:numPr>
        <w:tabs>
          <w:tab w:pos="374" w:val="left" w:leader="none"/>
        </w:tabs>
        <w:spacing w:line="295" w:lineRule="auto" w:before="0" w:after="0"/>
        <w:ind w:left="23" w:right="711" w:firstLine="0"/>
        <w:jc w:val="both"/>
        <w:rPr>
          <w:sz w:val="22"/>
        </w:rPr>
      </w:pPr>
      <w:r>
        <w:rPr>
          <w:sz w:val="22"/>
        </w:rPr>
        <w:t>With these principles in mind, the applicability of the provisions as provided for under the Limitation Act, 1963 has to be entailed.</w:t>
      </w:r>
    </w:p>
    <w:p>
      <w:pPr>
        <w:pStyle w:val="BodyText"/>
        <w:spacing w:before="59"/>
      </w:pPr>
    </w:p>
    <w:p>
      <w:pPr>
        <w:pStyle w:val="ListParagraph"/>
        <w:numPr>
          <w:ilvl w:val="0"/>
          <w:numId w:val="1"/>
        </w:numPr>
        <w:tabs>
          <w:tab w:pos="354" w:val="left" w:leader="none"/>
        </w:tabs>
        <w:spacing w:line="295" w:lineRule="auto" w:before="0" w:after="0"/>
        <w:ind w:left="23" w:right="712" w:firstLine="0"/>
        <w:jc w:val="both"/>
        <w:rPr>
          <w:sz w:val="22"/>
        </w:rPr>
      </w:pPr>
      <w:r>
        <w:rPr>
          <w:sz w:val="22"/>
        </w:rPr>
        <w:t>Rule 50 of the NCLAT Rules makes it mandatory for the Registry to send the certified copy of the final</w:t>
      </w:r>
      <w:r>
        <w:rPr>
          <w:spacing w:val="25"/>
          <w:sz w:val="22"/>
        </w:rPr>
        <w:t> </w:t>
      </w:r>
      <w:r>
        <w:rPr>
          <w:sz w:val="22"/>
        </w:rPr>
        <w:t>Order</w:t>
      </w:r>
      <w:r>
        <w:rPr>
          <w:spacing w:val="25"/>
          <w:sz w:val="22"/>
        </w:rPr>
        <w:t> </w:t>
      </w:r>
      <w:r>
        <w:rPr>
          <w:sz w:val="22"/>
        </w:rPr>
        <w:t>passed</w:t>
      </w:r>
      <w:r>
        <w:rPr>
          <w:spacing w:val="26"/>
          <w:sz w:val="22"/>
        </w:rPr>
        <w:t> </w:t>
      </w:r>
      <w:r>
        <w:rPr>
          <w:sz w:val="22"/>
        </w:rPr>
        <w:t>by</w:t>
      </w:r>
      <w:r>
        <w:rPr>
          <w:spacing w:val="26"/>
          <w:sz w:val="22"/>
        </w:rPr>
        <w:t> </w:t>
      </w:r>
      <w:r>
        <w:rPr>
          <w:sz w:val="22"/>
        </w:rPr>
        <w:t>NCLT</w:t>
      </w:r>
      <w:r>
        <w:rPr>
          <w:spacing w:val="26"/>
          <w:sz w:val="22"/>
        </w:rPr>
        <w:t> </w:t>
      </w:r>
      <w:r>
        <w:rPr>
          <w:sz w:val="22"/>
        </w:rPr>
        <w:t>to</w:t>
      </w:r>
      <w:r>
        <w:rPr>
          <w:spacing w:val="26"/>
          <w:sz w:val="22"/>
        </w:rPr>
        <w:t> </w:t>
      </w:r>
      <w:r>
        <w:rPr>
          <w:sz w:val="22"/>
        </w:rPr>
        <w:t>the</w:t>
      </w:r>
      <w:r>
        <w:rPr>
          <w:spacing w:val="26"/>
          <w:sz w:val="22"/>
        </w:rPr>
        <w:t> </w:t>
      </w:r>
      <w:r>
        <w:rPr>
          <w:sz w:val="22"/>
        </w:rPr>
        <w:t>concerned</w:t>
      </w:r>
      <w:r>
        <w:rPr>
          <w:spacing w:val="26"/>
          <w:sz w:val="22"/>
        </w:rPr>
        <w:t> </w:t>
      </w:r>
      <w:r>
        <w:rPr>
          <w:sz w:val="22"/>
        </w:rPr>
        <w:t>parties</w:t>
      </w:r>
      <w:r>
        <w:rPr>
          <w:spacing w:val="26"/>
          <w:sz w:val="22"/>
        </w:rPr>
        <w:t> </w:t>
      </w:r>
      <w:r>
        <w:rPr>
          <w:sz w:val="22"/>
        </w:rPr>
        <w:t>free</w:t>
      </w:r>
      <w:r>
        <w:rPr>
          <w:spacing w:val="26"/>
          <w:sz w:val="22"/>
        </w:rPr>
        <w:t> </w:t>
      </w:r>
      <w:r>
        <w:rPr>
          <w:sz w:val="22"/>
        </w:rPr>
        <w:t>of</w:t>
      </w:r>
      <w:r>
        <w:rPr>
          <w:spacing w:val="26"/>
          <w:sz w:val="22"/>
        </w:rPr>
        <w:t> </w:t>
      </w:r>
      <w:r>
        <w:rPr>
          <w:sz w:val="22"/>
        </w:rPr>
        <w:t>cost</w:t>
      </w:r>
      <w:r>
        <w:rPr>
          <w:spacing w:val="26"/>
          <w:sz w:val="22"/>
        </w:rPr>
        <w:t> </w:t>
      </w:r>
      <w:r>
        <w:rPr>
          <w:sz w:val="22"/>
        </w:rPr>
        <w:t>and</w:t>
      </w:r>
      <w:r>
        <w:rPr>
          <w:spacing w:val="26"/>
          <w:sz w:val="22"/>
        </w:rPr>
        <w:t> </w:t>
      </w:r>
      <w:r>
        <w:rPr>
          <w:sz w:val="22"/>
        </w:rPr>
        <w:t>the</w:t>
      </w:r>
      <w:r>
        <w:rPr>
          <w:spacing w:val="26"/>
          <w:sz w:val="22"/>
        </w:rPr>
        <w:t> </w:t>
      </w:r>
      <w:r>
        <w:rPr>
          <w:sz w:val="22"/>
        </w:rPr>
        <w:t>certified</w:t>
      </w:r>
      <w:r>
        <w:rPr>
          <w:spacing w:val="26"/>
          <w:sz w:val="22"/>
        </w:rPr>
        <w:t> </w:t>
      </w:r>
      <w:r>
        <w:rPr>
          <w:sz w:val="22"/>
        </w:rPr>
        <w:t>copies</w:t>
      </w:r>
      <w:r>
        <w:rPr>
          <w:spacing w:val="26"/>
          <w:sz w:val="22"/>
        </w:rPr>
        <w:t> </w:t>
      </w:r>
      <w:r>
        <w:rPr>
          <w:sz w:val="22"/>
        </w:rPr>
        <w:t>may</w:t>
      </w:r>
      <w:r>
        <w:rPr>
          <w:spacing w:val="26"/>
          <w:sz w:val="22"/>
        </w:rPr>
        <w:t> </w:t>
      </w:r>
      <w:r>
        <w:rPr>
          <w:sz w:val="22"/>
        </w:rPr>
        <w:t>be</w:t>
      </w:r>
    </w:p>
    <w:p>
      <w:pPr>
        <w:pStyle w:val="ListParagraph"/>
        <w:spacing w:after="0" w:line="295" w:lineRule="auto"/>
        <w:jc w:val="both"/>
        <w:rPr>
          <w:sz w:val="22"/>
        </w:rPr>
        <w:sectPr>
          <w:pgSz w:w="11900" w:h="15840"/>
          <w:pgMar w:header="726" w:footer="672" w:top="960" w:bottom="860" w:left="1417" w:right="0"/>
        </w:sectPr>
      </w:pPr>
    </w:p>
    <w:p>
      <w:pPr>
        <w:pStyle w:val="BodyText"/>
        <w:spacing w:line="295" w:lineRule="auto" w:before="91"/>
        <w:ind w:left="23" w:right="713"/>
        <w:jc w:val="both"/>
      </w:pPr>
      <w:r>
        <w:rPr/>
        <w:t>made available with costs as per the schedule of fees in all other cases. Rule 22 of the NCLAT Rules deals with the presentation of the appeal in form NCLAT-1. Sub-rule 2 thereof mandates that an appeal shall be accompanied by the certified copy of the impugned order.</w:t>
      </w:r>
    </w:p>
    <w:p>
      <w:pPr>
        <w:pStyle w:val="BodyText"/>
        <w:spacing w:before="59"/>
      </w:pPr>
    </w:p>
    <w:p>
      <w:pPr>
        <w:spacing w:before="1"/>
        <w:ind w:left="23" w:right="0" w:firstLine="0"/>
        <w:jc w:val="both"/>
        <w:rPr>
          <w:sz w:val="22"/>
        </w:rPr>
      </w:pPr>
      <w:r>
        <w:rPr>
          <w:sz w:val="22"/>
        </w:rPr>
        <w:t>CIVIL</w:t>
      </w:r>
      <w:r>
        <w:rPr>
          <w:spacing w:val="-2"/>
          <w:sz w:val="22"/>
        </w:rPr>
        <w:t> </w:t>
      </w:r>
      <w:r>
        <w:rPr>
          <w:sz w:val="22"/>
        </w:rPr>
        <w:t>APPEAL</w:t>
      </w:r>
      <w:r>
        <w:rPr>
          <w:spacing w:val="-2"/>
          <w:sz w:val="22"/>
        </w:rPr>
        <w:t> </w:t>
      </w:r>
      <w:r>
        <w:rPr>
          <w:sz w:val="22"/>
        </w:rPr>
        <w:t>NO(S).</w:t>
      </w:r>
      <w:r>
        <w:rPr>
          <w:spacing w:val="-1"/>
          <w:sz w:val="22"/>
        </w:rPr>
        <w:t> </w:t>
      </w:r>
      <w:r>
        <w:rPr>
          <w:sz w:val="22"/>
        </w:rPr>
        <w:t>11070</w:t>
      </w:r>
      <w:r>
        <w:rPr>
          <w:spacing w:val="-2"/>
          <w:sz w:val="22"/>
        </w:rPr>
        <w:t> </w:t>
      </w:r>
      <w:r>
        <w:rPr>
          <w:sz w:val="22"/>
        </w:rPr>
        <w:t>–</w:t>
      </w:r>
      <w:r>
        <w:rPr>
          <w:spacing w:val="-2"/>
          <w:sz w:val="22"/>
        </w:rPr>
        <w:t> </w:t>
      </w:r>
      <w:r>
        <w:rPr>
          <w:sz w:val="22"/>
        </w:rPr>
        <w:t>11071</w:t>
      </w:r>
      <w:r>
        <w:rPr>
          <w:spacing w:val="-1"/>
          <w:sz w:val="22"/>
        </w:rPr>
        <w:t> </w:t>
      </w:r>
      <w:r>
        <w:rPr>
          <w:sz w:val="22"/>
        </w:rPr>
        <w:t>OF</w:t>
      </w:r>
      <w:r>
        <w:rPr>
          <w:spacing w:val="-2"/>
          <w:sz w:val="22"/>
        </w:rPr>
        <w:t> </w:t>
      </w:r>
      <w:r>
        <w:rPr>
          <w:spacing w:val="-4"/>
          <w:sz w:val="22"/>
        </w:rPr>
        <w:t>2024</w:t>
      </w:r>
    </w:p>
    <w:p>
      <w:pPr>
        <w:pStyle w:val="BodyText"/>
        <w:spacing w:before="116"/>
      </w:pPr>
    </w:p>
    <w:p>
      <w:pPr>
        <w:pStyle w:val="ListParagraph"/>
        <w:numPr>
          <w:ilvl w:val="0"/>
          <w:numId w:val="1"/>
        </w:numPr>
        <w:tabs>
          <w:tab w:pos="340" w:val="left" w:leader="none"/>
        </w:tabs>
        <w:spacing w:line="295" w:lineRule="auto" w:before="0" w:after="0"/>
        <w:ind w:left="23" w:right="709" w:firstLine="0"/>
        <w:jc w:val="both"/>
        <w:rPr>
          <w:sz w:val="22"/>
        </w:rPr>
      </w:pPr>
      <w:r>
        <w:rPr>
          <w:sz w:val="22"/>
        </w:rPr>
        <w:t>This</w:t>
      </w:r>
      <w:r>
        <w:rPr>
          <w:spacing w:val="-2"/>
          <w:sz w:val="22"/>
        </w:rPr>
        <w:t> </w:t>
      </w:r>
      <w:r>
        <w:rPr>
          <w:sz w:val="22"/>
        </w:rPr>
        <w:t>Court</w:t>
      </w:r>
      <w:r>
        <w:rPr>
          <w:spacing w:val="-2"/>
          <w:sz w:val="22"/>
        </w:rPr>
        <w:t> </w:t>
      </w:r>
      <w:r>
        <w:rPr>
          <w:sz w:val="22"/>
        </w:rPr>
        <w:t>had</w:t>
      </w:r>
      <w:r>
        <w:rPr>
          <w:spacing w:val="-2"/>
          <w:sz w:val="22"/>
        </w:rPr>
        <w:t> </w:t>
      </w:r>
      <w:r>
        <w:rPr>
          <w:sz w:val="22"/>
        </w:rPr>
        <w:t>an</w:t>
      </w:r>
      <w:r>
        <w:rPr>
          <w:spacing w:val="-2"/>
          <w:sz w:val="22"/>
        </w:rPr>
        <w:t> </w:t>
      </w:r>
      <w:r>
        <w:rPr>
          <w:sz w:val="22"/>
        </w:rPr>
        <w:t>occasion</w:t>
      </w:r>
      <w:r>
        <w:rPr>
          <w:spacing w:val="-2"/>
          <w:sz w:val="22"/>
        </w:rPr>
        <w:t> </w:t>
      </w:r>
      <w:r>
        <w:rPr>
          <w:sz w:val="22"/>
        </w:rPr>
        <w:t>to</w:t>
      </w:r>
      <w:r>
        <w:rPr>
          <w:spacing w:val="-2"/>
          <w:sz w:val="22"/>
        </w:rPr>
        <w:t> </w:t>
      </w:r>
      <w:r>
        <w:rPr>
          <w:sz w:val="22"/>
        </w:rPr>
        <w:t>deal</w:t>
      </w:r>
      <w:r>
        <w:rPr>
          <w:spacing w:val="-2"/>
          <w:sz w:val="22"/>
        </w:rPr>
        <w:t> </w:t>
      </w:r>
      <w:r>
        <w:rPr>
          <w:sz w:val="22"/>
        </w:rPr>
        <w:t>with</w:t>
      </w:r>
      <w:r>
        <w:rPr>
          <w:spacing w:val="-2"/>
          <w:sz w:val="22"/>
        </w:rPr>
        <w:t> </w:t>
      </w:r>
      <w:r>
        <w:rPr>
          <w:sz w:val="22"/>
        </w:rPr>
        <w:t>a</w:t>
      </w:r>
      <w:r>
        <w:rPr>
          <w:spacing w:val="-2"/>
          <w:sz w:val="22"/>
        </w:rPr>
        <w:t> </w:t>
      </w:r>
      <w:r>
        <w:rPr>
          <w:sz w:val="22"/>
        </w:rPr>
        <w:t>question</w:t>
      </w:r>
      <w:r>
        <w:rPr>
          <w:spacing w:val="-2"/>
          <w:sz w:val="22"/>
        </w:rPr>
        <w:t> </w:t>
      </w:r>
      <w:r>
        <w:rPr>
          <w:sz w:val="22"/>
        </w:rPr>
        <w:t>regarding</w:t>
      </w:r>
      <w:r>
        <w:rPr>
          <w:spacing w:val="-2"/>
          <w:sz w:val="22"/>
        </w:rPr>
        <w:t> </w:t>
      </w:r>
      <w:r>
        <w:rPr>
          <w:sz w:val="22"/>
        </w:rPr>
        <w:t>the</w:t>
      </w:r>
      <w:r>
        <w:rPr>
          <w:spacing w:val="-2"/>
          <w:sz w:val="22"/>
        </w:rPr>
        <w:t> </w:t>
      </w:r>
      <w:r>
        <w:rPr>
          <w:sz w:val="22"/>
        </w:rPr>
        <w:t>primacy</w:t>
      </w:r>
      <w:r>
        <w:rPr>
          <w:spacing w:val="-2"/>
          <w:sz w:val="22"/>
        </w:rPr>
        <w:t> </w:t>
      </w:r>
      <w:r>
        <w:rPr>
          <w:sz w:val="22"/>
        </w:rPr>
        <w:t>of</w:t>
      </w:r>
      <w:r>
        <w:rPr>
          <w:spacing w:val="-2"/>
          <w:sz w:val="22"/>
        </w:rPr>
        <w:t> </w:t>
      </w:r>
      <w:r>
        <w:rPr>
          <w:sz w:val="22"/>
        </w:rPr>
        <w:t>the</w:t>
      </w:r>
      <w:r>
        <w:rPr>
          <w:spacing w:val="-2"/>
          <w:sz w:val="22"/>
        </w:rPr>
        <w:t> </w:t>
      </w:r>
      <w:r>
        <w:rPr>
          <w:sz w:val="22"/>
        </w:rPr>
        <w:t>provisions</w:t>
      </w:r>
      <w:r>
        <w:rPr>
          <w:spacing w:val="-2"/>
          <w:sz w:val="22"/>
        </w:rPr>
        <w:t> </w:t>
      </w:r>
      <w:r>
        <w:rPr>
          <w:sz w:val="22"/>
        </w:rPr>
        <w:t>of</w:t>
      </w:r>
      <w:r>
        <w:rPr>
          <w:spacing w:val="-2"/>
          <w:sz w:val="22"/>
        </w:rPr>
        <w:t> </w:t>
      </w:r>
      <w:r>
        <w:rPr>
          <w:sz w:val="22"/>
        </w:rPr>
        <w:t>IBC vis-à- vis the Companies Act, 2013 in V Nagarajan Vs. SKS Ispat and Power Limited2. The primary contention raised by the appellants therein was the non-availability of the certified copies of the Order and exclusion of their period of non-availability from the period of limitation for filing appeal under Section 61(2) of the IBC, 2016. This Court while dealing with Section 421(3) of the Companies Act, 2013 and Section 61(2) of IBC adopted a purposive interpretation and observed that the use of phrase “from the date on which a copy of the Order of the Tribunal is made available to the person aggrieved” in Section 421(3) of the Companies Act, 2013 is indicative of the overt intention of the legislature</w:t>
      </w:r>
      <w:r>
        <w:rPr>
          <w:spacing w:val="-2"/>
          <w:sz w:val="22"/>
        </w:rPr>
        <w:t> </w:t>
      </w:r>
      <w:r>
        <w:rPr>
          <w:sz w:val="22"/>
        </w:rPr>
        <w:t>to</w:t>
      </w:r>
      <w:r>
        <w:rPr>
          <w:spacing w:val="-2"/>
          <w:sz w:val="22"/>
        </w:rPr>
        <w:t> </w:t>
      </w:r>
      <w:r>
        <w:rPr>
          <w:sz w:val="22"/>
        </w:rPr>
        <w:t>commence</w:t>
      </w:r>
      <w:r>
        <w:rPr>
          <w:spacing w:val="-2"/>
          <w:sz w:val="22"/>
        </w:rPr>
        <w:t> </w:t>
      </w:r>
      <w:r>
        <w:rPr>
          <w:sz w:val="22"/>
        </w:rPr>
        <w:t>the</w:t>
      </w:r>
      <w:r>
        <w:rPr>
          <w:spacing w:val="-2"/>
          <w:sz w:val="22"/>
        </w:rPr>
        <w:t> </w:t>
      </w:r>
      <w:r>
        <w:rPr>
          <w:sz w:val="22"/>
        </w:rPr>
        <w:t>period</w:t>
      </w:r>
      <w:r>
        <w:rPr>
          <w:spacing w:val="-2"/>
          <w:sz w:val="22"/>
        </w:rPr>
        <w:t> </w:t>
      </w:r>
      <w:r>
        <w:rPr>
          <w:sz w:val="22"/>
        </w:rPr>
        <w:t>of</w:t>
      </w:r>
      <w:r>
        <w:rPr>
          <w:spacing w:val="-2"/>
          <w:sz w:val="22"/>
        </w:rPr>
        <w:t> </w:t>
      </w:r>
      <w:r>
        <w:rPr>
          <w:sz w:val="22"/>
        </w:rPr>
        <w:t>limitation</w:t>
      </w:r>
      <w:r>
        <w:rPr>
          <w:spacing w:val="-2"/>
          <w:sz w:val="22"/>
        </w:rPr>
        <w:t> </w:t>
      </w:r>
      <w:r>
        <w:rPr>
          <w:sz w:val="22"/>
        </w:rPr>
        <w:t>only</w:t>
      </w:r>
      <w:r>
        <w:rPr>
          <w:spacing w:val="-2"/>
          <w:sz w:val="22"/>
        </w:rPr>
        <w:t> </w:t>
      </w:r>
      <w:r>
        <w:rPr>
          <w:sz w:val="22"/>
        </w:rPr>
        <w:t>upon</w:t>
      </w:r>
      <w:r>
        <w:rPr>
          <w:spacing w:val="-2"/>
          <w:sz w:val="22"/>
        </w:rPr>
        <w:t> </w:t>
      </w:r>
      <w:r>
        <w:rPr>
          <w:sz w:val="22"/>
        </w:rPr>
        <w:t>the</w:t>
      </w:r>
      <w:r>
        <w:rPr>
          <w:spacing w:val="-2"/>
          <w:sz w:val="22"/>
        </w:rPr>
        <w:t> </w:t>
      </w:r>
      <w:r>
        <w:rPr>
          <w:sz w:val="22"/>
        </w:rPr>
        <w:t>receipt</w:t>
      </w:r>
      <w:r>
        <w:rPr>
          <w:spacing w:val="-2"/>
          <w:sz w:val="22"/>
        </w:rPr>
        <w:t> </w:t>
      </w:r>
      <w:r>
        <w:rPr>
          <w:sz w:val="22"/>
        </w:rPr>
        <w:t>of</w:t>
      </w:r>
      <w:r>
        <w:rPr>
          <w:spacing w:val="-2"/>
          <w:sz w:val="22"/>
        </w:rPr>
        <w:t> </w:t>
      </w:r>
      <w:r>
        <w:rPr>
          <w:sz w:val="22"/>
        </w:rPr>
        <w:t>certified</w:t>
      </w:r>
      <w:r>
        <w:rPr>
          <w:spacing w:val="-2"/>
          <w:sz w:val="22"/>
        </w:rPr>
        <w:t> </w:t>
      </w:r>
      <w:r>
        <w:rPr>
          <w:sz w:val="22"/>
        </w:rPr>
        <w:t>copies</w:t>
      </w:r>
      <w:r>
        <w:rPr>
          <w:spacing w:val="-2"/>
          <w:sz w:val="22"/>
        </w:rPr>
        <w:t> </w:t>
      </w:r>
      <w:r>
        <w:rPr>
          <w:sz w:val="22"/>
        </w:rPr>
        <w:t>of</w:t>
      </w:r>
      <w:r>
        <w:rPr>
          <w:spacing w:val="-2"/>
          <w:sz w:val="22"/>
        </w:rPr>
        <w:t> </w:t>
      </w:r>
      <w:r>
        <w:rPr>
          <w:sz w:val="22"/>
        </w:rPr>
        <w:t>the</w:t>
      </w:r>
      <w:r>
        <w:rPr>
          <w:spacing w:val="-2"/>
          <w:sz w:val="22"/>
        </w:rPr>
        <w:t> </w:t>
      </w:r>
      <w:r>
        <w:rPr>
          <w:sz w:val="22"/>
        </w:rPr>
        <w:t>order by the aggrieved party. However, the scheme of Section 61 of the IBC, 2016 does not contain </w:t>
      </w:r>
      <w:r>
        <w:rPr>
          <w:sz w:val="22"/>
        </w:rPr>
        <w:t>the condition for commencement of period of limitation only after obtaining a certified copy of the Order.</w:t>
      </w:r>
      <w:r>
        <w:rPr>
          <w:spacing w:val="37"/>
          <w:sz w:val="22"/>
        </w:rPr>
        <w:t> </w:t>
      </w:r>
      <w:r>
        <w:rPr>
          <w:sz w:val="22"/>
        </w:rPr>
        <w:t>Thereby</w:t>
      </w:r>
      <w:r>
        <w:rPr>
          <w:spacing w:val="38"/>
          <w:sz w:val="22"/>
        </w:rPr>
        <w:t> </w:t>
      </w:r>
      <w:r>
        <w:rPr>
          <w:sz w:val="22"/>
        </w:rPr>
        <w:t>[2021]</w:t>
      </w:r>
      <w:r>
        <w:rPr>
          <w:spacing w:val="38"/>
          <w:sz w:val="22"/>
        </w:rPr>
        <w:t> </w:t>
      </w:r>
      <w:r>
        <w:rPr>
          <w:sz w:val="22"/>
        </w:rPr>
        <w:t>14</w:t>
      </w:r>
      <w:r>
        <w:rPr>
          <w:spacing w:val="38"/>
          <w:sz w:val="22"/>
        </w:rPr>
        <w:t> </w:t>
      </w:r>
      <w:r>
        <w:rPr>
          <w:sz w:val="22"/>
        </w:rPr>
        <w:t>SCR</w:t>
      </w:r>
      <w:r>
        <w:rPr>
          <w:spacing w:val="38"/>
          <w:sz w:val="22"/>
        </w:rPr>
        <w:t> </w:t>
      </w:r>
      <w:r>
        <w:rPr>
          <w:sz w:val="22"/>
        </w:rPr>
        <w:t>736</w:t>
      </w:r>
      <w:r>
        <w:rPr>
          <w:spacing w:val="38"/>
          <w:sz w:val="22"/>
        </w:rPr>
        <w:t> </w:t>
      </w:r>
      <w:r>
        <w:rPr>
          <w:sz w:val="22"/>
        </w:rPr>
        <w:t>CIVIL</w:t>
      </w:r>
      <w:r>
        <w:rPr>
          <w:spacing w:val="38"/>
          <w:sz w:val="22"/>
        </w:rPr>
        <w:t> </w:t>
      </w:r>
      <w:r>
        <w:rPr>
          <w:sz w:val="22"/>
        </w:rPr>
        <w:t>APPEAL</w:t>
      </w:r>
      <w:r>
        <w:rPr>
          <w:spacing w:val="37"/>
          <w:sz w:val="22"/>
        </w:rPr>
        <w:t> </w:t>
      </w:r>
      <w:r>
        <w:rPr>
          <w:sz w:val="22"/>
        </w:rPr>
        <w:t>NO(S).</w:t>
      </w:r>
      <w:r>
        <w:rPr>
          <w:spacing w:val="38"/>
          <w:sz w:val="22"/>
        </w:rPr>
        <w:t> </w:t>
      </w:r>
      <w:r>
        <w:rPr>
          <w:sz w:val="22"/>
        </w:rPr>
        <w:t>11070</w:t>
      </w:r>
      <w:r>
        <w:rPr>
          <w:spacing w:val="38"/>
          <w:sz w:val="22"/>
        </w:rPr>
        <w:t> </w:t>
      </w:r>
      <w:r>
        <w:rPr>
          <w:sz w:val="22"/>
        </w:rPr>
        <w:t>–</w:t>
      </w:r>
      <w:r>
        <w:rPr>
          <w:spacing w:val="38"/>
          <w:sz w:val="22"/>
        </w:rPr>
        <w:t> </w:t>
      </w:r>
      <w:r>
        <w:rPr>
          <w:sz w:val="22"/>
        </w:rPr>
        <w:t>11071</w:t>
      </w:r>
      <w:r>
        <w:rPr>
          <w:spacing w:val="38"/>
          <w:sz w:val="22"/>
        </w:rPr>
        <w:t> </w:t>
      </w:r>
      <w:r>
        <w:rPr>
          <w:sz w:val="22"/>
        </w:rPr>
        <w:t>OF</w:t>
      </w:r>
      <w:r>
        <w:rPr>
          <w:spacing w:val="38"/>
          <w:sz w:val="22"/>
        </w:rPr>
        <w:t> </w:t>
      </w:r>
      <w:r>
        <w:rPr>
          <w:sz w:val="22"/>
        </w:rPr>
        <w:t>2024</w:t>
      </w:r>
      <w:r>
        <w:rPr>
          <w:spacing w:val="38"/>
          <w:sz w:val="22"/>
        </w:rPr>
        <w:t> </w:t>
      </w:r>
      <w:r>
        <w:rPr>
          <w:sz w:val="22"/>
        </w:rPr>
        <w:t>refuting</w:t>
      </w:r>
      <w:r>
        <w:rPr>
          <w:spacing w:val="37"/>
          <w:sz w:val="22"/>
        </w:rPr>
        <w:t> </w:t>
      </w:r>
      <w:r>
        <w:rPr>
          <w:spacing w:val="-5"/>
          <w:sz w:val="22"/>
        </w:rPr>
        <w:t>the</w:t>
      </w:r>
    </w:p>
    <w:p>
      <w:pPr>
        <w:pStyle w:val="BodyText"/>
        <w:spacing w:line="295" w:lineRule="auto" w:before="6"/>
        <w:ind w:left="23" w:right="710"/>
        <w:jc w:val="both"/>
      </w:pPr>
      <w:r>
        <w:rPr/>
        <w:t>justification of non-availability of certified copy of the Order offered for delay in filing the appeal. While harmoniously approaching and reading the Code and the provisions of the Companies Act, 2013, primacy of Code was said to be established being the intent of the legislature. This Court did not allow the litigants to await the receipt of certified copies as it would upset the time bound framework of IBC if Section 421 of the Companies Act, 2013 is allowed to operate. The limitation thus, starts from the date of pronouncement of the Order and not from the date the Order is made available to the parties.</w:t>
      </w:r>
    </w:p>
    <w:p>
      <w:pPr>
        <w:pStyle w:val="BodyText"/>
        <w:spacing w:before="62"/>
      </w:pPr>
    </w:p>
    <w:p>
      <w:pPr>
        <w:pStyle w:val="ListParagraph"/>
        <w:numPr>
          <w:ilvl w:val="0"/>
          <w:numId w:val="1"/>
        </w:numPr>
        <w:tabs>
          <w:tab w:pos="377" w:val="left" w:leader="none"/>
        </w:tabs>
        <w:spacing w:line="295" w:lineRule="auto" w:before="0" w:after="0"/>
        <w:ind w:left="23" w:right="710" w:firstLine="0"/>
        <w:jc w:val="both"/>
        <w:rPr>
          <w:sz w:val="22"/>
        </w:rPr>
      </w:pPr>
      <w:r>
        <w:rPr>
          <w:sz w:val="22"/>
        </w:rPr>
        <w:t>It can, thus, be concluded that the litigant has to file its appeal under Section 61(2) within 30 days</w:t>
      </w:r>
      <w:r>
        <w:rPr>
          <w:spacing w:val="-1"/>
          <w:sz w:val="22"/>
        </w:rPr>
        <w:t> </w:t>
      </w:r>
      <w:r>
        <w:rPr>
          <w:sz w:val="22"/>
        </w:rPr>
        <w:t>which</w:t>
      </w:r>
      <w:r>
        <w:rPr>
          <w:spacing w:val="-1"/>
          <w:sz w:val="22"/>
        </w:rPr>
        <w:t> </w:t>
      </w:r>
      <w:r>
        <w:rPr>
          <w:sz w:val="22"/>
        </w:rPr>
        <w:t>can</w:t>
      </w:r>
      <w:r>
        <w:rPr>
          <w:spacing w:val="-1"/>
          <w:sz w:val="22"/>
        </w:rPr>
        <w:t> </w:t>
      </w:r>
      <w:r>
        <w:rPr>
          <w:sz w:val="22"/>
        </w:rPr>
        <w:t>be</w:t>
      </w:r>
      <w:r>
        <w:rPr>
          <w:spacing w:val="-1"/>
          <w:sz w:val="22"/>
        </w:rPr>
        <w:t> </w:t>
      </w:r>
      <w:r>
        <w:rPr>
          <w:sz w:val="22"/>
        </w:rPr>
        <w:t>extended</w:t>
      </w:r>
      <w:r>
        <w:rPr>
          <w:spacing w:val="-1"/>
          <w:sz w:val="22"/>
        </w:rPr>
        <w:t> </w:t>
      </w:r>
      <w:r>
        <w:rPr>
          <w:sz w:val="22"/>
        </w:rPr>
        <w:t>up</w:t>
      </w:r>
      <w:r>
        <w:rPr>
          <w:spacing w:val="-1"/>
          <w:sz w:val="22"/>
        </w:rPr>
        <w:t> </w:t>
      </w:r>
      <w:r>
        <w:rPr>
          <w:sz w:val="22"/>
        </w:rPr>
        <w:t>to</w:t>
      </w:r>
      <w:r>
        <w:rPr>
          <w:spacing w:val="-1"/>
          <w:sz w:val="22"/>
        </w:rPr>
        <w:t> </w:t>
      </w:r>
      <w:r>
        <w:rPr>
          <w:sz w:val="22"/>
        </w:rPr>
        <w:t>a</w:t>
      </w:r>
      <w:r>
        <w:rPr>
          <w:spacing w:val="-1"/>
          <w:sz w:val="22"/>
        </w:rPr>
        <w:t> </w:t>
      </w:r>
      <w:r>
        <w:rPr>
          <w:sz w:val="22"/>
        </w:rPr>
        <w:t>period</w:t>
      </w:r>
      <w:r>
        <w:rPr>
          <w:spacing w:val="-1"/>
          <w:sz w:val="22"/>
        </w:rPr>
        <w:t> </w:t>
      </w:r>
      <w:r>
        <w:rPr>
          <w:sz w:val="22"/>
        </w:rPr>
        <w:t>of</w:t>
      </w:r>
      <w:r>
        <w:rPr>
          <w:spacing w:val="-1"/>
          <w:sz w:val="22"/>
        </w:rPr>
        <w:t> </w:t>
      </w:r>
      <w:r>
        <w:rPr>
          <w:sz w:val="22"/>
        </w:rPr>
        <w:t>15</w:t>
      </w:r>
      <w:r>
        <w:rPr>
          <w:spacing w:val="-1"/>
          <w:sz w:val="22"/>
        </w:rPr>
        <w:t> </w:t>
      </w:r>
      <w:r>
        <w:rPr>
          <w:sz w:val="22"/>
        </w:rPr>
        <w:t>days,</w:t>
      </w:r>
      <w:r>
        <w:rPr>
          <w:spacing w:val="-1"/>
          <w:sz w:val="22"/>
        </w:rPr>
        <w:t> </w:t>
      </w:r>
      <w:r>
        <w:rPr>
          <w:sz w:val="22"/>
        </w:rPr>
        <w:t>and</w:t>
      </w:r>
      <w:r>
        <w:rPr>
          <w:spacing w:val="-1"/>
          <w:sz w:val="22"/>
        </w:rPr>
        <w:t> </w:t>
      </w:r>
      <w:r>
        <w:rPr>
          <w:sz w:val="22"/>
        </w:rPr>
        <w:t>no</w:t>
      </w:r>
      <w:r>
        <w:rPr>
          <w:spacing w:val="-1"/>
          <w:sz w:val="22"/>
        </w:rPr>
        <w:t> </w:t>
      </w:r>
      <w:r>
        <w:rPr>
          <w:sz w:val="22"/>
        </w:rPr>
        <w:t>more,</w:t>
      </w:r>
      <w:r>
        <w:rPr>
          <w:spacing w:val="-1"/>
          <w:sz w:val="22"/>
        </w:rPr>
        <w:t> </w:t>
      </w:r>
      <w:r>
        <w:rPr>
          <w:sz w:val="22"/>
        </w:rPr>
        <w:t>upon</w:t>
      </w:r>
      <w:r>
        <w:rPr>
          <w:spacing w:val="-1"/>
          <w:sz w:val="22"/>
        </w:rPr>
        <w:t> </w:t>
      </w:r>
      <w:r>
        <w:rPr>
          <w:sz w:val="22"/>
        </w:rPr>
        <w:t>showing</w:t>
      </w:r>
      <w:r>
        <w:rPr>
          <w:spacing w:val="-1"/>
          <w:sz w:val="22"/>
        </w:rPr>
        <w:t> </w:t>
      </w:r>
      <w:r>
        <w:rPr>
          <w:sz w:val="22"/>
        </w:rPr>
        <w:t>sufficient</w:t>
      </w:r>
      <w:r>
        <w:rPr>
          <w:spacing w:val="-1"/>
          <w:sz w:val="22"/>
        </w:rPr>
        <w:t> </w:t>
      </w:r>
      <w:r>
        <w:rPr>
          <w:sz w:val="22"/>
        </w:rPr>
        <w:t>cause.</w:t>
      </w:r>
      <w:r>
        <w:rPr>
          <w:spacing w:val="-1"/>
          <w:sz w:val="22"/>
        </w:rPr>
        <w:t> </w:t>
      </w:r>
      <w:r>
        <w:rPr>
          <w:sz w:val="22"/>
        </w:rPr>
        <w:t>A slate of interpretation of procedural rules cannot be used to defeat the substantive objective of legislation which is prescribed in a time frame. As a result, thereof, the period of limitation for filing the appeal having been laid down and proviso thereto limiting CIVIL APPEAL NO(S). 11070 – 11071 OF 2024 the exercise up to a distance for condoning the delay mandatorily has to be adhered to.</w:t>
      </w:r>
    </w:p>
    <w:p>
      <w:pPr>
        <w:pStyle w:val="BodyText"/>
        <w:spacing w:before="61"/>
      </w:pPr>
    </w:p>
    <w:p>
      <w:pPr>
        <w:pStyle w:val="ListParagraph"/>
        <w:numPr>
          <w:ilvl w:val="0"/>
          <w:numId w:val="1"/>
        </w:numPr>
        <w:tabs>
          <w:tab w:pos="394" w:val="left" w:leader="none"/>
        </w:tabs>
        <w:spacing w:line="295" w:lineRule="auto" w:before="0" w:after="0"/>
        <w:ind w:left="23" w:right="703" w:firstLine="0"/>
        <w:jc w:val="both"/>
        <w:rPr>
          <w:sz w:val="22"/>
        </w:rPr>
      </w:pPr>
      <w:r>
        <w:rPr>
          <w:sz w:val="22"/>
        </w:rPr>
        <w:t>Referring to Rule 22 of the NCLAT Rules the Court concluded that the parties cannot </w:t>
      </w:r>
      <w:r>
        <w:rPr>
          <w:spacing w:val="10"/>
          <w:sz w:val="22"/>
        </w:rPr>
        <w:t>be </w:t>
      </w:r>
      <w:r>
        <w:rPr>
          <w:sz w:val="22"/>
        </w:rPr>
        <w:t>automatically dispensed with the obligation to apply for and obtain a certified copy of the impugned order for filing an appeal. However, the time taken by the Court to prepare the decree or Order cannot</w:t>
      </w:r>
      <w:r>
        <w:rPr>
          <w:spacing w:val="-1"/>
          <w:sz w:val="22"/>
        </w:rPr>
        <w:t> </w:t>
      </w:r>
      <w:r>
        <w:rPr>
          <w:sz w:val="22"/>
        </w:rPr>
        <w:t>be</w:t>
      </w:r>
      <w:r>
        <w:rPr>
          <w:spacing w:val="-1"/>
          <w:sz w:val="22"/>
        </w:rPr>
        <w:t> </w:t>
      </w:r>
      <w:r>
        <w:rPr>
          <w:sz w:val="22"/>
        </w:rPr>
        <w:t>excluded</w:t>
      </w:r>
      <w:r>
        <w:rPr>
          <w:spacing w:val="-1"/>
          <w:sz w:val="22"/>
        </w:rPr>
        <w:t> </w:t>
      </w:r>
      <w:r>
        <w:rPr>
          <w:sz w:val="22"/>
        </w:rPr>
        <w:t>under</w:t>
      </w:r>
      <w:r>
        <w:rPr>
          <w:spacing w:val="-1"/>
          <w:sz w:val="22"/>
        </w:rPr>
        <w:t> </w:t>
      </w:r>
      <w:r>
        <w:rPr>
          <w:sz w:val="22"/>
        </w:rPr>
        <w:t>Section</w:t>
      </w:r>
      <w:r>
        <w:rPr>
          <w:spacing w:val="-1"/>
          <w:sz w:val="22"/>
        </w:rPr>
        <w:t> </w:t>
      </w:r>
      <w:r>
        <w:rPr>
          <w:sz w:val="22"/>
        </w:rPr>
        <w:t>12</w:t>
      </w:r>
      <w:r>
        <w:rPr>
          <w:spacing w:val="-1"/>
          <w:sz w:val="22"/>
        </w:rPr>
        <w:t> </w:t>
      </w:r>
      <w:r>
        <w:rPr>
          <w:sz w:val="22"/>
        </w:rPr>
        <w:t>of</w:t>
      </w:r>
      <w:r>
        <w:rPr>
          <w:spacing w:val="-1"/>
          <w:sz w:val="22"/>
        </w:rPr>
        <w:t> </w:t>
      </w:r>
      <w:r>
        <w:rPr>
          <w:sz w:val="22"/>
        </w:rPr>
        <w:t>the</w:t>
      </w:r>
      <w:r>
        <w:rPr>
          <w:spacing w:val="-1"/>
          <w:sz w:val="22"/>
        </w:rPr>
        <w:t> </w:t>
      </w:r>
      <w:r>
        <w:rPr>
          <w:sz w:val="22"/>
        </w:rPr>
        <w:t>Limitation</w:t>
      </w:r>
      <w:r>
        <w:rPr>
          <w:spacing w:val="-1"/>
          <w:sz w:val="22"/>
        </w:rPr>
        <w:t> </w:t>
      </w:r>
      <w:r>
        <w:rPr>
          <w:sz w:val="22"/>
        </w:rPr>
        <w:t>Act</w:t>
      </w:r>
      <w:r>
        <w:rPr>
          <w:spacing w:val="-1"/>
          <w:sz w:val="22"/>
        </w:rPr>
        <w:t> </w:t>
      </w:r>
      <w:r>
        <w:rPr>
          <w:sz w:val="22"/>
        </w:rPr>
        <w:t>before</w:t>
      </w:r>
      <w:r>
        <w:rPr>
          <w:spacing w:val="-1"/>
          <w:sz w:val="22"/>
        </w:rPr>
        <w:t> </w:t>
      </w:r>
      <w:r>
        <w:rPr>
          <w:sz w:val="22"/>
        </w:rPr>
        <w:t>the</w:t>
      </w:r>
      <w:r>
        <w:rPr>
          <w:spacing w:val="-1"/>
          <w:sz w:val="22"/>
        </w:rPr>
        <w:t> </w:t>
      </w:r>
      <w:r>
        <w:rPr>
          <w:sz w:val="22"/>
        </w:rPr>
        <w:t>application</w:t>
      </w:r>
      <w:r>
        <w:rPr>
          <w:spacing w:val="-1"/>
          <w:sz w:val="22"/>
        </w:rPr>
        <w:t> </w:t>
      </w:r>
      <w:r>
        <w:rPr>
          <w:sz w:val="22"/>
        </w:rPr>
        <w:t>to</w:t>
      </w:r>
      <w:r>
        <w:rPr>
          <w:spacing w:val="-1"/>
          <w:sz w:val="22"/>
        </w:rPr>
        <w:t> </w:t>
      </w:r>
      <w:r>
        <w:rPr>
          <w:sz w:val="22"/>
        </w:rPr>
        <w:t>obtain</w:t>
      </w:r>
      <w:r>
        <w:rPr>
          <w:spacing w:val="-1"/>
          <w:sz w:val="22"/>
        </w:rPr>
        <w:t> </w:t>
      </w:r>
      <w:r>
        <w:rPr>
          <w:sz w:val="22"/>
        </w:rPr>
        <w:t>a</w:t>
      </w:r>
      <w:r>
        <w:rPr>
          <w:spacing w:val="-1"/>
          <w:sz w:val="22"/>
        </w:rPr>
        <w:t> </w:t>
      </w:r>
      <w:r>
        <w:rPr>
          <w:sz w:val="22"/>
        </w:rPr>
        <w:t>certified copy thereof is made. The right to receive a free copy under Section 420(3) of the Companies Act, 2013 does not obviate the obligation of the appellant to seek a certified copy through an application. The Court further went on to observe that the frequent grant of waivers in filing the certified copy of the </w:t>
      </w:r>
      <w:r>
        <w:rPr>
          <w:spacing w:val="11"/>
          <w:sz w:val="22"/>
        </w:rPr>
        <w:t>impugned </w:t>
      </w:r>
      <w:r>
        <w:rPr>
          <w:spacing w:val="10"/>
          <w:sz w:val="22"/>
        </w:rPr>
        <w:t>order </w:t>
      </w:r>
      <w:r>
        <w:rPr>
          <w:sz w:val="22"/>
        </w:rPr>
        <w:t>do not </w:t>
      </w:r>
      <w:r>
        <w:rPr>
          <w:spacing w:val="10"/>
          <w:sz w:val="22"/>
        </w:rPr>
        <w:t>confer </w:t>
      </w:r>
      <w:r>
        <w:rPr>
          <w:sz w:val="22"/>
        </w:rPr>
        <w:t>an </w:t>
      </w:r>
      <w:r>
        <w:rPr>
          <w:spacing w:val="11"/>
          <w:sz w:val="22"/>
        </w:rPr>
        <w:t>automatic </w:t>
      </w:r>
      <w:r>
        <w:rPr>
          <w:spacing w:val="10"/>
          <w:sz w:val="22"/>
        </w:rPr>
        <w:t>right </w:t>
      </w:r>
      <w:r>
        <w:rPr>
          <w:sz w:val="22"/>
        </w:rPr>
        <w:t>on an </w:t>
      </w:r>
      <w:r>
        <w:rPr>
          <w:spacing w:val="11"/>
          <w:sz w:val="22"/>
        </w:rPr>
        <w:t>applicant </w:t>
      </w:r>
      <w:r>
        <w:rPr>
          <w:sz w:val="22"/>
        </w:rPr>
        <w:t>for </w:t>
      </w:r>
      <w:r>
        <w:rPr>
          <w:spacing w:val="11"/>
          <w:sz w:val="22"/>
        </w:rPr>
        <w:t>dispensing </w:t>
      </w:r>
      <w:r>
        <w:rPr>
          <w:spacing w:val="13"/>
          <w:sz w:val="22"/>
        </w:rPr>
        <w:t>with </w:t>
      </w:r>
      <w:r>
        <w:rPr>
          <w:sz w:val="22"/>
        </w:rPr>
        <w:t>compliance of the requirement as laid down under Rule 22(2) of the NCLAT Rules negatory.</w:t>
      </w:r>
    </w:p>
    <w:p>
      <w:pPr>
        <w:pStyle w:val="ListParagraph"/>
        <w:spacing w:after="0" w:line="295" w:lineRule="auto"/>
        <w:jc w:val="both"/>
        <w:rPr>
          <w:sz w:val="22"/>
        </w:rPr>
        <w:sectPr>
          <w:pgSz w:w="11900" w:h="15840"/>
          <w:pgMar w:header="726" w:footer="672" w:top="960" w:bottom="860" w:left="1417" w:right="0"/>
        </w:sectPr>
      </w:pPr>
    </w:p>
    <w:p>
      <w:pPr>
        <w:pStyle w:val="ListParagraph"/>
        <w:numPr>
          <w:ilvl w:val="0"/>
          <w:numId w:val="1"/>
        </w:numPr>
        <w:tabs>
          <w:tab w:pos="397" w:val="left" w:leader="none"/>
        </w:tabs>
        <w:spacing w:line="295" w:lineRule="auto" w:before="91" w:after="0"/>
        <w:ind w:left="23" w:right="716" w:firstLine="0"/>
        <w:jc w:val="both"/>
        <w:rPr>
          <w:sz w:val="22"/>
        </w:rPr>
      </w:pPr>
      <w:r>
        <w:rPr>
          <w:sz w:val="22"/>
        </w:rPr>
        <w:t>Mandate of Rule 22(2) of NCLAT Rules has to be complied with which requires certified copy </w:t>
      </w:r>
      <w:r>
        <w:rPr>
          <w:sz w:val="22"/>
        </w:rPr>
        <w:t>to be annexed along with appeal which binds a litigant CIVIL APPEAL NO(S). 11070 – 11071 OF 2024 under the IBC. The appellant having failed to apply for certified copy renders appeal filed before the NCLAT as clearly barred by limitation.</w:t>
      </w:r>
    </w:p>
    <w:p>
      <w:pPr>
        <w:pStyle w:val="BodyText"/>
        <w:spacing w:before="60"/>
      </w:pPr>
    </w:p>
    <w:p>
      <w:pPr>
        <w:pStyle w:val="ListParagraph"/>
        <w:numPr>
          <w:ilvl w:val="0"/>
          <w:numId w:val="1"/>
        </w:numPr>
        <w:tabs>
          <w:tab w:pos="353" w:val="left" w:leader="none"/>
        </w:tabs>
        <w:spacing w:line="295" w:lineRule="auto" w:before="0" w:after="0"/>
        <w:ind w:left="23" w:right="706" w:firstLine="0"/>
        <w:jc w:val="both"/>
        <w:rPr>
          <w:sz w:val="22"/>
        </w:rPr>
      </w:pPr>
      <w:r>
        <w:rPr>
          <w:sz w:val="22"/>
        </w:rPr>
        <w:t>This</w:t>
      </w:r>
      <w:r>
        <w:rPr>
          <w:spacing w:val="-2"/>
          <w:sz w:val="22"/>
        </w:rPr>
        <w:t> </w:t>
      </w:r>
      <w:r>
        <w:rPr>
          <w:sz w:val="22"/>
        </w:rPr>
        <w:t>Court</w:t>
      </w:r>
      <w:r>
        <w:rPr>
          <w:spacing w:val="-2"/>
          <w:sz w:val="22"/>
        </w:rPr>
        <w:t> </w:t>
      </w:r>
      <w:r>
        <w:rPr>
          <w:sz w:val="22"/>
        </w:rPr>
        <w:t>in</w:t>
      </w:r>
      <w:r>
        <w:rPr>
          <w:spacing w:val="-2"/>
          <w:sz w:val="22"/>
        </w:rPr>
        <w:t> </w:t>
      </w:r>
      <w:r>
        <w:rPr>
          <w:sz w:val="22"/>
        </w:rPr>
        <w:t>Cethar</w:t>
      </w:r>
      <w:r>
        <w:rPr>
          <w:spacing w:val="-2"/>
          <w:sz w:val="22"/>
        </w:rPr>
        <w:t> </w:t>
      </w:r>
      <w:r>
        <w:rPr>
          <w:sz w:val="22"/>
        </w:rPr>
        <w:t>Limited</w:t>
      </w:r>
      <w:r>
        <w:rPr>
          <w:spacing w:val="-2"/>
          <w:sz w:val="22"/>
        </w:rPr>
        <w:t> </w:t>
      </w:r>
      <w:r>
        <w:rPr>
          <w:sz w:val="22"/>
        </w:rPr>
        <w:t>(Resolution</w:t>
      </w:r>
      <w:r>
        <w:rPr>
          <w:spacing w:val="-2"/>
          <w:sz w:val="22"/>
        </w:rPr>
        <w:t> </w:t>
      </w:r>
      <w:r>
        <w:rPr>
          <w:sz w:val="22"/>
        </w:rPr>
        <w:t>Professional)</w:t>
      </w:r>
      <w:r>
        <w:rPr>
          <w:spacing w:val="-2"/>
          <w:sz w:val="22"/>
        </w:rPr>
        <w:t> </w:t>
      </w:r>
      <w:r>
        <w:rPr>
          <w:sz w:val="22"/>
        </w:rPr>
        <w:t>Vs.</w:t>
      </w:r>
      <w:r>
        <w:rPr>
          <w:spacing w:val="-2"/>
          <w:sz w:val="22"/>
        </w:rPr>
        <w:t> </w:t>
      </w:r>
      <w:r>
        <w:rPr>
          <w:sz w:val="22"/>
        </w:rPr>
        <w:t>SKS</w:t>
      </w:r>
      <w:r>
        <w:rPr>
          <w:spacing w:val="-2"/>
          <w:sz w:val="22"/>
        </w:rPr>
        <w:t> </w:t>
      </w:r>
      <w:r>
        <w:rPr>
          <w:sz w:val="22"/>
        </w:rPr>
        <w:t>Ispat</w:t>
      </w:r>
      <w:r>
        <w:rPr>
          <w:spacing w:val="-2"/>
          <w:sz w:val="22"/>
        </w:rPr>
        <w:t> </w:t>
      </w:r>
      <w:r>
        <w:rPr>
          <w:sz w:val="22"/>
        </w:rPr>
        <w:t>&amp;</w:t>
      </w:r>
      <w:r>
        <w:rPr>
          <w:spacing w:val="-2"/>
          <w:sz w:val="22"/>
        </w:rPr>
        <w:t> </w:t>
      </w:r>
      <w:r>
        <w:rPr>
          <w:sz w:val="22"/>
        </w:rPr>
        <w:t>Power</w:t>
      </w:r>
      <w:r>
        <w:rPr>
          <w:spacing w:val="-2"/>
          <w:sz w:val="22"/>
        </w:rPr>
        <w:t> </w:t>
      </w:r>
      <w:r>
        <w:rPr>
          <w:sz w:val="22"/>
        </w:rPr>
        <w:t>Ltd.3</w:t>
      </w:r>
      <w:r>
        <w:rPr>
          <w:spacing w:val="-2"/>
          <w:sz w:val="22"/>
        </w:rPr>
        <w:t> </w:t>
      </w:r>
      <w:r>
        <w:rPr>
          <w:sz w:val="22"/>
        </w:rPr>
        <w:t>held</w:t>
      </w:r>
      <w:r>
        <w:rPr>
          <w:spacing w:val="-2"/>
          <w:sz w:val="22"/>
        </w:rPr>
        <w:t> </w:t>
      </w:r>
      <w:r>
        <w:rPr>
          <w:sz w:val="22"/>
        </w:rPr>
        <w:t>that</w:t>
      </w:r>
      <w:r>
        <w:rPr>
          <w:spacing w:val="-2"/>
          <w:sz w:val="22"/>
        </w:rPr>
        <w:t> </w:t>
      </w:r>
      <w:r>
        <w:rPr>
          <w:sz w:val="22"/>
        </w:rPr>
        <w:t>the appellant did not even attempt to secure a certified copy and only relied on the date of uploading the Order on the </w:t>
      </w:r>
      <w:r>
        <w:rPr>
          <w:spacing w:val="9"/>
          <w:sz w:val="22"/>
        </w:rPr>
        <w:t>website </w:t>
      </w:r>
      <w:r>
        <w:rPr>
          <w:sz w:val="22"/>
        </w:rPr>
        <w:t>that is </w:t>
      </w:r>
      <w:r>
        <w:rPr>
          <w:spacing w:val="9"/>
          <w:sz w:val="22"/>
        </w:rPr>
        <w:t>12.03.2020 whereas </w:t>
      </w:r>
      <w:r>
        <w:rPr>
          <w:sz w:val="22"/>
        </w:rPr>
        <w:t>the </w:t>
      </w:r>
      <w:r>
        <w:rPr>
          <w:spacing w:val="10"/>
          <w:sz w:val="22"/>
        </w:rPr>
        <w:t>pronouncement </w:t>
      </w:r>
      <w:r>
        <w:rPr>
          <w:sz w:val="22"/>
        </w:rPr>
        <w:t>in open Court was </w:t>
      </w:r>
      <w:r>
        <w:rPr>
          <w:spacing w:val="11"/>
          <w:sz w:val="22"/>
        </w:rPr>
        <w:t>on </w:t>
      </w:r>
      <w:r>
        <w:rPr>
          <w:sz w:val="22"/>
        </w:rPr>
        <w:t>31.12.2019 and that too in the presence of the appellant before NCLT. This Court denied the benefit of condonation of delay on account of absence of any effort on the part of the appellant within the statutory period of limitation to obtain the certified copy of the impugned Order therein.</w:t>
      </w:r>
    </w:p>
    <w:p>
      <w:pPr>
        <w:pStyle w:val="BodyText"/>
        <w:spacing w:before="61"/>
      </w:pPr>
    </w:p>
    <w:p>
      <w:pPr>
        <w:pStyle w:val="ListParagraph"/>
        <w:numPr>
          <w:ilvl w:val="0"/>
          <w:numId w:val="1"/>
        </w:numPr>
        <w:tabs>
          <w:tab w:pos="402" w:val="left" w:leader="none"/>
        </w:tabs>
        <w:spacing w:line="295" w:lineRule="auto" w:before="0" w:after="0"/>
        <w:ind w:left="23" w:right="712" w:firstLine="0"/>
        <w:jc w:val="both"/>
        <w:rPr>
          <w:sz w:val="22"/>
        </w:rPr>
      </w:pPr>
      <w:r>
        <w:rPr>
          <w:sz w:val="22"/>
        </w:rPr>
        <w:t>In National Spot Exchange Limited vs. Anil Kohli, Resolution Professional for Dunar Foods Limited4, this Court reaffirmed the position of law that an appeal must be filed within 30 days </w:t>
      </w:r>
      <w:r>
        <w:rPr>
          <w:sz w:val="22"/>
        </w:rPr>
        <w:t>and in any case, delay beyond 15 days cannot be condoned (2002) 2 SCC 244 (2022) 11 SCC 761 CIVIL APPEAL NO(S). 11070 – 11071 OF 2024 in terms of Section 61(2) of the IBC. This Court further refused to exercise its extraordinary power under Article 142 of Constitution of India to condone the delay holding that such power could not be exercised against the express provisions of the statute upholding the Order of the NCLAT that the Appellate Tribunal had no jurisdiction at all to condone the</w:t>
      </w:r>
      <w:r>
        <w:rPr>
          <w:spacing w:val="-2"/>
          <w:sz w:val="22"/>
        </w:rPr>
        <w:t> </w:t>
      </w:r>
      <w:r>
        <w:rPr>
          <w:sz w:val="22"/>
        </w:rPr>
        <w:t>delay</w:t>
      </w:r>
      <w:r>
        <w:rPr>
          <w:spacing w:val="-2"/>
          <w:sz w:val="22"/>
        </w:rPr>
        <w:t> </w:t>
      </w:r>
      <w:r>
        <w:rPr>
          <w:sz w:val="22"/>
        </w:rPr>
        <w:t>exceeding</w:t>
      </w:r>
      <w:r>
        <w:rPr>
          <w:spacing w:val="-2"/>
          <w:sz w:val="22"/>
        </w:rPr>
        <w:t> </w:t>
      </w:r>
      <w:r>
        <w:rPr>
          <w:sz w:val="22"/>
        </w:rPr>
        <w:t>15</w:t>
      </w:r>
      <w:r>
        <w:rPr>
          <w:spacing w:val="-2"/>
          <w:sz w:val="22"/>
        </w:rPr>
        <w:t> </w:t>
      </w:r>
      <w:r>
        <w:rPr>
          <w:sz w:val="22"/>
        </w:rPr>
        <w:t>days</w:t>
      </w:r>
      <w:r>
        <w:rPr>
          <w:spacing w:val="-2"/>
          <w:sz w:val="22"/>
        </w:rPr>
        <w:t> </w:t>
      </w:r>
      <w:r>
        <w:rPr>
          <w:sz w:val="22"/>
        </w:rPr>
        <w:t>beyond</w:t>
      </w:r>
      <w:r>
        <w:rPr>
          <w:spacing w:val="-2"/>
          <w:sz w:val="22"/>
        </w:rPr>
        <w:t> </w:t>
      </w:r>
      <w:r>
        <w:rPr>
          <w:sz w:val="22"/>
        </w:rPr>
        <w:t>the</w:t>
      </w:r>
      <w:r>
        <w:rPr>
          <w:spacing w:val="-2"/>
          <w:sz w:val="22"/>
        </w:rPr>
        <w:t> </w:t>
      </w:r>
      <w:r>
        <w:rPr>
          <w:sz w:val="22"/>
        </w:rPr>
        <w:t>period</w:t>
      </w:r>
      <w:r>
        <w:rPr>
          <w:spacing w:val="-2"/>
          <w:sz w:val="22"/>
        </w:rPr>
        <w:t> </w:t>
      </w:r>
      <w:r>
        <w:rPr>
          <w:sz w:val="22"/>
        </w:rPr>
        <w:t>of</w:t>
      </w:r>
      <w:r>
        <w:rPr>
          <w:spacing w:val="-2"/>
          <w:sz w:val="22"/>
        </w:rPr>
        <w:t> </w:t>
      </w:r>
      <w:r>
        <w:rPr>
          <w:sz w:val="22"/>
        </w:rPr>
        <w:t>30</w:t>
      </w:r>
      <w:r>
        <w:rPr>
          <w:spacing w:val="-2"/>
          <w:sz w:val="22"/>
        </w:rPr>
        <w:t> </w:t>
      </w:r>
      <w:r>
        <w:rPr>
          <w:sz w:val="22"/>
        </w:rPr>
        <w:t>days</w:t>
      </w:r>
      <w:r>
        <w:rPr>
          <w:spacing w:val="-2"/>
          <w:sz w:val="22"/>
        </w:rPr>
        <w:t> </w:t>
      </w:r>
      <w:r>
        <w:rPr>
          <w:sz w:val="22"/>
        </w:rPr>
        <w:t>as</w:t>
      </w:r>
      <w:r>
        <w:rPr>
          <w:spacing w:val="-2"/>
          <w:sz w:val="22"/>
        </w:rPr>
        <w:t> </w:t>
      </w:r>
      <w:r>
        <w:rPr>
          <w:sz w:val="22"/>
        </w:rPr>
        <w:t>contemplated</w:t>
      </w:r>
      <w:r>
        <w:rPr>
          <w:spacing w:val="-2"/>
          <w:sz w:val="22"/>
        </w:rPr>
        <w:t> </w:t>
      </w:r>
      <w:r>
        <w:rPr>
          <w:sz w:val="22"/>
        </w:rPr>
        <w:t>under</w:t>
      </w:r>
      <w:r>
        <w:rPr>
          <w:spacing w:val="-2"/>
          <w:sz w:val="22"/>
        </w:rPr>
        <w:t> </w:t>
      </w:r>
      <w:r>
        <w:rPr>
          <w:sz w:val="22"/>
        </w:rPr>
        <w:t>Section</w:t>
      </w:r>
      <w:r>
        <w:rPr>
          <w:spacing w:val="-2"/>
          <w:sz w:val="22"/>
        </w:rPr>
        <w:t> </w:t>
      </w:r>
      <w:r>
        <w:rPr>
          <w:sz w:val="22"/>
        </w:rPr>
        <w:t>61(2)</w:t>
      </w:r>
      <w:r>
        <w:rPr>
          <w:spacing w:val="-2"/>
          <w:sz w:val="22"/>
        </w:rPr>
        <w:t> </w:t>
      </w:r>
      <w:r>
        <w:rPr>
          <w:sz w:val="22"/>
        </w:rPr>
        <w:t>of</w:t>
      </w:r>
      <w:r>
        <w:rPr>
          <w:spacing w:val="-2"/>
          <w:sz w:val="22"/>
        </w:rPr>
        <w:t> </w:t>
      </w:r>
      <w:r>
        <w:rPr>
          <w:sz w:val="22"/>
        </w:rPr>
        <w:t>the </w:t>
      </w:r>
      <w:r>
        <w:rPr>
          <w:spacing w:val="-4"/>
          <w:sz w:val="22"/>
        </w:rPr>
        <w:t>IBC.</w:t>
      </w:r>
    </w:p>
    <w:p>
      <w:pPr>
        <w:pStyle w:val="BodyText"/>
        <w:spacing w:before="63"/>
      </w:pPr>
    </w:p>
    <w:p>
      <w:pPr>
        <w:pStyle w:val="ListParagraph"/>
        <w:numPr>
          <w:ilvl w:val="0"/>
          <w:numId w:val="1"/>
        </w:numPr>
        <w:tabs>
          <w:tab w:pos="384" w:val="left" w:leader="none"/>
        </w:tabs>
        <w:spacing w:line="295" w:lineRule="auto" w:before="0" w:after="0"/>
        <w:ind w:left="23" w:right="712" w:firstLine="0"/>
        <w:jc w:val="both"/>
        <w:rPr>
          <w:sz w:val="22"/>
        </w:rPr>
      </w:pPr>
      <w:r>
        <w:rPr>
          <w:sz w:val="22"/>
        </w:rPr>
        <w:t>In Sanjay Pandurang Kalate Vs. Vistra ITCL India Pvt. Ltd.5, this Court had an occasion to deal with the case where an application was heard by NCLT on 17.05.2023 but no order was pronounced. The Order came to be uploaded by the Registry on 30th April 2023 directly carrying the date of the Order as 17.05.2023. The appellant applied for the certified copy on 30th May 2023 which was received</w:t>
      </w:r>
      <w:r>
        <w:rPr>
          <w:spacing w:val="-1"/>
          <w:sz w:val="22"/>
        </w:rPr>
        <w:t> </w:t>
      </w:r>
      <w:r>
        <w:rPr>
          <w:sz w:val="22"/>
        </w:rPr>
        <w:t>on</w:t>
      </w:r>
      <w:r>
        <w:rPr>
          <w:spacing w:val="-1"/>
          <w:sz w:val="22"/>
        </w:rPr>
        <w:t> </w:t>
      </w:r>
      <w:r>
        <w:rPr>
          <w:sz w:val="22"/>
        </w:rPr>
        <w:t>01.06.2023</w:t>
      </w:r>
      <w:r>
        <w:rPr>
          <w:spacing w:val="-1"/>
          <w:sz w:val="22"/>
        </w:rPr>
        <w:t> </w:t>
      </w:r>
      <w:r>
        <w:rPr>
          <w:sz w:val="22"/>
        </w:rPr>
        <w:t>and</w:t>
      </w:r>
      <w:r>
        <w:rPr>
          <w:spacing w:val="-1"/>
          <w:sz w:val="22"/>
        </w:rPr>
        <w:t> </w:t>
      </w:r>
      <w:r>
        <w:rPr>
          <w:sz w:val="22"/>
        </w:rPr>
        <w:t>the</w:t>
      </w:r>
      <w:r>
        <w:rPr>
          <w:spacing w:val="-1"/>
          <w:sz w:val="22"/>
        </w:rPr>
        <w:t> </w:t>
      </w:r>
      <w:r>
        <w:rPr>
          <w:sz w:val="22"/>
        </w:rPr>
        <w:t>appeal</w:t>
      </w:r>
      <w:r>
        <w:rPr>
          <w:spacing w:val="-1"/>
          <w:sz w:val="22"/>
        </w:rPr>
        <w:t> </w:t>
      </w:r>
      <w:r>
        <w:rPr>
          <w:sz w:val="22"/>
        </w:rPr>
        <w:t>was</w:t>
      </w:r>
      <w:r>
        <w:rPr>
          <w:spacing w:val="-1"/>
          <w:sz w:val="22"/>
        </w:rPr>
        <w:t> </w:t>
      </w:r>
      <w:r>
        <w:rPr>
          <w:sz w:val="22"/>
        </w:rPr>
        <w:t>filed</w:t>
      </w:r>
      <w:r>
        <w:rPr>
          <w:spacing w:val="-1"/>
          <w:sz w:val="22"/>
        </w:rPr>
        <w:t> </w:t>
      </w:r>
      <w:r>
        <w:rPr>
          <w:sz w:val="22"/>
        </w:rPr>
        <w:t>in</w:t>
      </w:r>
      <w:r>
        <w:rPr>
          <w:spacing w:val="-1"/>
          <w:sz w:val="22"/>
        </w:rPr>
        <w:t> </w:t>
      </w:r>
      <w:r>
        <w:rPr>
          <w:sz w:val="22"/>
        </w:rPr>
        <w:t>NCLAT</w:t>
      </w:r>
      <w:r>
        <w:rPr>
          <w:spacing w:val="-1"/>
          <w:sz w:val="22"/>
        </w:rPr>
        <w:t> </w:t>
      </w:r>
      <w:r>
        <w:rPr>
          <w:sz w:val="22"/>
        </w:rPr>
        <w:t>on</w:t>
      </w:r>
      <w:r>
        <w:rPr>
          <w:spacing w:val="-1"/>
          <w:sz w:val="22"/>
        </w:rPr>
        <w:t> </w:t>
      </w:r>
      <w:r>
        <w:rPr>
          <w:sz w:val="22"/>
        </w:rPr>
        <w:t>10.07.2023</w:t>
      </w:r>
      <w:r>
        <w:rPr>
          <w:spacing w:val="-1"/>
          <w:sz w:val="22"/>
        </w:rPr>
        <w:t> </w:t>
      </w:r>
      <w:r>
        <w:rPr>
          <w:sz w:val="22"/>
        </w:rPr>
        <w:t>along</w:t>
      </w:r>
      <w:r>
        <w:rPr>
          <w:spacing w:val="-1"/>
          <w:sz w:val="22"/>
        </w:rPr>
        <w:t> </w:t>
      </w:r>
      <w:r>
        <w:rPr>
          <w:sz w:val="22"/>
        </w:rPr>
        <w:t>with</w:t>
      </w:r>
      <w:r>
        <w:rPr>
          <w:spacing w:val="-1"/>
          <w:sz w:val="22"/>
        </w:rPr>
        <w:t> </w:t>
      </w:r>
      <w:r>
        <w:rPr>
          <w:sz w:val="22"/>
        </w:rPr>
        <w:t>the</w:t>
      </w:r>
      <w:r>
        <w:rPr>
          <w:spacing w:val="-1"/>
          <w:sz w:val="22"/>
        </w:rPr>
        <w:t> </w:t>
      </w:r>
      <w:r>
        <w:rPr>
          <w:sz w:val="22"/>
        </w:rPr>
        <w:t>application for condonation of delay. The issue which was dealt by this Court in this case was as to which date triggers (2024) 3 SCC 27 CIVIL APPEAL NO(S). 11070 – 11071 OF 2024 limitation to commence when the matter is conclusively heard on one day and the Order is directly uploaded on the website on another. It was held that the period to compute limitation to file an appeal under Section 61 IBC from the Order of NCLT commences from the date of uploading of the Order by the Registry as the commencement of the period of Limitation is intrinsically linked to the date of pronouncement.</w:t>
      </w:r>
    </w:p>
    <w:p>
      <w:pPr>
        <w:pStyle w:val="BodyText"/>
        <w:spacing w:before="64"/>
      </w:pPr>
    </w:p>
    <w:p>
      <w:pPr>
        <w:pStyle w:val="ListParagraph"/>
        <w:numPr>
          <w:ilvl w:val="0"/>
          <w:numId w:val="1"/>
        </w:numPr>
        <w:tabs>
          <w:tab w:pos="390" w:val="left" w:leader="none"/>
        </w:tabs>
        <w:spacing w:line="295" w:lineRule="auto" w:before="0" w:after="0"/>
        <w:ind w:left="23" w:right="715" w:firstLine="0"/>
        <w:jc w:val="both"/>
        <w:rPr>
          <w:sz w:val="22"/>
        </w:rPr>
      </w:pPr>
      <w:r>
        <w:rPr>
          <w:sz w:val="22"/>
        </w:rPr>
        <w:t>Therefore, the incident which triggers limitation to commence is the date of pronouncement of the Order and in case of non-pronouncement of the Order when the hearing concludes, the date on which the Order is pronounced or uploaded on the website.</w:t>
      </w:r>
    </w:p>
    <w:p>
      <w:pPr>
        <w:pStyle w:val="BodyText"/>
        <w:spacing w:before="60"/>
      </w:pPr>
    </w:p>
    <w:p>
      <w:pPr>
        <w:pStyle w:val="ListParagraph"/>
        <w:numPr>
          <w:ilvl w:val="0"/>
          <w:numId w:val="1"/>
        </w:numPr>
        <w:tabs>
          <w:tab w:pos="394" w:val="left" w:leader="none"/>
        </w:tabs>
        <w:spacing w:line="295" w:lineRule="auto" w:before="0" w:after="0"/>
        <w:ind w:left="23" w:right="712" w:firstLine="0"/>
        <w:jc w:val="both"/>
        <w:rPr>
          <w:sz w:val="22"/>
        </w:rPr>
      </w:pPr>
      <w:r>
        <w:rPr>
          <w:sz w:val="22"/>
        </w:rPr>
        <w:t>However, where the judgment was pronounced in open Court, the period of limitation </w:t>
      </w:r>
      <w:r>
        <w:rPr>
          <w:sz w:val="22"/>
        </w:rPr>
        <w:t>starts running from that very day. The appellant is however entitled to seek relief under Section 12(2) of the Limitation Act for excluding the period during which the certified copy was under preparation</w:t>
      </w:r>
      <w:r>
        <w:rPr>
          <w:spacing w:val="40"/>
          <w:sz w:val="22"/>
        </w:rPr>
        <w:t> </w:t>
      </w:r>
      <w:r>
        <w:rPr>
          <w:sz w:val="22"/>
        </w:rPr>
        <w:t>on an application preferred by that party.</w:t>
      </w:r>
    </w:p>
    <w:p>
      <w:pPr>
        <w:pStyle w:val="BodyText"/>
        <w:spacing w:before="60"/>
      </w:pPr>
    </w:p>
    <w:p>
      <w:pPr>
        <w:spacing w:before="0"/>
        <w:ind w:left="23" w:right="0" w:firstLine="0"/>
        <w:jc w:val="left"/>
        <w:rPr>
          <w:sz w:val="22"/>
        </w:rPr>
      </w:pPr>
      <w:r>
        <w:rPr>
          <w:sz w:val="22"/>
        </w:rPr>
        <w:t>CIVIL</w:t>
      </w:r>
      <w:r>
        <w:rPr>
          <w:spacing w:val="-2"/>
          <w:sz w:val="22"/>
        </w:rPr>
        <w:t> </w:t>
      </w:r>
      <w:r>
        <w:rPr>
          <w:sz w:val="22"/>
        </w:rPr>
        <w:t>APPEAL</w:t>
      </w:r>
      <w:r>
        <w:rPr>
          <w:spacing w:val="-2"/>
          <w:sz w:val="22"/>
        </w:rPr>
        <w:t> </w:t>
      </w:r>
      <w:r>
        <w:rPr>
          <w:sz w:val="22"/>
        </w:rPr>
        <w:t>NO(S).</w:t>
      </w:r>
      <w:r>
        <w:rPr>
          <w:spacing w:val="-1"/>
          <w:sz w:val="22"/>
        </w:rPr>
        <w:t> </w:t>
      </w:r>
      <w:r>
        <w:rPr>
          <w:sz w:val="22"/>
        </w:rPr>
        <w:t>11070</w:t>
      </w:r>
      <w:r>
        <w:rPr>
          <w:spacing w:val="-2"/>
          <w:sz w:val="22"/>
        </w:rPr>
        <w:t> </w:t>
      </w:r>
      <w:r>
        <w:rPr>
          <w:sz w:val="22"/>
        </w:rPr>
        <w:t>–</w:t>
      </w:r>
      <w:r>
        <w:rPr>
          <w:spacing w:val="-2"/>
          <w:sz w:val="22"/>
        </w:rPr>
        <w:t> </w:t>
      </w:r>
      <w:r>
        <w:rPr>
          <w:sz w:val="22"/>
        </w:rPr>
        <w:t>11071</w:t>
      </w:r>
      <w:r>
        <w:rPr>
          <w:spacing w:val="-1"/>
          <w:sz w:val="22"/>
        </w:rPr>
        <w:t> </w:t>
      </w:r>
      <w:r>
        <w:rPr>
          <w:sz w:val="22"/>
        </w:rPr>
        <w:t>OF</w:t>
      </w:r>
      <w:r>
        <w:rPr>
          <w:spacing w:val="-2"/>
          <w:sz w:val="22"/>
        </w:rPr>
        <w:t> </w:t>
      </w:r>
      <w:r>
        <w:rPr>
          <w:spacing w:val="-4"/>
          <w:sz w:val="22"/>
        </w:rPr>
        <w:t>2024</w:t>
      </w:r>
    </w:p>
    <w:p>
      <w:pPr>
        <w:spacing w:after="0"/>
        <w:jc w:val="left"/>
        <w:rPr>
          <w:sz w:val="22"/>
        </w:rPr>
        <w:sectPr>
          <w:pgSz w:w="11900" w:h="15840"/>
          <w:pgMar w:header="726" w:footer="672" w:top="960" w:bottom="860" w:left="1417" w:right="0"/>
        </w:sectPr>
      </w:pPr>
    </w:p>
    <w:p>
      <w:pPr>
        <w:pStyle w:val="ListParagraph"/>
        <w:numPr>
          <w:ilvl w:val="0"/>
          <w:numId w:val="1"/>
        </w:numPr>
        <w:tabs>
          <w:tab w:pos="391" w:val="left" w:leader="none"/>
        </w:tabs>
        <w:spacing w:line="295" w:lineRule="auto" w:before="91" w:after="0"/>
        <w:ind w:left="23" w:right="708" w:firstLine="0"/>
        <w:jc w:val="both"/>
        <w:rPr>
          <w:sz w:val="22"/>
        </w:rPr>
      </w:pPr>
      <w:r>
        <w:rPr>
          <w:sz w:val="22"/>
        </w:rPr>
        <w:t>In light of the above legally settled position, when the facts of the present case is seen, the first thing which is apparent is that in the absence of any certified copy having been applied by the appellant of the impugned orders dated 20th July 2023 passed by the NCLT on which it was admittedly pronounced, with Rule 22 of the NCLAT Rules mandating filing of the appeal along with the certified copy. The appeals as preferred by the appellant need to be dismissed as they were filed beyond 30 days and no steps have been taken by the appellant to seek certified copy of the order.</w:t>
      </w:r>
    </w:p>
    <w:p>
      <w:pPr>
        <w:pStyle w:val="BodyText"/>
        <w:spacing w:before="61"/>
      </w:pPr>
    </w:p>
    <w:p>
      <w:pPr>
        <w:pStyle w:val="ListParagraph"/>
        <w:numPr>
          <w:ilvl w:val="0"/>
          <w:numId w:val="1"/>
        </w:numPr>
        <w:tabs>
          <w:tab w:pos="381" w:val="left" w:leader="none"/>
        </w:tabs>
        <w:spacing w:line="295" w:lineRule="auto" w:before="0" w:after="0"/>
        <w:ind w:left="23" w:right="709" w:firstLine="0"/>
        <w:jc w:val="both"/>
        <w:rPr>
          <w:sz w:val="22"/>
        </w:rPr>
      </w:pPr>
      <w:r>
        <w:rPr>
          <w:sz w:val="22"/>
        </w:rPr>
        <w:t>That apart, the second appeal, on this score alone is to be dismissed as there is no question of moving an application for condonation of delay when no application for obtaining a certified copy of the order has been filed. Exemption from filing of certified copy, as has been referred to above, cannot be claimed as a matter of right in terms of the statutory requirements of the Rules. As</w:t>
      </w:r>
      <w:r>
        <w:rPr>
          <w:spacing w:val="40"/>
          <w:sz w:val="22"/>
        </w:rPr>
        <w:t> </w:t>
      </w:r>
      <w:r>
        <w:rPr>
          <w:sz w:val="22"/>
        </w:rPr>
        <w:t>regards the first appeal, which was accompanied with the certified copy supplied free by NCLT the same also being beyond the period of limitation and the time of ten CIVIL APPEAL NO(S). 11070 – 11071 OF 2024 days as sought to be exempted for the preparation and making available the certified copy cannot be credited to the benefit of the appellant as the period of limitation commences from the date of pronouncement of the order and the benefit of Section 12(2) of the Limitation Act is available only on an application for grant of certified copy of the Order having been filed till the date of preparation of the said certified copy. Since no such steps have been taken by the appellant for applying the certified copy, the appeal was beyond limitation.</w:t>
      </w:r>
    </w:p>
    <w:p>
      <w:pPr>
        <w:pStyle w:val="BodyText"/>
        <w:spacing w:before="65"/>
      </w:pPr>
    </w:p>
    <w:p>
      <w:pPr>
        <w:pStyle w:val="ListParagraph"/>
        <w:numPr>
          <w:ilvl w:val="0"/>
          <w:numId w:val="1"/>
        </w:numPr>
        <w:tabs>
          <w:tab w:pos="394" w:val="left" w:leader="none"/>
        </w:tabs>
        <w:spacing w:line="295" w:lineRule="auto" w:before="0" w:after="0"/>
        <w:ind w:left="23" w:right="713" w:firstLine="0"/>
        <w:jc w:val="both"/>
        <w:rPr>
          <w:sz w:val="22"/>
        </w:rPr>
      </w:pPr>
      <w:r>
        <w:rPr>
          <w:sz w:val="22"/>
        </w:rPr>
        <w:t>The application of condonation of delay in the first appeal, disclosing no reasons whatsoever in filing the appeal, the Appellate Tribunal was justified in dismissing the application for condonation of delay. The satisfaction has to be of the Appellate Tribunal and that too on justifiable grounds, which, as is apparent, from the perusal of the application there is none pleaded which can be said to be projecting sufficient cause for not approaching the Appellate Tribunal within the time stipulated under Section 61(2) of the IBC.</w:t>
      </w:r>
    </w:p>
    <w:p>
      <w:pPr>
        <w:pStyle w:val="BodyText"/>
        <w:spacing w:before="61"/>
      </w:pPr>
    </w:p>
    <w:p>
      <w:pPr>
        <w:spacing w:before="0"/>
        <w:ind w:left="23" w:right="0" w:firstLine="0"/>
        <w:jc w:val="left"/>
        <w:rPr>
          <w:sz w:val="22"/>
        </w:rPr>
      </w:pPr>
      <w:r>
        <w:rPr>
          <w:sz w:val="22"/>
        </w:rPr>
        <w:t>CIVIL</w:t>
      </w:r>
      <w:r>
        <w:rPr>
          <w:spacing w:val="-2"/>
          <w:sz w:val="22"/>
        </w:rPr>
        <w:t> </w:t>
      </w:r>
      <w:r>
        <w:rPr>
          <w:sz w:val="22"/>
        </w:rPr>
        <w:t>APPEAL</w:t>
      </w:r>
      <w:r>
        <w:rPr>
          <w:spacing w:val="-2"/>
          <w:sz w:val="22"/>
        </w:rPr>
        <w:t> </w:t>
      </w:r>
      <w:r>
        <w:rPr>
          <w:sz w:val="22"/>
        </w:rPr>
        <w:t>NO(S).</w:t>
      </w:r>
      <w:r>
        <w:rPr>
          <w:spacing w:val="-1"/>
          <w:sz w:val="22"/>
        </w:rPr>
        <w:t> </w:t>
      </w:r>
      <w:r>
        <w:rPr>
          <w:sz w:val="22"/>
        </w:rPr>
        <w:t>11070</w:t>
      </w:r>
      <w:r>
        <w:rPr>
          <w:spacing w:val="-2"/>
          <w:sz w:val="22"/>
        </w:rPr>
        <w:t> </w:t>
      </w:r>
      <w:r>
        <w:rPr>
          <w:sz w:val="22"/>
        </w:rPr>
        <w:t>–</w:t>
      </w:r>
      <w:r>
        <w:rPr>
          <w:spacing w:val="-2"/>
          <w:sz w:val="22"/>
        </w:rPr>
        <w:t> </w:t>
      </w:r>
      <w:r>
        <w:rPr>
          <w:sz w:val="22"/>
        </w:rPr>
        <w:t>11071</w:t>
      </w:r>
      <w:r>
        <w:rPr>
          <w:spacing w:val="-1"/>
          <w:sz w:val="22"/>
        </w:rPr>
        <w:t> </w:t>
      </w:r>
      <w:r>
        <w:rPr>
          <w:sz w:val="22"/>
        </w:rPr>
        <w:t>OF</w:t>
      </w:r>
      <w:r>
        <w:rPr>
          <w:spacing w:val="-2"/>
          <w:sz w:val="22"/>
        </w:rPr>
        <w:t> </w:t>
      </w:r>
      <w:r>
        <w:rPr>
          <w:spacing w:val="-4"/>
          <w:sz w:val="22"/>
        </w:rPr>
        <w:t>2024</w:t>
      </w:r>
    </w:p>
    <w:p>
      <w:pPr>
        <w:pStyle w:val="BodyText"/>
        <w:spacing w:before="116"/>
      </w:pPr>
    </w:p>
    <w:p>
      <w:pPr>
        <w:pStyle w:val="ListParagraph"/>
        <w:numPr>
          <w:ilvl w:val="0"/>
          <w:numId w:val="1"/>
        </w:numPr>
        <w:tabs>
          <w:tab w:pos="394" w:val="left" w:leader="none"/>
        </w:tabs>
        <w:spacing w:line="295" w:lineRule="auto" w:before="0" w:after="0"/>
        <w:ind w:left="23" w:right="709" w:firstLine="0"/>
        <w:jc w:val="both"/>
        <w:rPr>
          <w:sz w:val="22"/>
        </w:rPr>
      </w:pPr>
      <w:r>
        <w:rPr>
          <w:sz w:val="22"/>
        </w:rPr>
        <w:t>The other reasons as has been assigned by the Appellate Tribunal for rejecting the application</w:t>
      </w:r>
      <w:r>
        <w:rPr>
          <w:spacing w:val="40"/>
          <w:sz w:val="22"/>
        </w:rPr>
        <w:t> </w:t>
      </w:r>
      <w:r>
        <w:rPr>
          <w:sz w:val="22"/>
        </w:rPr>
        <w:t>for condonation is clearly borne out from the pleading and the facts which do not call for any interference in the present appeals.</w:t>
      </w:r>
    </w:p>
    <w:p>
      <w:pPr>
        <w:pStyle w:val="BodyText"/>
        <w:spacing w:before="60"/>
      </w:pPr>
    </w:p>
    <w:p>
      <w:pPr>
        <w:pStyle w:val="ListParagraph"/>
        <w:numPr>
          <w:ilvl w:val="0"/>
          <w:numId w:val="1"/>
        </w:numPr>
        <w:tabs>
          <w:tab w:pos="391" w:val="left" w:leader="none"/>
        </w:tabs>
        <w:spacing w:line="295" w:lineRule="auto" w:before="0" w:after="0"/>
        <w:ind w:left="23" w:right="717" w:firstLine="0"/>
        <w:jc w:val="both"/>
        <w:rPr>
          <w:sz w:val="22"/>
        </w:rPr>
      </w:pPr>
      <w:r>
        <w:rPr>
          <w:sz w:val="22"/>
        </w:rPr>
        <w:t>In</w:t>
      </w:r>
      <w:r>
        <w:rPr>
          <w:spacing w:val="-1"/>
          <w:sz w:val="22"/>
        </w:rPr>
        <w:t> </w:t>
      </w:r>
      <w:r>
        <w:rPr>
          <w:sz w:val="22"/>
        </w:rPr>
        <w:t>view</w:t>
      </w:r>
      <w:r>
        <w:rPr>
          <w:spacing w:val="-1"/>
          <w:sz w:val="22"/>
        </w:rPr>
        <w:t> </w:t>
      </w:r>
      <w:r>
        <w:rPr>
          <w:sz w:val="22"/>
        </w:rPr>
        <w:t>of</w:t>
      </w:r>
      <w:r>
        <w:rPr>
          <w:spacing w:val="-1"/>
          <w:sz w:val="22"/>
        </w:rPr>
        <w:t> </w:t>
      </w:r>
      <w:r>
        <w:rPr>
          <w:sz w:val="22"/>
        </w:rPr>
        <w:t>the</w:t>
      </w:r>
      <w:r>
        <w:rPr>
          <w:spacing w:val="-1"/>
          <w:sz w:val="22"/>
        </w:rPr>
        <w:t> </w:t>
      </w:r>
      <w:r>
        <w:rPr>
          <w:sz w:val="22"/>
        </w:rPr>
        <w:t>above,</w:t>
      </w:r>
      <w:r>
        <w:rPr>
          <w:spacing w:val="-1"/>
          <w:sz w:val="22"/>
        </w:rPr>
        <w:t> </w:t>
      </w:r>
      <w:r>
        <w:rPr>
          <w:sz w:val="22"/>
        </w:rPr>
        <w:t>we</w:t>
      </w:r>
      <w:r>
        <w:rPr>
          <w:spacing w:val="-1"/>
          <w:sz w:val="22"/>
        </w:rPr>
        <w:t> </w:t>
      </w:r>
      <w:r>
        <w:rPr>
          <w:sz w:val="22"/>
        </w:rPr>
        <w:t>uphold</w:t>
      </w:r>
      <w:r>
        <w:rPr>
          <w:spacing w:val="-1"/>
          <w:sz w:val="22"/>
        </w:rPr>
        <w:t> </w:t>
      </w:r>
      <w:r>
        <w:rPr>
          <w:sz w:val="22"/>
        </w:rPr>
        <w:t>the</w:t>
      </w:r>
      <w:r>
        <w:rPr>
          <w:spacing w:val="-1"/>
          <w:sz w:val="22"/>
        </w:rPr>
        <w:t> </w:t>
      </w:r>
      <w:r>
        <w:rPr>
          <w:sz w:val="22"/>
        </w:rPr>
        <w:t>impugned</w:t>
      </w:r>
      <w:r>
        <w:rPr>
          <w:spacing w:val="-1"/>
          <w:sz w:val="22"/>
        </w:rPr>
        <w:t> </w:t>
      </w:r>
      <w:r>
        <w:rPr>
          <w:sz w:val="22"/>
        </w:rPr>
        <w:t>order</w:t>
      </w:r>
      <w:r>
        <w:rPr>
          <w:spacing w:val="-1"/>
          <w:sz w:val="22"/>
        </w:rPr>
        <w:t> </w:t>
      </w:r>
      <w:r>
        <w:rPr>
          <w:sz w:val="22"/>
        </w:rPr>
        <w:t>dated</w:t>
      </w:r>
      <w:r>
        <w:rPr>
          <w:spacing w:val="-1"/>
          <w:sz w:val="22"/>
        </w:rPr>
        <w:t> </w:t>
      </w:r>
      <w:r>
        <w:rPr>
          <w:sz w:val="22"/>
        </w:rPr>
        <w:t>18.01.2024</w:t>
      </w:r>
      <w:r>
        <w:rPr>
          <w:spacing w:val="-1"/>
          <w:sz w:val="22"/>
        </w:rPr>
        <w:t> </w:t>
      </w:r>
      <w:r>
        <w:rPr>
          <w:sz w:val="22"/>
        </w:rPr>
        <w:t>passed</w:t>
      </w:r>
      <w:r>
        <w:rPr>
          <w:spacing w:val="-1"/>
          <w:sz w:val="22"/>
        </w:rPr>
        <w:t> </w:t>
      </w:r>
      <w:r>
        <w:rPr>
          <w:sz w:val="22"/>
        </w:rPr>
        <w:t>by</w:t>
      </w:r>
      <w:r>
        <w:rPr>
          <w:spacing w:val="-1"/>
          <w:sz w:val="22"/>
        </w:rPr>
        <w:t> </w:t>
      </w:r>
      <w:r>
        <w:rPr>
          <w:sz w:val="22"/>
        </w:rPr>
        <w:t>the</w:t>
      </w:r>
      <w:r>
        <w:rPr>
          <w:spacing w:val="-1"/>
          <w:sz w:val="22"/>
        </w:rPr>
        <w:t> </w:t>
      </w:r>
      <w:r>
        <w:rPr>
          <w:sz w:val="22"/>
        </w:rPr>
        <w:t>NCLAT</w:t>
      </w:r>
      <w:r>
        <w:rPr>
          <w:spacing w:val="-1"/>
          <w:sz w:val="22"/>
        </w:rPr>
        <w:t> </w:t>
      </w:r>
      <w:r>
        <w:rPr>
          <w:sz w:val="22"/>
        </w:rPr>
        <w:t>and dismiss the present appeals.</w:t>
      </w:r>
    </w:p>
    <w:p>
      <w:pPr>
        <w:pStyle w:val="BodyText"/>
        <w:spacing w:before="59"/>
      </w:pPr>
    </w:p>
    <w:p>
      <w:pPr>
        <w:pStyle w:val="ListParagraph"/>
        <w:numPr>
          <w:ilvl w:val="0"/>
          <w:numId w:val="1"/>
        </w:numPr>
        <w:tabs>
          <w:tab w:pos="350" w:val="left" w:leader="none"/>
        </w:tabs>
        <w:spacing w:line="240" w:lineRule="auto" w:before="0" w:after="0"/>
        <w:ind w:left="350" w:right="0" w:hanging="327"/>
        <w:jc w:val="both"/>
        <w:rPr>
          <w:sz w:val="22"/>
        </w:rPr>
      </w:pPr>
      <w:r>
        <w:rPr>
          <w:sz w:val="22"/>
        </w:rPr>
        <w:t>There</w:t>
      </w:r>
      <w:r>
        <w:rPr>
          <w:spacing w:val="-3"/>
          <w:sz w:val="22"/>
        </w:rPr>
        <w:t> </w:t>
      </w:r>
      <w:r>
        <w:rPr>
          <w:sz w:val="22"/>
        </w:rPr>
        <w:t>shall</w:t>
      </w:r>
      <w:r>
        <w:rPr>
          <w:spacing w:val="-2"/>
          <w:sz w:val="22"/>
        </w:rPr>
        <w:t> </w:t>
      </w:r>
      <w:r>
        <w:rPr>
          <w:sz w:val="22"/>
        </w:rPr>
        <w:t>be</w:t>
      </w:r>
      <w:r>
        <w:rPr>
          <w:spacing w:val="-2"/>
          <w:sz w:val="22"/>
        </w:rPr>
        <w:t> </w:t>
      </w:r>
      <w:r>
        <w:rPr>
          <w:sz w:val="22"/>
        </w:rPr>
        <w:t>no</w:t>
      </w:r>
      <w:r>
        <w:rPr>
          <w:spacing w:val="-2"/>
          <w:sz w:val="22"/>
        </w:rPr>
        <w:t> </w:t>
      </w:r>
      <w:r>
        <w:rPr>
          <w:sz w:val="22"/>
        </w:rPr>
        <w:t>orders</w:t>
      </w:r>
      <w:r>
        <w:rPr>
          <w:spacing w:val="-2"/>
          <w:sz w:val="22"/>
        </w:rPr>
        <w:t> </w:t>
      </w:r>
      <w:r>
        <w:rPr>
          <w:sz w:val="22"/>
        </w:rPr>
        <w:t>on</w:t>
      </w:r>
      <w:r>
        <w:rPr>
          <w:spacing w:val="-2"/>
          <w:sz w:val="22"/>
        </w:rPr>
        <w:t> costs.</w:t>
      </w:r>
    </w:p>
    <w:p>
      <w:pPr>
        <w:pStyle w:val="BodyText"/>
        <w:spacing w:before="116"/>
      </w:pPr>
    </w:p>
    <w:p>
      <w:pPr>
        <w:pStyle w:val="ListParagraph"/>
        <w:numPr>
          <w:ilvl w:val="0"/>
          <w:numId w:val="1"/>
        </w:numPr>
        <w:tabs>
          <w:tab w:pos="378" w:val="left" w:leader="none"/>
        </w:tabs>
        <w:spacing w:line="240" w:lineRule="auto" w:before="0" w:after="0"/>
        <w:ind w:left="378" w:right="0" w:hanging="355"/>
        <w:jc w:val="both"/>
        <w:rPr>
          <w:sz w:val="22"/>
        </w:rPr>
      </w:pPr>
      <w:r>
        <w:rPr>
          <w:sz w:val="22"/>
        </w:rPr>
        <w:t>Pending</w:t>
      </w:r>
      <w:r>
        <w:rPr>
          <w:spacing w:val="-5"/>
          <w:sz w:val="22"/>
        </w:rPr>
        <w:t> </w:t>
      </w:r>
      <w:r>
        <w:rPr>
          <w:sz w:val="22"/>
        </w:rPr>
        <w:t>application(s),</w:t>
      </w:r>
      <w:r>
        <w:rPr>
          <w:spacing w:val="-5"/>
          <w:sz w:val="22"/>
        </w:rPr>
        <w:t> </w:t>
      </w:r>
      <w:r>
        <w:rPr>
          <w:sz w:val="22"/>
        </w:rPr>
        <w:t>if</w:t>
      </w:r>
      <w:r>
        <w:rPr>
          <w:spacing w:val="-5"/>
          <w:sz w:val="22"/>
        </w:rPr>
        <w:t> </w:t>
      </w:r>
      <w:r>
        <w:rPr>
          <w:sz w:val="22"/>
        </w:rPr>
        <w:t>any,</w:t>
      </w:r>
      <w:r>
        <w:rPr>
          <w:spacing w:val="-5"/>
          <w:sz w:val="22"/>
        </w:rPr>
        <w:t> </w:t>
      </w:r>
      <w:r>
        <w:rPr>
          <w:sz w:val="22"/>
        </w:rPr>
        <w:t>shall</w:t>
      </w:r>
      <w:r>
        <w:rPr>
          <w:spacing w:val="-5"/>
          <w:sz w:val="22"/>
        </w:rPr>
        <w:t> </w:t>
      </w:r>
      <w:r>
        <w:rPr>
          <w:sz w:val="22"/>
        </w:rPr>
        <w:t>stand</w:t>
      </w:r>
      <w:r>
        <w:rPr>
          <w:spacing w:val="-5"/>
          <w:sz w:val="22"/>
        </w:rPr>
        <w:t> </w:t>
      </w:r>
      <w:r>
        <w:rPr>
          <w:sz w:val="22"/>
        </w:rPr>
        <w:t>disposed</w:t>
      </w:r>
      <w:r>
        <w:rPr>
          <w:spacing w:val="-5"/>
          <w:sz w:val="22"/>
        </w:rPr>
        <w:t> of.</w:t>
      </w:r>
    </w:p>
    <w:p>
      <w:pPr>
        <w:pStyle w:val="BodyText"/>
        <w:spacing w:before="116"/>
      </w:pPr>
    </w:p>
    <w:p>
      <w:pPr>
        <w:tabs>
          <w:tab w:pos="2562" w:val="left" w:leader="dot"/>
        </w:tabs>
        <w:spacing w:before="0"/>
        <w:ind w:left="23" w:right="0" w:firstLine="0"/>
        <w:jc w:val="left"/>
        <w:rPr>
          <w:sz w:val="22"/>
        </w:rPr>
      </w:pPr>
      <w:r>
        <w:rPr>
          <w:spacing w:val="-10"/>
          <w:sz w:val="22"/>
        </w:rPr>
        <w:t>.</w:t>
      </w:r>
      <w:r>
        <w:rPr>
          <w:sz w:val="22"/>
        </w:rPr>
        <w:tab/>
      </w:r>
      <w:r>
        <w:rPr>
          <w:spacing w:val="-5"/>
          <w:sz w:val="22"/>
        </w:rPr>
        <w:t>J.</w:t>
      </w:r>
    </w:p>
    <w:p>
      <w:pPr>
        <w:pStyle w:val="BodyText"/>
        <w:spacing w:before="116"/>
      </w:pPr>
    </w:p>
    <w:p>
      <w:pPr>
        <w:tabs>
          <w:tab w:pos="4452" w:val="left" w:leader="dot"/>
        </w:tabs>
        <w:spacing w:before="0"/>
        <w:ind w:left="23" w:right="0" w:firstLine="0"/>
        <w:jc w:val="left"/>
        <w:rPr>
          <w:sz w:val="22"/>
        </w:rPr>
      </w:pPr>
      <w:r>
        <w:rPr>
          <w:sz w:val="22"/>
        </w:rPr>
        <w:t>[</w:t>
      </w:r>
      <w:r>
        <w:rPr>
          <w:spacing w:val="-3"/>
          <w:sz w:val="22"/>
        </w:rPr>
        <w:t> </w:t>
      </w:r>
      <w:r>
        <w:rPr>
          <w:sz w:val="22"/>
        </w:rPr>
        <w:t>ABHAY</w:t>
      </w:r>
      <w:r>
        <w:rPr>
          <w:spacing w:val="-2"/>
          <w:sz w:val="22"/>
        </w:rPr>
        <w:t> </w:t>
      </w:r>
      <w:r>
        <w:rPr>
          <w:sz w:val="22"/>
        </w:rPr>
        <w:t>S.</w:t>
      </w:r>
      <w:r>
        <w:rPr>
          <w:spacing w:val="-2"/>
          <w:sz w:val="22"/>
        </w:rPr>
        <w:t> </w:t>
      </w:r>
      <w:r>
        <w:rPr>
          <w:sz w:val="22"/>
        </w:rPr>
        <w:t>OKA</w:t>
      </w:r>
      <w:r>
        <w:rPr>
          <w:spacing w:val="-2"/>
          <w:sz w:val="22"/>
        </w:rPr>
        <w:t> </w:t>
      </w:r>
      <w:r>
        <w:rPr>
          <w:spacing w:val="-10"/>
          <w:sz w:val="22"/>
        </w:rPr>
        <w:t>]</w:t>
      </w:r>
      <w:r>
        <w:rPr>
          <w:sz w:val="22"/>
        </w:rPr>
        <w:tab/>
      </w:r>
      <w:r>
        <w:rPr>
          <w:spacing w:val="-5"/>
          <w:sz w:val="22"/>
        </w:rPr>
        <w:t>J.</w:t>
      </w:r>
    </w:p>
    <w:p>
      <w:pPr>
        <w:spacing w:after="0"/>
        <w:jc w:val="left"/>
        <w:rPr>
          <w:sz w:val="22"/>
        </w:rPr>
        <w:sectPr>
          <w:pgSz w:w="11900" w:h="15840"/>
          <w:pgMar w:header="726" w:footer="672" w:top="960" w:bottom="860" w:left="1417" w:right="0"/>
        </w:sectPr>
      </w:pPr>
    </w:p>
    <w:p>
      <w:pPr>
        <w:tabs>
          <w:tab w:pos="6119" w:val="left" w:leader="dot"/>
        </w:tabs>
        <w:spacing w:before="91"/>
        <w:ind w:left="23" w:right="0" w:firstLine="0"/>
        <w:jc w:val="left"/>
        <w:rPr>
          <w:sz w:val="22"/>
        </w:rPr>
      </w:pPr>
      <w:r>
        <w:rPr>
          <w:sz w:val="22"/>
        </w:rPr>
        <w:t>[</w:t>
      </w:r>
      <w:r>
        <w:rPr>
          <w:spacing w:val="16"/>
          <w:sz w:val="22"/>
        </w:rPr>
        <w:t> </w:t>
      </w:r>
      <w:r>
        <w:rPr>
          <w:sz w:val="22"/>
        </w:rPr>
        <w:t>AHSANUDDIN</w:t>
      </w:r>
      <w:r>
        <w:rPr>
          <w:spacing w:val="16"/>
          <w:sz w:val="22"/>
        </w:rPr>
        <w:t> </w:t>
      </w:r>
      <w:r>
        <w:rPr>
          <w:sz w:val="22"/>
        </w:rPr>
        <w:t>AMANULLAH</w:t>
      </w:r>
      <w:r>
        <w:rPr>
          <w:spacing w:val="17"/>
          <w:sz w:val="22"/>
        </w:rPr>
        <w:t> </w:t>
      </w:r>
      <w:r>
        <w:rPr>
          <w:spacing w:val="-10"/>
          <w:sz w:val="22"/>
        </w:rPr>
        <w:t>]</w:t>
      </w:r>
      <w:r>
        <w:rPr>
          <w:sz w:val="22"/>
        </w:rPr>
        <w:tab/>
        <w:t>J.</w:t>
      </w:r>
      <w:r>
        <w:rPr>
          <w:spacing w:val="10"/>
          <w:sz w:val="22"/>
        </w:rPr>
        <w:t> </w:t>
      </w:r>
      <w:r>
        <w:rPr>
          <w:sz w:val="22"/>
        </w:rPr>
        <w:t>[</w:t>
      </w:r>
      <w:r>
        <w:rPr>
          <w:spacing w:val="10"/>
          <w:sz w:val="22"/>
        </w:rPr>
        <w:t> </w:t>
      </w:r>
      <w:r>
        <w:rPr>
          <w:sz w:val="22"/>
        </w:rPr>
        <w:t>AUGUSTINE</w:t>
      </w:r>
      <w:r>
        <w:rPr>
          <w:spacing w:val="11"/>
          <w:sz w:val="22"/>
        </w:rPr>
        <w:t> </w:t>
      </w:r>
      <w:r>
        <w:rPr>
          <w:sz w:val="22"/>
        </w:rPr>
        <w:t>GEORGE</w:t>
      </w:r>
      <w:r>
        <w:rPr>
          <w:spacing w:val="10"/>
          <w:sz w:val="22"/>
        </w:rPr>
        <w:t> </w:t>
      </w:r>
      <w:r>
        <w:rPr>
          <w:sz w:val="22"/>
        </w:rPr>
        <w:t>MASIH</w:t>
      </w:r>
      <w:r>
        <w:rPr>
          <w:spacing w:val="10"/>
          <w:sz w:val="22"/>
        </w:rPr>
        <w:t> </w:t>
      </w:r>
      <w:r>
        <w:rPr>
          <w:spacing w:val="-10"/>
          <w:sz w:val="22"/>
        </w:rPr>
        <w:t>]</w:t>
      </w:r>
    </w:p>
    <w:p>
      <w:pPr>
        <w:spacing w:before="58"/>
        <w:ind w:left="23" w:right="0" w:firstLine="0"/>
        <w:jc w:val="left"/>
        <w:rPr>
          <w:sz w:val="22"/>
        </w:rPr>
      </w:pPr>
      <w:r>
        <w:rPr>
          <w:sz w:val="22"/>
        </w:rPr>
        <w:t>NEW</w:t>
      </w:r>
      <w:r>
        <w:rPr>
          <w:spacing w:val="-1"/>
          <w:sz w:val="22"/>
        </w:rPr>
        <w:t> </w:t>
      </w:r>
      <w:r>
        <w:rPr>
          <w:spacing w:val="-2"/>
          <w:sz w:val="22"/>
        </w:rPr>
        <w:t>DELHI;</w:t>
      </w:r>
    </w:p>
    <w:p>
      <w:pPr>
        <w:pStyle w:val="BodyText"/>
        <w:spacing w:before="116"/>
      </w:pPr>
    </w:p>
    <w:p>
      <w:pPr>
        <w:spacing w:before="0"/>
        <w:ind w:left="23" w:right="0" w:firstLine="0"/>
        <w:jc w:val="left"/>
        <w:rPr>
          <w:sz w:val="22"/>
        </w:rPr>
      </w:pPr>
      <w:r>
        <w:rPr>
          <w:sz w:val="22"/>
        </w:rPr>
        <w:t>APRIL</w:t>
      </w:r>
      <w:r>
        <w:rPr>
          <w:spacing w:val="-2"/>
          <w:sz w:val="22"/>
        </w:rPr>
        <w:t> </w:t>
      </w:r>
      <w:r>
        <w:rPr>
          <w:sz w:val="22"/>
        </w:rPr>
        <w:t>04,</w:t>
      </w:r>
      <w:r>
        <w:rPr>
          <w:spacing w:val="-1"/>
          <w:sz w:val="22"/>
        </w:rPr>
        <w:t> </w:t>
      </w:r>
      <w:r>
        <w:rPr>
          <w:sz w:val="22"/>
        </w:rPr>
        <w:t>2025</w:t>
      </w:r>
      <w:r>
        <w:rPr>
          <w:spacing w:val="-2"/>
          <w:sz w:val="22"/>
        </w:rPr>
        <w:t> </w:t>
      </w:r>
      <w:r>
        <w:rPr>
          <w:sz w:val="22"/>
        </w:rPr>
        <w:t>CIVIL</w:t>
      </w:r>
      <w:r>
        <w:rPr>
          <w:spacing w:val="-1"/>
          <w:sz w:val="22"/>
        </w:rPr>
        <w:t> </w:t>
      </w:r>
      <w:r>
        <w:rPr>
          <w:sz w:val="22"/>
        </w:rPr>
        <w:t>APPEAL</w:t>
      </w:r>
      <w:r>
        <w:rPr>
          <w:spacing w:val="-2"/>
          <w:sz w:val="22"/>
        </w:rPr>
        <w:t> </w:t>
      </w:r>
      <w:r>
        <w:rPr>
          <w:sz w:val="22"/>
        </w:rPr>
        <w:t>NO(S).</w:t>
      </w:r>
      <w:r>
        <w:rPr>
          <w:spacing w:val="-1"/>
          <w:sz w:val="22"/>
        </w:rPr>
        <w:t> </w:t>
      </w:r>
      <w:r>
        <w:rPr>
          <w:sz w:val="22"/>
        </w:rPr>
        <w:t>11070</w:t>
      </w:r>
      <w:r>
        <w:rPr>
          <w:spacing w:val="-2"/>
          <w:sz w:val="22"/>
        </w:rPr>
        <w:t> </w:t>
      </w:r>
      <w:r>
        <w:rPr>
          <w:sz w:val="22"/>
        </w:rPr>
        <w:t>–</w:t>
      </w:r>
      <w:r>
        <w:rPr>
          <w:spacing w:val="-1"/>
          <w:sz w:val="22"/>
        </w:rPr>
        <w:t> </w:t>
      </w:r>
      <w:r>
        <w:rPr>
          <w:sz w:val="22"/>
        </w:rPr>
        <w:t>11071</w:t>
      </w:r>
      <w:r>
        <w:rPr>
          <w:spacing w:val="-1"/>
          <w:sz w:val="22"/>
        </w:rPr>
        <w:t> </w:t>
      </w:r>
      <w:r>
        <w:rPr>
          <w:sz w:val="22"/>
        </w:rPr>
        <w:t>OF</w:t>
      </w:r>
      <w:r>
        <w:rPr>
          <w:spacing w:val="-2"/>
          <w:sz w:val="22"/>
        </w:rPr>
        <w:t> </w:t>
      </w:r>
      <w:r>
        <w:rPr>
          <w:spacing w:val="-4"/>
          <w:sz w:val="22"/>
        </w:rPr>
        <w:t>2024</w:t>
      </w:r>
    </w:p>
    <w:sectPr>
      <w:pgSz w:w="11900" w:h="15840"/>
      <w:pgMar w:header="726" w:footer="672" w:top="960" w:bottom="86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6464">
              <wp:simplePos x="0" y="0"/>
              <wp:positionH relativeFrom="page">
                <wp:posOffset>901700</wp:posOffset>
              </wp:positionH>
              <wp:positionV relativeFrom="page">
                <wp:posOffset>9491674</wp:posOffset>
              </wp:positionV>
              <wp:extent cx="2448560" cy="1517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48560" cy="151765"/>
                      </a:xfrm>
                      <a:prstGeom prst="rect">
                        <a:avLst/>
                      </a:prstGeom>
                    </wps:spPr>
                    <wps:txbx>
                      <w:txbxContent>
                        <w:p>
                          <w:pPr>
                            <w:spacing w:before="22"/>
                            <w:ind w:left="20" w:right="0" w:firstLine="0"/>
                            <w:jc w:val="left"/>
                            <w:rPr>
                              <w:rFonts w:ascii="Arial MT"/>
                              <w:sz w:val="16"/>
                            </w:rPr>
                          </w:pPr>
                          <w:r>
                            <w:rPr>
                              <w:rFonts w:ascii="Arial MT"/>
                              <w:sz w:val="16"/>
                            </w:rPr>
                            <w:t>Indian</w:t>
                          </w:r>
                          <w:r>
                            <w:rPr>
                              <w:rFonts w:ascii="Arial MT"/>
                              <w:spacing w:val="-4"/>
                              <w:sz w:val="16"/>
                            </w:rPr>
                            <w:t> </w:t>
                          </w:r>
                          <w:r>
                            <w:rPr>
                              <w:rFonts w:ascii="Arial MT"/>
                              <w:sz w:val="16"/>
                            </w:rPr>
                            <w:t>Kanoon</w:t>
                          </w:r>
                          <w:r>
                            <w:rPr>
                              <w:rFonts w:ascii="Arial MT"/>
                              <w:spacing w:val="-3"/>
                              <w:sz w:val="16"/>
                            </w:rPr>
                            <w:t> </w:t>
                          </w:r>
                          <w:r>
                            <w:rPr>
                              <w:rFonts w:ascii="Arial MT"/>
                              <w:sz w:val="16"/>
                            </w:rPr>
                            <w:t>-</w:t>
                          </w:r>
                          <w:r>
                            <w:rPr>
                              <w:rFonts w:ascii="Arial MT"/>
                              <w:spacing w:val="-3"/>
                              <w:sz w:val="16"/>
                            </w:rPr>
                            <w:t> </w:t>
                          </w:r>
                          <w:hyperlink r:id="rId1">
                            <w:r>
                              <w:rPr>
                                <w:rFonts w:ascii="Arial MT"/>
                                <w:spacing w:val="-2"/>
                                <w:sz w:val="16"/>
                              </w:rPr>
                              <w:t>http://indiankanoon.org/doc/7762909/</w:t>
                            </w:r>
                          </w:hyperlink>
                        </w:p>
                      </w:txbxContent>
                    </wps:txbx>
                    <wps:bodyPr wrap="square" lIns="0" tIns="0" rIns="0" bIns="0" rtlCol="0">
                      <a:noAutofit/>
                    </wps:bodyPr>
                  </wps:wsp>
                </a:graphicData>
              </a:graphic>
            </wp:anchor>
          </w:drawing>
        </mc:Choice>
        <mc:Fallback>
          <w:pict>
            <v:shape style="position:absolute;margin-left:71pt;margin-top:747.375977pt;width:192.8pt;height:11.95pt;mso-position-horizontal-relative:page;mso-position-vertical-relative:page;z-index:-15830016" type="#_x0000_t202" id="docshape2" filled="false" stroked="false">
              <v:textbox inset="0,0,0,0">
                <w:txbxContent>
                  <w:p>
                    <w:pPr>
                      <w:spacing w:before="22"/>
                      <w:ind w:left="20" w:right="0" w:firstLine="0"/>
                      <w:jc w:val="left"/>
                      <w:rPr>
                        <w:rFonts w:ascii="Arial MT"/>
                        <w:sz w:val="16"/>
                      </w:rPr>
                    </w:pPr>
                    <w:r>
                      <w:rPr>
                        <w:rFonts w:ascii="Arial MT"/>
                        <w:sz w:val="16"/>
                      </w:rPr>
                      <w:t>Indian</w:t>
                    </w:r>
                    <w:r>
                      <w:rPr>
                        <w:rFonts w:ascii="Arial MT"/>
                        <w:spacing w:val="-4"/>
                        <w:sz w:val="16"/>
                      </w:rPr>
                      <w:t> </w:t>
                    </w:r>
                    <w:r>
                      <w:rPr>
                        <w:rFonts w:ascii="Arial MT"/>
                        <w:sz w:val="16"/>
                      </w:rPr>
                      <w:t>Kanoon</w:t>
                    </w:r>
                    <w:r>
                      <w:rPr>
                        <w:rFonts w:ascii="Arial MT"/>
                        <w:spacing w:val="-3"/>
                        <w:sz w:val="16"/>
                      </w:rPr>
                      <w:t> </w:t>
                    </w:r>
                    <w:r>
                      <w:rPr>
                        <w:rFonts w:ascii="Arial MT"/>
                        <w:sz w:val="16"/>
                      </w:rPr>
                      <w:t>-</w:t>
                    </w:r>
                    <w:r>
                      <w:rPr>
                        <w:rFonts w:ascii="Arial MT"/>
                        <w:spacing w:val="-3"/>
                        <w:sz w:val="16"/>
                      </w:rPr>
                      <w:t> </w:t>
                    </w:r>
                    <w:hyperlink r:id="rId1">
                      <w:r>
                        <w:rPr>
                          <w:rFonts w:ascii="Arial MT"/>
                          <w:spacing w:val="-2"/>
                          <w:sz w:val="16"/>
                        </w:rPr>
                        <w:t>http://indiankanoon.org/doc/7762909/</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86976">
              <wp:simplePos x="0" y="0"/>
              <wp:positionH relativeFrom="page">
                <wp:posOffset>7004710</wp:posOffset>
              </wp:positionH>
              <wp:positionV relativeFrom="page">
                <wp:posOffset>9491674</wp:posOffset>
              </wp:positionV>
              <wp:extent cx="145415" cy="1517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5415" cy="151765"/>
                      </a:xfrm>
                      <a:prstGeom prst="rect">
                        <a:avLst/>
                      </a:prstGeom>
                    </wps:spPr>
                    <wps:txbx>
                      <w:txbxContent>
                        <w:p>
                          <w:pPr>
                            <w:spacing w:before="22"/>
                            <w:ind w:left="60" w:right="0" w:firstLine="0"/>
                            <w:jc w:val="left"/>
                            <w:rPr>
                              <w:rFonts w:ascii="Arial MT"/>
                              <w:sz w:val="16"/>
                            </w:rPr>
                          </w:pP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wps:txbx>
                    <wps:bodyPr wrap="square" lIns="0" tIns="0" rIns="0" bIns="0" rtlCol="0">
                      <a:noAutofit/>
                    </wps:bodyPr>
                  </wps:wsp>
                </a:graphicData>
              </a:graphic>
            </wp:anchor>
          </w:drawing>
        </mc:Choice>
        <mc:Fallback>
          <w:pict>
            <v:shape style="position:absolute;margin-left:551.552002pt;margin-top:747.375977pt;width:11.45pt;height:11.95pt;mso-position-horizontal-relative:page;mso-position-vertical-relative:page;z-index:-15829504" type="#_x0000_t202" id="docshape3" filled="false" stroked="false">
              <v:textbox inset="0,0,0,0">
                <w:txbxContent>
                  <w:p>
                    <w:pPr>
                      <w:spacing w:before="22"/>
                      <w:ind w:left="60" w:right="0" w:firstLine="0"/>
                      <w:jc w:val="left"/>
                      <w:rPr>
                        <w:rFonts w:ascii="Arial MT"/>
                        <w:sz w:val="16"/>
                      </w:rPr>
                    </w:pP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5952">
              <wp:simplePos x="0" y="0"/>
              <wp:positionH relativeFrom="page">
                <wp:posOffset>2596388</wp:posOffset>
              </wp:positionH>
              <wp:positionV relativeFrom="page">
                <wp:posOffset>449275</wp:posOffset>
              </wp:positionV>
              <wp:extent cx="2821305" cy="1517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21305" cy="151765"/>
                      </a:xfrm>
                      <a:prstGeom prst="rect">
                        <a:avLst/>
                      </a:prstGeom>
                    </wps:spPr>
                    <wps:txbx>
                      <w:txbxContent>
                        <w:p>
                          <w:pPr>
                            <w:spacing w:before="22"/>
                            <w:ind w:left="20" w:right="0" w:firstLine="0"/>
                            <w:jc w:val="left"/>
                            <w:rPr>
                              <w:rFonts w:ascii="Arial MT"/>
                              <w:sz w:val="16"/>
                            </w:rPr>
                          </w:pPr>
                          <w:r>
                            <w:rPr>
                              <w:rFonts w:ascii="Arial MT"/>
                              <w:sz w:val="16"/>
                            </w:rPr>
                            <w:t>A</w:t>
                          </w:r>
                          <w:r>
                            <w:rPr>
                              <w:rFonts w:ascii="Arial MT"/>
                              <w:spacing w:val="-4"/>
                              <w:sz w:val="16"/>
                            </w:rPr>
                            <w:t> </w:t>
                          </w:r>
                          <w:r>
                            <w:rPr>
                              <w:rFonts w:ascii="Arial MT"/>
                              <w:sz w:val="16"/>
                            </w:rPr>
                            <w:t>Rajendra</w:t>
                          </w:r>
                          <w:r>
                            <w:rPr>
                              <w:rFonts w:ascii="Arial MT"/>
                              <w:spacing w:val="-4"/>
                              <w:sz w:val="16"/>
                            </w:rPr>
                            <w:t> </w:t>
                          </w:r>
                          <w:r>
                            <w:rPr>
                              <w:rFonts w:ascii="Arial MT"/>
                              <w:sz w:val="16"/>
                            </w:rPr>
                            <w:t>vs</w:t>
                          </w:r>
                          <w:r>
                            <w:rPr>
                              <w:rFonts w:ascii="Arial MT"/>
                              <w:spacing w:val="-4"/>
                              <w:sz w:val="16"/>
                            </w:rPr>
                            <w:t> </w:t>
                          </w:r>
                          <w:r>
                            <w:rPr>
                              <w:rFonts w:ascii="Arial MT"/>
                              <w:sz w:val="16"/>
                            </w:rPr>
                            <w:t>Gonugunta</w:t>
                          </w:r>
                          <w:r>
                            <w:rPr>
                              <w:rFonts w:ascii="Arial MT"/>
                              <w:spacing w:val="-4"/>
                              <w:sz w:val="16"/>
                            </w:rPr>
                            <w:t> </w:t>
                          </w:r>
                          <w:r>
                            <w:rPr>
                              <w:rFonts w:ascii="Arial MT"/>
                              <w:sz w:val="16"/>
                            </w:rPr>
                            <w:t>Madhusudhan</w:t>
                          </w:r>
                          <w:r>
                            <w:rPr>
                              <w:rFonts w:ascii="Arial MT"/>
                              <w:spacing w:val="-3"/>
                              <w:sz w:val="16"/>
                            </w:rPr>
                            <w:t> </w:t>
                          </w:r>
                          <w:r>
                            <w:rPr>
                              <w:rFonts w:ascii="Arial MT"/>
                              <w:sz w:val="16"/>
                            </w:rPr>
                            <w:t>Rao</w:t>
                          </w:r>
                          <w:r>
                            <w:rPr>
                              <w:rFonts w:ascii="Arial MT"/>
                              <w:spacing w:val="-4"/>
                              <w:sz w:val="16"/>
                            </w:rPr>
                            <w:t> </w:t>
                          </w:r>
                          <w:r>
                            <w:rPr>
                              <w:rFonts w:ascii="Arial MT"/>
                              <w:sz w:val="16"/>
                            </w:rPr>
                            <w:t>on</w:t>
                          </w:r>
                          <w:r>
                            <w:rPr>
                              <w:rFonts w:ascii="Arial MT"/>
                              <w:spacing w:val="-4"/>
                              <w:sz w:val="16"/>
                            </w:rPr>
                            <w:t> </w:t>
                          </w:r>
                          <w:r>
                            <w:rPr>
                              <w:rFonts w:ascii="Arial MT"/>
                              <w:sz w:val="16"/>
                            </w:rPr>
                            <w:t>4</w:t>
                          </w:r>
                          <w:r>
                            <w:rPr>
                              <w:rFonts w:ascii="Arial MT"/>
                              <w:spacing w:val="-4"/>
                              <w:sz w:val="16"/>
                            </w:rPr>
                            <w:t> </w:t>
                          </w:r>
                          <w:r>
                            <w:rPr>
                              <w:rFonts w:ascii="Arial MT"/>
                              <w:sz w:val="16"/>
                            </w:rPr>
                            <w:t>April,</w:t>
                          </w:r>
                          <w:r>
                            <w:rPr>
                              <w:rFonts w:ascii="Arial MT"/>
                              <w:spacing w:val="-3"/>
                              <w:sz w:val="16"/>
                            </w:rPr>
                            <w:t> </w:t>
                          </w:r>
                          <w:r>
                            <w:rPr>
                              <w:rFonts w:ascii="Arial MT"/>
                              <w:spacing w:val="-4"/>
                              <w:sz w:val="16"/>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4.440002pt;margin-top:35.375999pt;width:222.15pt;height:11.95pt;mso-position-horizontal-relative:page;mso-position-vertical-relative:page;z-index:-15830528" type="#_x0000_t202" id="docshape1" filled="false" stroked="false">
              <v:textbox inset="0,0,0,0">
                <w:txbxContent>
                  <w:p>
                    <w:pPr>
                      <w:spacing w:before="22"/>
                      <w:ind w:left="20" w:right="0" w:firstLine="0"/>
                      <w:jc w:val="left"/>
                      <w:rPr>
                        <w:rFonts w:ascii="Arial MT"/>
                        <w:sz w:val="16"/>
                      </w:rPr>
                    </w:pPr>
                    <w:r>
                      <w:rPr>
                        <w:rFonts w:ascii="Arial MT"/>
                        <w:sz w:val="16"/>
                      </w:rPr>
                      <w:t>A</w:t>
                    </w:r>
                    <w:r>
                      <w:rPr>
                        <w:rFonts w:ascii="Arial MT"/>
                        <w:spacing w:val="-4"/>
                        <w:sz w:val="16"/>
                      </w:rPr>
                      <w:t> </w:t>
                    </w:r>
                    <w:r>
                      <w:rPr>
                        <w:rFonts w:ascii="Arial MT"/>
                        <w:sz w:val="16"/>
                      </w:rPr>
                      <w:t>Rajendra</w:t>
                    </w:r>
                    <w:r>
                      <w:rPr>
                        <w:rFonts w:ascii="Arial MT"/>
                        <w:spacing w:val="-4"/>
                        <w:sz w:val="16"/>
                      </w:rPr>
                      <w:t> </w:t>
                    </w:r>
                    <w:r>
                      <w:rPr>
                        <w:rFonts w:ascii="Arial MT"/>
                        <w:sz w:val="16"/>
                      </w:rPr>
                      <w:t>vs</w:t>
                    </w:r>
                    <w:r>
                      <w:rPr>
                        <w:rFonts w:ascii="Arial MT"/>
                        <w:spacing w:val="-4"/>
                        <w:sz w:val="16"/>
                      </w:rPr>
                      <w:t> </w:t>
                    </w:r>
                    <w:r>
                      <w:rPr>
                        <w:rFonts w:ascii="Arial MT"/>
                        <w:sz w:val="16"/>
                      </w:rPr>
                      <w:t>Gonugunta</w:t>
                    </w:r>
                    <w:r>
                      <w:rPr>
                        <w:rFonts w:ascii="Arial MT"/>
                        <w:spacing w:val="-4"/>
                        <w:sz w:val="16"/>
                      </w:rPr>
                      <w:t> </w:t>
                    </w:r>
                    <w:r>
                      <w:rPr>
                        <w:rFonts w:ascii="Arial MT"/>
                        <w:sz w:val="16"/>
                      </w:rPr>
                      <w:t>Madhusudhan</w:t>
                    </w:r>
                    <w:r>
                      <w:rPr>
                        <w:rFonts w:ascii="Arial MT"/>
                        <w:spacing w:val="-3"/>
                        <w:sz w:val="16"/>
                      </w:rPr>
                      <w:t> </w:t>
                    </w:r>
                    <w:r>
                      <w:rPr>
                        <w:rFonts w:ascii="Arial MT"/>
                        <w:sz w:val="16"/>
                      </w:rPr>
                      <w:t>Rao</w:t>
                    </w:r>
                    <w:r>
                      <w:rPr>
                        <w:rFonts w:ascii="Arial MT"/>
                        <w:spacing w:val="-4"/>
                        <w:sz w:val="16"/>
                      </w:rPr>
                      <w:t> </w:t>
                    </w:r>
                    <w:r>
                      <w:rPr>
                        <w:rFonts w:ascii="Arial MT"/>
                        <w:sz w:val="16"/>
                      </w:rPr>
                      <w:t>on</w:t>
                    </w:r>
                    <w:r>
                      <w:rPr>
                        <w:rFonts w:ascii="Arial MT"/>
                        <w:spacing w:val="-4"/>
                        <w:sz w:val="16"/>
                      </w:rPr>
                      <w:t> </w:t>
                    </w:r>
                    <w:r>
                      <w:rPr>
                        <w:rFonts w:ascii="Arial MT"/>
                        <w:sz w:val="16"/>
                      </w:rPr>
                      <w:t>4</w:t>
                    </w:r>
                    <w:r>
                      <w:rPr>
                        <w:rFonts w:ascii="Arial MT"/>
                        <w:spacing w:val="-4"/>
                        <w:sz w:val="16"/>
                      </w:rPr>
                      <w:t> </w:t>
                    </w:r>
                    <w:r>
                      <w:rPr>
                        <w:rFonts w:ascii="Arial MT"/>
                        <w:sz w:val="16"/>
                      </w:rPr>
                      <w:t>April,</w:t>
                    </w:r>
                    <w:r>
                      <w:rPr>
                        <w:rFonts w:ascii="Arial MT"/>
                        <w:spacing w:val="-3"/>
                        <w:sz w:val="16"/>
                      </w:rPr>
                      <w:t> </w:t>
                    </w:r>
                    <w:r>
                      <w:rPr>
                        <w:rFonts w:ascii="Arial MT"/>
                        <w:spacing w:val="-4"/>
                        <w:sz w:val="16"/>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2"/>
      <w:numFmt w:val="decimal"/>
      <w:lvlText w:val="(%1)"/>
      <w:lvlJc w:val="left"/>
      <w:pPr>
        <w:ind w:left="23" w:hanging="345"/>
        <w:jc w:val="right"/>
      </w:pPr>
      <w:rPr>
        <w:rFonts w:hint="default" w:ascii="Georgia" w:hAnsi="Georgia" w:eastAsia="Georgia" w:cs="Georgia"/>
        <w:b w:val="0"/>
        <w:bCs w:val="0"/>
        <w:i w:val="0"/>
        <w:iCs w:val="0"/>
        <w:spacing w:val="0"/>
        <w:w w:val="100"/>
        <w:sz w:val="22"/>
        <w:szCs w:val="22"/>
        <w:lang w:val="en-US" w:eastAsia="en-US" w:bidi="ar-SA"/>
      </w:rPr>
    </w:lvl>
    <w:lvl w:ilvl="1">
      <w:start w:val="1"/>
      <w:numFmt w:val="lowerRoman"/>
      <w:lvlText w:val="(%2)"/>
      <w:lvlJc w:val="left"/>
      <w:pPr>
        <w:ind w:left="743" w:hanging="298"/>
        <w:jc w:val="left"/>
      </w:pPr>
      <w:rPr>
        <w:rFonts w:hint="default" w:ascii="Georgia" w:hAnsi="Georgia" w:eastAsia="Georgia" w:cs="Georgia"/>
        <w:b w:val="0"/>
        <w:bCs w:val="0"/>
        <w:i w:val="0"/>
        <w:iCs w:val="0"/>
        <w:spacing w:val="0"/>
        <w:w w:val="100"/>
        <w:sz w:val="22"/>
        <w:szCs w:val="22"/>
        <w:lang w:val="en-US" w:eastAsia="en-US" w:bidi="ar-SA"/>
      </w:rPr>
    </w:lvl>
    <w:lvl w:ilvl="2">
      <w:start w:val="0"/>
      <w:numFmt w:val="bullet"/>
      <w:lvlText w:val="•"/>
      <w:lvlJc w:val="left"/>
      <w:pPr>
        <w:ind w:left="1822" w:hanging="298"/>
      </w:pPr>
      <w:rPr>
        <w:rFonts w:hint="default"/>
        <w:lang w:val="en-US" w:eastAsia="en-US" w:bidi="ar-SA"/>
      </w:rPr>
    </w:lvl>
    <w:lvl w:ilvl="3">
      <w:start w:val="0"/>
      <w:numFmt w:val="bullet"/>
      <w:lvlText w:val="•"/>
      <w:lvlJc w:val="left"/>
      <w:pPr>
        <w:ind w:left="2905" w:hanging="298"/>
      </w:pPr>
      <w:rPr>
        <w:rFonts w:hint="default"/>
        <w:lang w:val="en-US" w:eastAsia="en-US" w:bidi="ar-SA"/>
      </w:rPr>
    </w:lvl>
    <w:lvl w:ilvl="4">
      <w:start w:val="0"/>
      <w:numFmt w:val="bullet"/>
      <w:lvlText w:val="•"/>
      <w:lvlJc w:val="left"/>
      <w:pPr>
        <w:ind w:left="3987" w:hanging="298"/>
      </w:pPr>
      <w:rPr>
        <w:rFonts w:hint="default"/>
        <w:lang w:val="en-US" w:eastAsia="en-US" w:bidi="ar-SA"/>
      </w:rPr>
    </w:lvl>
    <w:lvl w:ilvl="5">
      <w:start w:val="0"/>
      <w:numFmt w:val="bullet"/>
      <w:lvlText w:val="•"/>
      <w:lvlJc w:val="left"/>
      <w:pPr>
        <w:ind w:left="5070" w:hanging="298"/>
      </w:pPr>
      <w:rPr>
        <w:rFonts w:hint="default"/>
        <w:lang w:val="en-US" w:eastAsia="en-US" w:bidi="ar-SA"/>
      </w:rPr>
    </w:lvl>
    <w:lvl w:ilvl="6">
      <w:start w:val="0"/>
      <w:numFmt w:val="bullet"/>
      <w:lvlText w:val="•"/>
      <w:lvlJc w:val="left"/>
      <w:pPr>
        <w:ind w:left="6152" w:hanging="298"/>
      </w:pPr>
      <w:rPr>
        <w:rFonts w:hint="default"/>
        <w:lang w:val="en-US" w:eastAsia="en-US" w:bidi="ar-SA"/>
      </w:rPr>
    </w:lvl>
    <w:lvl w:ilvl="7">
      <w:start w:val="0"/>
      <w:numFmt w:val="bullet"/>
      <w:lvlText w:val="•"/>
      <w:lvlJc w:val="left"/>
      <w:pPr>
        <w:ind w:left="7235" w:hanging="298"/>
      </w:pPr>
      <w:rPr>
        <w:rFonts w:hint="default"/>
        <w:lang w:val="en-US" w:eastAsia="en-US" w:bidi="ar-SA"/>
      </w:rPr>
    </w:lvl>
    <w:lvl w:ilvl="8">
      <w:start w:val="0"/>
      <w:numFmt w:val="bullet"/>
      <w:lvlText w:val="•"/>
      <w:lvlJc w:val="left"/>
      <w:pPr>
        <w:ind w:left="8317" w:hanging="298"/>
      </w:pPr>
      <w:rPr>
        <w:rFonts w:hint="default"/>
        <w:lang w:val="en-US" w:eastAsia="en-US" w:bidi="ar-SA"/>
      </w:rPr>
    </w:lvl>
  </w:abstractNum>
  <w:abstractNum w:abstractNumId="0">
    <w:multiLevelType w:val="hybridMultilevel"/>
    <w:lvl w:ilvl="0">
      <w:start w:val="1"/>
      <w:numFmt w:val="decimal"/>
      <w:lvlText w:val="%1."/>
      <w:lvlJc w:val="left"/>
      <w:pPr>
        <w:ind w:left="23" w:hanging="222"/>
        <w:jc w:val="left"/>
      </w:pPr>
      <w:rPr>
        <w:rFonts w:hint="default" w:ascii="Georgia" w:hAnsi="Georgia" w:eastAsia="Georgia" w:cs="Georgia"/>
        <w:b w:val="0"/>
        <w:bCs w:val="0"/>
        <w:i w:val="0"/>
        <w:iCs w:val="0"/>
        <w:spacing w:val="0"/>
        <w:w w:val="100"/>
        <w:sz w:val="22"/>
        <w:szCs w:val="22"/>
        <w:lang w:val="en-US" w:eastAsia="en-US" w:bidi="ar-SA"/>
      </w:rPr>
    </w:lvl>
    <w:lvl w:ilvl="1">
      <w:start w:val="0"/>
      <w:numFmt w:val="bullet"/>
      <w:lvlText w:val="•"/>
      <w:lvlJc w:val="left"/>
      <w:pPr>
        <w:ind w:left="1066" w:hanging="222"/>
      </w:pPr>
      <w:rPr>
        <w:rFonts w:hint="default"/>
        <w:lang w:val="en-US" w:eastAsia="en-US" w:bidi="ar-SA"/>
      </w:rPr>
    </w:lvl>
    <w:lvl w:ilvl="2">
      <w:start w:val="0"/>
      <w:numFmt w:val="bullet"/>
      <w:lvlText w:val="•"/>
      <w:lvlJc w:val="left"/>
      <w:pPr>
        <w:ind w:left="2112" w:hanging="222"/>
      </w:pPr>
      <w:rPr>
        <w:rFonts w:hint="default"/>
        <w:lang w:val="en-US" w:eastAsia="en-US" w:bidi="ar-SA"/>
      </w:rPr>
    </w:lvl>
    <w:lvl w:ilvl="3">
      <w:start w:val="0"/>
      <w:numFmt w:val="bullet"/>
      <w:lvlText w:val="•"/>
      <w:lvlJc w:val="left"/>
      <w:pPr>
        <w:ind w:left="3158" w:hanging="222"/>
      </w:pPr>
      <w:rPr>
        <w:rFonts w:hint="default"/>
        <w:lang w:val="en-US" w:eastAsia="en-US" w:bidi="ar-SA"/>
      </w:rPr>
    </w:lvl>
    <w:lvl w:ilvl="4">
      <w:start w:val="0"/>
      <w:numFmt w:val="bullet"/>
      <w:lvlText w:val="•"/>
      <w:lvlJc w:val="left"/>
      <w:pPr>
        <w:ind w:left="4205" w:hanging="222"/>
      </w:pPr>
      <w:rPr>
        <w:rFonts w:hint="default"/>
        <w:lang w:val="en-US" w:eastAsia="en-US" w:bidi="ar-SA"/>
      </w:rPr>
    </w:lvl>
    <w:lvl w:ilvl="5">
      <w:start w:val="0"/>
      <w:numFmt w:val="bullet"/>
      <w:lvlText w:val="•"/>
      <w:lvlJc w:val="left"/>
      <w:pPr>
        <w:ind w:left="5251" w:hanging="222"/>
      </w:pPr>
      <w:rPr>
        <w:rFonts w:hint="default"/>
        <w:lang w:val="en-US" w:eastAsia="en-US" w:bidi="ar-SA"/>
      </w:rPr>
    </w:lvl>
    <w:lvl w:ilvl="6">
      <w:start w:val="0"/>
      <w:numFmt w:val="bullet"/>
      <w:lvlText w:val="•"/>
      <w:lvlJc w:val="left"/>
      <w:pPr>
        <w:ind w:left="6297" w:hanging="222"/>
      </w:pPr>
      <w:rPr>
        <w:rFonts w:hint="default"/>
        <w:lang w:val="en-US" w:eastAsia="en-US" w:bidi="ar-SA"/>
      </w:rPr>
    </w:lvl>
    <w:lvl w:ilvl="7">
      <w:start w:val="0"/>
      <w:numFmt w:val="bullet"/>
      <w:lvlText w:val="•"/>
      <w:lvlJc w:val="left"/>
      <w:pPr>
        <w:ind w:left="7344" w:hanging="222"/>
      </w:pPr>
      <w:rPr>
        <w:rFonts w:hint="default"/>
        <w:lang w:val="en-US" w:eastAsia="en-US" w:bidi="ar-SA"/>
      </w:rPr>
    </w:lvl>
    <w:lvl w:ilvl="8">
      <w:start w:val="0"/>
      <w:numFmt w:val="bullet"/>
      <w:lvlText w:val="•"/>
      <w:lvlJc w:val="left"/>
      <w:pPr>
        <w:ind w:left="8390" w:hanging="222"/>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2"/>
      <w:szCs w:val="22"/>
      <w:lang w:val="en-US" w:eastAsia="en-US" w:bidi="ar-SA"/>
    </w:rPr>
  </w:style>
  <w:style w:styleId="Title" w:type="paragraph">
    <w:name w:val="Title"/>
    <w:basedOn w:val="Normal"/>
    <w:uiPriority w:val="1"/>
    <w:qFormat/>
    <w:pPr>
      <w:spacing w:before="99"/>
      <w:ind w:left="23"/>
    </w:pPr>
    <w:rPr>
      <w:rFonts w:ascii="Arial" w:hAnsi="Arial" w:eastAsia="Arial" w:cs="Arial"/>
      <w:b/>
      <w:bCs/>
      <w:sz w:val="31"/>
      <w:szCs w:val="31"/>
      <w:lang w:val="en-US" w:eastAsia="en-US" w:bidi="ar-SA"/>
    </w:rPr>
  </w:style>
  <w:style w:styleId="ListParagraph" w:type="paragraph">
    <w:name w:val="List Paragraph"/>
    <w:basedOn w:val="Normal"/>
    <w:uiPriority w:val="1"/>
    <w:qFormat/>
    <w:pPr>
      <w:ind w:left="23" w:right="712"/>
      <w:jc w:val="both"/>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indiankanoon.org/doc/7762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Rajendra vs Gonugunta Madhusudhan Rao on 4 April, 2025</dc:title>
  <dcterms:created xsi:type="dcterms:W3CDTF">2026-03-12T08:14:39Z</dcterms:created>
  <dcterms:modified xsi:type="dcterms:W3CDTF">2026-03-12T08:14:39Z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Producer">
    <vt:lpwstr>htmldoc 1.9.15 Copyright 2011-2022 by Michael R Sweet</vt:lpwstr>
  </property>
  <property fmtid="{D5CDD505-2E9C-101B-9397-08002B2CF9AE}" pid="4" name="LastSaved">
    <vt:filetime>2025-04-06T00:00:00Z</vt:filetime>
  </property>
</Properties>
</file>