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56D32" w14:textId="77777777" w:rsidR="00890D8F" w:rsidRDefault="00000000" w:rsidP="004D64C5">
      <w:pPr>
        <w:pStyle w:val="Title"/>
        <w:spacing w:after="0"/>
        <w:jc w:val="center"/>
        <w:rPr>
          <w:rFonts w:ascii="Times New Roman" w:hAnsi="Times New Roman"/>
          <w:sz w:val="24"/>
        </w:rPr>
      </w:pPr>
      <w:r>
        <w:rPr>
          <w:rFonts w:ascii="Times New Roman" w:hAnsi="Times New Roman"/>
          <w:sz w:val="24"/>
        </w:rPr>
        <w:t>RESPONSIBLE DIGITAL FINANCE FOR VIKSIT BHARAT:</w:t>
      </w:r>
      <w:r>
        <w:rPr>
          <w:rFonts w:ascii="Times New Roman" w:hAnsi="Times New Roman"/>
          <w:sz w:val="24"/>
        </w:rPr>
        <w:br/>
        <w:t>An IKS-Informed Framework for Transforming Black-Box Credit Scoring into Responsible Borrower Explanations</w:t>
      </w:r>
    </w:p>
    <w:p w14:paraId="42400E7E" w14:textId="77777777" w:rsidR="004D64C5" w:rsidRPr="004D64C5" w:rsidRDefault="004D64C5" w:rsidP="004D64C5"/>
    <w:p w14:paraId="0DAACDB7" w14:textId="77777777" w:rsidR="00890D8F" w:rsidRDefault="00000000">
      <w:pPr>
        <w:pStyle w:val="Meta"/>
        <w:spacing w:after="0" w:line="480" w:lineRule="auto"/>
        <w:jc w:val="center"/>
      </w:pPr>
      <w:r>
        <w:rPr>
          <w:b/>
        </w:rPr>
        <w:t>Integrating Pramana, Nyaya and Dharma with Explainable AI in Digital Lending</w:t>
      </w:r>
    </w:p>
    <w:p w14:paraId="6CA2A1F2" w14:textId="77777777" w:rsidR="00890D8F" w:rsidRDefault="00000000" w:rsidP="005626D6">
      <w:pPr>
        <w:pStyle w:val="Meta"/>
        <w:spacing w:after="0" w:line="240" w:lineRule="auto"/>
        <w:jc w:val="center"/>
      </w:pPr>
      <w:r>
        <w:t>Prajapati Jaiprakash Ramashrey</w:t>
      </w:r>
    </w:p>
    <w:p w14:paraId="362BB128" w14:textId="77777777" w:rsidR="00890D8F" w:rsidRDefault="00000000" w:rsidP="005626D6">
      <w:pPr>
        <w:pStyle w:val="Meta"/>
        <w:spacing w:after="0" w:line="240" w:lineRule="auto"/>
        <w:jc w:val="center"/>
      </w:pPr>
      <w:r>
        <w:t>Roll No. 25380178004</w:t>
      </w:r>
    </w:p>
    <w:p w14:paraId="45382944" w14:textId="77777777" w:rsidR="00890D8F" w:rsidRDefault="00000000" w:rsidP="005626D6">
      <w:pPr>
        <w:pStyle w:val="Meta"/>
        <w:spacing w:after="0" w:line="240" w:lineRule="auto"/>
        <w:jc w:val="center"/>
      </w:pPr>
      <w:r>
        <w:t>Ph.D. Computer Science &amp; Engineering</w:t>
      </w:r>
    </w:p>
    <w:p w14:paraId="1693F876" w14:textId="77777777" w:rsidR="00890D8F" w:rsidRDefault="00000000" w:rsidP="005626D6">
      <w:pPr>
        <w:pStyle w:val="Meta"/>
        <w:spacing w:after="0" w:line="240" w:lineRule="auto"/>
        <w:jc w:val="center"/>
      </w:pPr>
      <w:r>
        <w:t xml:space="preserve">Desh Bhagat University, Mandi </w:t>
      </w:r>
      <w:proofErr w:type="spellStart"/>
      <w:r>
        <w:t>Gobindgarh</w:t>
      </w:r>
      <w:proofErr w:type="spellEnd"/>
      <w:r>
        <w:t>, Punjab, India</w:t>
      </w:r>
    </w:p>
    <w:p w14:paraId="4F0595C4" w14:textId="77777777" w:rsidR="005626D6" w:rsidRDefault="005626D6" w:rsidP="005626D6">
      <w:pPr>
        <w:pStyle w:val="Meta"/>
        <w:spacing w:after="0" w:line="240" w:lineRule="auto"/>
        <w:jc w:val="center"/>
      </w:pPr>
    </w:p>
    <w:p w14:paraId="45AF89C7" w14:textId="77777777" w:rsidR="00890D8F" w:rsidRDefault="00000000" w:rsidP="005626D6">
      <w:pPr>
        <w:pStyle w:val="Meta"/>
        <w:spacing w:after="0" w:line="240" w:lineRule="auto"/>
        <w:jc w:val="center"/>
      </w:pPr>
      <w:r>
        <w:t>Track 3: Management, Commerce &amp; Hotel Management – Indian Knowledge Systems in Business, Commerce and Ethical Leadership</w:t>
      </w:r>
    </w:p>
    <w:p w14:paraId="45123102" w14:textId="77777777" w:rsidR="005626D6" w:rsidRDefault="005626D6" w:rsidP="005626D6">
      <w:pPr>
        <w:pStyle w:val="Meta"/>
        <w:spacing w:after="0" w:line="240" w:lineRule="auto"/>
        <w:jc w:val="center"/>
      </w:pPr>
    </w:p>
    <w:p w14:paraId="7A4578FF" w14:textId="77777777" w:rsidR="00890D8F" w:rsidRDefault="00000000">
      <w:pPr>
        <w:pStyle w:val="Heading1"/>
        <w:spacing w:before="0" w:line="480" w:lineRule="auto"/>
      </w:pPr>
      <w:r>
        <w:rPr>
          <w:rFonts w:ascii="Times New Roman" w:hAnsi="Times New Roman"/>
        </w:rPr>
        <w:t>Abstract</w:t>
      </w:r>
    </w:p>
    <w:p w14:paraId="563FC971" w14:textId="77777777" w:rsidR="00890D8F" w:rsidRDefault="00000000" w:rsidP="00476676">
      <w:pPr>
        <w:spacing w:after="0" w:line="480" w:lineRule="auto"/>
        <w:jc w:val="both"/>
      </w:pPr>
      <w:r>
        <w:t xml:space="preserve">Digital lending uses complex machine-learning models for automated credit assessment, yet the reasons behind individual credit decisions may remain difficult for borrowers to understand. Explainable Artificial Intelligence (XAI) methods such as SHAP can provide model-derived feature attributions, but numerical attributions alone do not constitute clear, responsible borrower explanations. This conceptual paper proposes an Indian Knowledge Systems (IKS)-informed framework integrating Pramana, Nyaya and Dharma as lenses for responsible explainability in digital lending. Pramana is used as an epistemic lens concerned with what warrants a knowledge claim; model-derived attributions should therefore have identifiable provenance and remain grounded in verified model outputs. Nyaya is used as a reasoning lens concerned with the relationship between grounds and conclusions; natural-language explanations should preserve the material relationship between model evidence and the credit decision. Dharma is used as a normative lens concerned with responsible, context-sensitive conduct; explanations should therefore be understandable and appropriate within the governance and regulatory environment of digital finance. The literature reviewed reveals fragmentation across XAI and interpretability, SHAP-based credit-risk explanation, faithful natural-language explanation, responsible AI in </w:t>
      </w:r>
      <w:r>
        <w:lastRenderedPageBreak/>
        <w:t>banking, and IKS scholarship. The paper addresses this integration gap through a three-stage responsible-explainability chain: epistemic grounding, reasoning fidelity, and responsible communication. It maps these stages onto an architecture in which a predictive model produces a decision, SHAP generates model-derived attribution, and a controlled language-model component translates only verified attribution into borrower-facing language. The paper does not claim that SHAP is a causal account of a decision or that an LLM is inherently faithful. Instead, it provides a conceptual basis for future empirical evaluation of attribution grounding, feature overlap, sign consistency, rank concordance, unsupported-reason rate, human fidelity, comprehensibility, and regulatory assessment. The framework positions responsible explainability as both an AI design concern and a management and ethical-leadership capability in responsible digital finance for Viksit Bharat.</w:t>
      </w:r>
    </w:p>
    <w:p w14:paraId="681FE929" w14:textId="77777777" w:rsidR="00890D8F" w:rsidRDefault="00000000" w:rsidP="00476676">
      <w:pPr>
        <w:spacing w:after="0" w:line="480" w:lineRule="auto"/>
        <w:jc w:val="both"/>
      </w:pPr>
      <w:r>
        <w:t>Keywords: Indian Knowledge Systems; Pramana; Nyaya; Dharma; Explainable AI; Digital Lending</w:t>
      </w:r>
    </w:p>
    <w:p w14:paraId="2B40C66D" w14:textId="77777777" w:rsidR="00890D8F" w:rsidRDefault="00000000" w:rsidP="00476676">
      <w:pPr>
        <w:pStyle w:val="Heading1"/>
        <w:spacing w:before="0" w:line="480" w:lineRule="auto"/>
        <w:jc w:val="both"/>
      </w:pPr>
      <w:r>
        <w:rPr>
          <w:rFonts w:ascii="Times New Roman" w:hAnsi="Times New Roman"/>
        </w:rPr>
        <w:t>1. Introduction</w:t>
      </w:r>
    </w:p>
    <w:p w14:paraId="6F091917" w14:textId="77777777" w:rsidR="00890D8F" w:rsidRDefault="00000000" w:rsidP="00476676">
      <w:pPr>
        <w:spacing w:after="0" w:line="480" w:lineRule="auto"/>
        <w:jc w:val="both"/>
      </w:pPr>
      <w:r>
        <w:t>Digital lending has expanded the scale and speed of credit assessment by enabling financial institutions and digital platforms to process borrower information through automated decision systems. Machine-learning models can support predictive credit assessment, including in settings where relationships among applicant characteristics are nonlinear or difficult to capture with simple rules. At the same time, increased model complexity creates a communication problem: a predictive system can produce a decision without producing a borrower-facing account that is understandable, traceable and responsible.</w:t>
      </w:r>
    </w:p>
    <w:p w14:paraId="4B146ADC" w14:textId="77777777" w:rsidR="00890D8F" w:rsidRDefault="00000000" w:rsidP="00476676">
      <w:pPr>
        <w:spacing w:after="0" w:line="480" w:lineRule="auto"/>
        <w:jc w:val="both"/>
      </w:pPr>
      <w:r>
        <w:t xml:space="preserve">Explainable Artificial Intelligence (XAI) research addresses the broader problem of making machine-learning outputs interpretable or explainable. Surveys have distinguished multiple </w:t>
      </w:r>
      <w:r>
        <w:lastRenderedPageBreak/>
        <w:t>forms of explanation and emphasized that interpretability, transparency and post-hoc explanation are not interchangeable concepts (Guidotti et al., 2018; Lipton, 2018; Arrieta et al., 2020). In finance, systematic reviews show growing use of XAI for credit risk and related applications, while also highlighting unresolved questions concerning explanation quality, evaluation and responsible use (Weber et al., 2024; Černevičienė &amp; Kabašinskas, 2024).</w:t>
      </w:r>
    </w:p>
    <w:p w14:paraId="69545C27" w14:textId="77777777" w:rsidR="00890D8F" w:rsidRDefault="00000000" w:rsidP="00476676">
      <w:pPr>
        <w:spacing w:after="0" w:line="480" w:lineRule="auto"/>
        <w:jc w:val="both"/>
      </w:pPr>
      <w:r>
        <w:t>SHAP, introduced by Lundberg and Lee (2017), is widely used to generate feature-level attributions for individual predictions. Studies in credit risk have examined SHAP and related methods as tools for interpreting discriminative models (Gramegna &amp; Giudici, 2021). However, a feature attribution should not be treated as a causal account or as a direct disclosure of the model's internal reasoning. It is more precisely understood in this paper as a model-derived, post-hoc attribution that can serve as a structured input to an explanation process.</w:t>
      </w:r>
    </w:p>
    <w:p w14:paraId="64602306" w14:textId="77777777" w:rsidR="00890D8F" w:rsidRDefault="00000000" w:rsidP="00476676">
      <w:pPr>
        <w:spacing w:after="0" w:line="480" w:lineRule="auto"/>
        <w:jc w:val="both"/>
      </w:pPr>
      <w:r>
        <w:t>A second communication problem arises when numerical attributions are converted into natural language. A language model can make an explanation fluent and accessible, but fluency does not guarantee faithfulness to the underlying model evidence. Recent work on large language models as post-hoc explainability tools suggests a potentially useful translator role when language generation is grounded in model-based attributions, while also indicating the need for careful evaluation (Geng et al., 2026). This distinction is central to the proposed framework: the language model is not treated as an autonomous source of credit reasoning, but as a controlled narrative interface over verified attribution.</w:t>
      </w:r>
    </w:p>
    <w:p w14:paraId="572C9BBC" w14:textId="77777777" w:rsidR="00890D8F" w:rsidRDefault="00000000" w:rsidP="00476676">
      <w:pPr>
        <w:spacing w:after="0" w:line="480" w:lineRule="auto"/>
        <w:jc w:val="both"/>
      </w:pPr>
      <w:r>
        <w:t xml:space="preserve">The Indian Knowledge Systems perspective provides a complementary conceptual vocabulary for examining this evidence-to-explanation pipeline. This paper intentionally limits its IKS scope to three concepts—Pramana, Nyaya and Dharma—because each is assigned a distinct analytical role. Pramana concerns means or sources of valid cognition and therefore informs the question of </w:t>
      </w:r>
      <w:r>
        <w:lastRenderedPageBreak/>
        <w:t>epistemic grounding. Nyaya is a classical Indian tradition concerned with cognition, reasoning and norms of rational inquiry and therefore informs the relation between grounds and conclusion. Dharma is used here in a normative and context-sensitive sense concerning what ought to be upheld or done responsibly in a given setting. These concepts are not presented as technological equivalents of SHAP, machine learning or large language models.</w:t>
      </w:r>
    </w:p>
    <w:p w14:paraId="655F4D1E" w14:textId="77777777" w:rsidR="00890D8F" w:rsidRDefault="00000000" w:rsidP="00476676">
      <w:pPr>
        <w:spacing w:after="0" w:line="480" w:lineRule="auto"/>
        <w:jc w:val="both"/>
      </w:pPr>
      <w:r>
        <w:t>The resulting argument is that responsible explainability in digital lending requires more than producing a feature-importance list or a fluent paragraph. It requires a chain in which evidence is grounded, the relation between evidence and decision is preserved, and communication is responsible in context. The paper therefore proposes an IKS-informed framework for responsible digital finance and positions borrower explanation as an organizational capability involving AI design, governance, accountability and ethical communication.</w:t>
      </w:r>
    </w:p>
    <w:p w14:paraId="141E5F3A" w14:textId="77777777" w:rsidR="00890D8F" w:rsidRDefault="00000000" w:rsidP="00476676">
      <w:pPr>
        <w:pStyle w:val="Heading1"/>
        <w:spacing w:before="0" w:line="480" w:lineRule="auto"/>
        <w:jc w:val="both"/>
      </w:pPr>
      <w:r>
        <w:rPr>
          <w:rFonts w:ascii="Times New Roman" w:hAnsi="Times New Roman"/>
        </w:rPr>
        <w:t>2. Problem Statement</w:t>
      </w:r>
    </w:p>
    <w:p w14:paraId="6C37FA0D" w14:textId="77777777" w:rsidR="00890D8F" w:rsidRDefault="00000000" w:rsidP="00476676">
      <w:pPr>
        <w:spacing w:after="0" w:line="480" w:lineRule="auto"/>
        <w:jc w:val="both"/>
      </w:pPr>
      <w:r>
        <w:t>The central problem addressed in this paper is the mismatch between the output format of complex credit-scoring models and the form of explanation required by borrowers and financial-governance processes. A predictive model may return a credit outcome and a set of numerical attributions, whereas a borrower requires a concise explanation that identifies relevant factors without introducing unsupported claims.</w:t>
      </w:r>
    </w:p>
    <w:p w14:paraId="3A80B797" w14:textId="77777777" w:rsidR="00890D8F" w:rsidRDefault="00000000" w:rsidP="00476676">
      <w:pPr>
        <w:spacing w:after="0" w:line="480" w:lineRule="auto"/>
        <w:jc w:val="both"/>
      </w:pPr>
      <w:r>
        <w:t xml:space="preserve">This mismatch creates three related risks. First, manual translation of technical attributions into borrower language can be difficult to scale and may introduce inconsistency. Second, an unconstrained language model may generate plausible but unsupported reasons that are not grounded in the model-derived evidence. Third, the use of external generative-AI services in financial workflows can create data-governance, privacy and accountability concerns. The </w:t>
      </w:r>
      <w:r>
        <w:lastRenderedPageBreak/>
        <w:t>proposed framework therefore separates prediction, attribution and narrative generation rather than treating them as one undifferentiated explanation process.</w:t>
      </w:r>
    </w:p>
    <w:p w14:paraId="770FE0DD" w14:textId="77777777" w:rsidR="00890D8F" w:rsidRDefault="00000000" w:rsidP="00476676">
      <w:pPr>
        <w:spacing w:after="0" w:line="480" w:lineRule="auto"/>
        <w:jc w:val="both"/>
      </w:pPr>
      <w:r>
        <w:t>Within this conceptual architecture, an Underwriter component produces the credit decision, a SHAP layer provides model-derived feature attribution, and a controlled Compliance Agent uses only verified attribution to generate borrower-facing language. The architecture is not claimed to establish legal compliance or explanation faithfulness by construction. Instead, it provides a testable design logic for future doctoral research.</w:t>
      </w:r>
    </w:p>
    <w:p w14:paraId="3732634A" w14:textId="77777777" w:rsidR="00890D8F" w:rsidRDefault="00000000" w:rsidP="00476676">
      <w:pPr>
        <w:pStyle w:val="Heading1"/>
        <w:spacing w:before="0" w:line="480" w:lineRule="auto"/>
        <w:jc w:val="both"/>
      </w:pPr>
      <w:r>
        <w:rPr>
          <w:rFonts w:ascii="Times New Roman" w:hAnsi="Times New Roman"/>
        </w:rPr>
        <w:t>3. Research Objective and Questions</w:t>
      </w:r>
    </w:p>
    <w:p w14:paraId="2317E208" w14:textId="77777777" w:rsidR="00890D8F" w:rsidRDefault="00000000" w:rsidP="00476676">
      <w:pPr>
        <w:spacing w:after="0" w:line="480" w:lineRule="auto"/>
        <w:jc w:val="both"/>
      </w:pPr>
      <w:r>
        <w:t>Objective 3: To develop an IKS-informed conceptual framework integrating Pramana, Nyaya and Dharma for responsible and explainable AI in digital lending.</w:t>
      </w:r>
    </w:p>
    <w:p w14:paraId="6646FFB5" w14:textId="77777777" w:rsidR="00890D8F" w:rsidRDefault="00000000" w:rsidP="00476676">
      <w:pPr>
        <w:spacing w:after="0" w:line="480" w:lineRule="auto"/>
        <w:jc w:val="both"/>
      </w:pPr>
      <w:r>
        <w:t>The paper addresses the following research questions:</w:t>
      </w:r>
    </w:p>
    <w:p w14:paraId="4CCCA270" w14:textId="77777777" w:rsidR="00890D8F" w:rsidRDefault="00000000" w:rsidP="00476676">
      <w:pPr>
        <w:spacing w:after="0" w:line="480" w:lineRule="auto"/>
        <w:jc w:val="both"/>
      </w:pPr>
      <w:r w:rsidRPr="00D1107A">
        <w:rPr>
          <w:b/>
          <w:bCs/>
        </w:rPr>
        <w:t>RQ1</w:t>
      </w:r>
      <w:r>
        <w:t>. What epistemic requirement should govern the translation of model-generated credit evidence into a borrower explanation?</w:t>
      </w:r>
    </w:p>
    <w:p w14:paraId="61807ACD" w14:textId="77777777" w:rsidR="00890D8F" w:rsidRDefault="00000000" w:rsidP="00476676">
      <w:pPr>
        <w:spacing w:after="0" w:line="480" w:lineRule="auto"/>
        <w:jc w:val="both"/>
      </w:pPr>
      <w:r w:rsidRPr="00D1107A">
        <w:rPr>
          <w:b/>
          <w:bCs/>
        </w:rPr>
        <w:t>RQ2</w:t>
      </w:r>
      <w:r>
        <w:t>. What reasoning requirement should govern the relationship between model evidence and the natural-language explanation?</w:t>
      </w:r>
    </w:p>
    <w:p w14:paraId="18F3FBB1" w14:textId="77777777" w:rsidR="00890D8F" w:rsidRDefault="00000000" w:rsidP="00476676">
      <w:pPr>
        <w:spacing w:after="0" w:line="480" w:lineRule="auto"/>
        <w:jc w:val="both"/>
      </w:pPr>
      <w:r w:rsidRPr="00D1107A">
        <w:rPr>
          <w:b/>
          <w:bCs/>
        </w:rPr>
        <w:t>RQ3</w:t>
      </w:r>
      <w:r>
        <w:t>. What normative requirement should govern responsible communication of an AI-mediated credit decision?</w:t>
      </w:r>
    </w:p>
    <w:p w14:paraId="630B7A62" w14:textId="77777777" w:rsidR="00890D8F" w:rsidRDefault="00000000" w:rsidP="00476676">
      <w:pPr>
        <w:pStyle w:val="Heading1"/>
        <w:spacing w:before="0" w:line="480" w:lineRule="auto"/>
        <w:jc w:val="both"/>
      </w:pPr>
      <w:r>
        <w:rPr>
          <w:rFonts w:ascii="Times New Roman" w:hAnsi="Times New Roman"/>
        </w:rPr>
        <w:t>4. Conceptual Research Method</w:t>
      </w:r>
    </w:p>
    <w:p w14:paraId="4A62ED93" w14:textId="77777777" w:rsidR="00890D8F" w:rsidRDefault="00000000" w:rsidP="00476676">
      <w:pPr>
        <w:spacing w:after="0" w:line="480" w:lineRule="auto"/>
        <w:jc w:val="both"/>
      </w:pPr>
      <w:r>
        <w:t xml:space="preserve">This study adopts a conceptual research approach based on structured synthesis of literature across five connected streams: (i) XAI and model interpretability, (ii) SHAP and credit-risk explanation, (iii) faithful natural-language explanation, (iv) responsible AI and banking governance, and (v) scholarship on Pramana, Nyaya and Dharma within Indian philosophy and </w:t>
      </w:r>
      <w:r>
        <w:lastRenderedPageBreak/>
        <w:t>ethics. Regulatory and institutional materials concerning digital lending in India are also considered to contextualize the management and governance implications.</w:t>
      </w:r>
    </w:p>
    <w:p w14:paraId="5040F06D" w14:textId="77777777" w:rsidR="00890D8F" w:rsidRDefault="00000000" w:rsidP="00476676">
      <w:pPr>
        <w:spacing w:after="0" w:line="480" w:lineRule="auto"/>
        <w:jc w:val="both"/>
      </w:pPr>
      <w:r>
        <w:t>The method is interpretive rather than empirical. The paper does not train or test a predictive model, generate borrower explanations, or report experimental results. Instead, it develops a conceptual mapping in which each selected IKS concept addresses a distinct requirement in the contemporary explanation pipeline. The mapping is deliberately limited to three concepts so that each concept performs a specific analytical function rather than being added decoratively.</w:t>
      </w:r>
    </w:p>
    <w:p w14:paraId="66545F23" w14:textId="77777777" w:rsidR="00890D8F" w:rsidRDefault="00000000" w:rsidP="00476676">
      <w:pPr>
        <w:pStyle w:val="Heading1"/>
        <w:spacing w:before="0" w:line="480" w:lineRule="auto"/>
        <w:jc w:val="both"/>
      </w:pPr>
      <w:r>
        <w:rPr>
          <w:rFonts w:ascii="Times New Roman" w:hAnsi="Times New Roman"/>
        </w:rPr>
        <w:t>5. Literature Review</w:t>
      </w:r>
    </w:p>
    <w:p w14:paraId="4DD29DE0" w14:textId="77777777" w:rsidR="00890D8F" w:rsidRDefault="00000000" w:rsidP="00476676">
      <w:pPr>
        <w:pStyle w:val="Heading2"/>
        <w:spacing w:before="0" w:line="480" w:lineRule="auto"/>
        <w:jc w:val="both"/>
      </w:pPr>
      <w:r>
        <w:rPr>
          <w:rFonts w:ascii="Times New Roman" w:hAnsi="Times New Roman"/>
        </w:rPr>
        <w:t>5.1 XAI and Model Interpretability</w:t>
      </w:r>
    </w:p>
    <w:p w14:paraId="23FF8440" w14:textId="77777777" w:rsidR="00890D8F" w:rsidRDefault="00000000" w:rsidP="00476676">
      <w:pPr>
        <w:spacing w:after="0" w:line="480" w:lineRule="auto"/>
        <w:jc w:val="both"/>
      </w:pPr>
      <w:r>
        <w:t>Interpretability and explainability have become major research themes as machine-learning systems are applied to consequential decisions. Guidotti et al. (2018) classify explanation approaches for black-box models, while Lipton (2018) cautions that the term interpretability can refer to different properties. Arrieta et al. (2020) further organize XAI concepts, methods and challenges in relation to responsible AI. These works establish that an explanation is not simply a visualization of model output; its meaning and evaluation depend on the type of model, explanation method and intended user.</w:t>
      </w:r>
    </w:p>
    <w:p w14:paraId="1C8157FB" w14:textId="77777777" w:rsidR="00890D8F" w:rsidRDefault="00000000" w:rsidP="00476676">
      <w:pPr>
        <w:spacing w:after="0" w:line="480" w:lineRule="auto"/>
        <w:jc w:val="both"/>
      </w:pPr>
      <w:r>
        <w:t>The distinction is important for credit decisions. A technically correct attribution may still be difficult for a borrower to interpret, while a highly readable narrative may fail to faithfully represent the underlying model output. The proposed framework therefore treats technical attribution and borrower communication as related but separate stages.</w:t>
      </w:r>
    </w:p>
    <w:p w14:paraId="2918EBA9" w14:textId="77777777" w:rsidR="00890D8F" w:rsidRDefault="00000000" w:rsidP="00476676">
      <w:pPr>
        <w:pStyle w:val="Heading2"/>
        <w:spacing w:before="0" w:line="480" w:lineRule="auto"/>
        <w:jc w:val="both"/>
      </w:pPr>
      <w:r>
        <w:rPr>
          <w:rFonts w:ascii="Times New Roman" w:hAnsi="Times New Roman"/>
        </w:rPr>
        <w:t>5.2 SHAP and Credit-Risk Explanation</w:t>
      </w:r>
    </w:p>
    <w:p w14:paraId="3C158411" w14:textId="77777777" w:rsidR="00890D8F" w:rsidRDefault="00000000" w:rsidP="00476676">
      <w:pPr>
        <w:spacing w:after="0" w:line="480" w:lineRule="auto"/>
        <w:jc w:val="both"/>
      </w:pPr>
      <w:r>
        <w:t xml:space="preserve">Lundberg and Lee (2017) introduced SHAP as a unified approach for interpreting model predictions using additive feature attribution. In credit-risk contexts, Gramegna and Giudici </w:t>
      </w:r>
      <w:r>
        <w:lastRenderedPageBreak/>
        <w:t>(2021) evaluated SHAP and LIME in relation to discriminative power. The present paper builds on this literature while maintaining a narrower claim: SHAP is used as a source of model-derived attribution for the explanation pipeline, not as a causal explanation of borrower outcomes and not as a direct representation of the model's internal reasoning.</w:t>
      </w:r>
    </w:p>
    <w:p w14:paraId="20785991" w14:textId="77777777" w:rsidR="00890D8F" w:rsidRDefault="00000000" w:rsidP="00476676">
      <w:pPr>
        <w:pStyle w:val="Heading2"/>
        <w:spacing w:before="0" w:line="480" w:lineRule="auto"/>
        <w:jc w:val="both"/>
      </w:pPr>
      <w:r>
        <w:rPr>
          <w:rFonts w:ascii="Times New Roman" w:hAnsi="Times New Roman"/>
        </w:rPr>
        <w:t>5.3 Faithful Natural-Language Explanation</w:t>
      </w:r>
    </w:p>
    <w:p w14:paraId="4410DDE7" w14:textId="77777777" w:rsidR="00890D8F" w:rsidRDefault="00000000" w:rsidP="00476676">
      <w:pPr>
        <w:spacing w:after="0" w:line="480" w:lineRule="auto"/>
        <w:jc w:val="both"/>
      </w:pPr>
      <w:r>
        <w:t>Natural-language explanation introduces an additional layer between technical evidence and the end user. Research on faithful model explanation emphasizes that a generated explanation should remain supported by the information that actually underlies the prediction rather than merely sounding plausible (Lyu et al., 2024). This concern is especially relevant when large language models are used to convert structured model information into prose. Geng et al. (2026) provides recent evidence that language models may be useful as translators of model-based attributions, supporting the architectural separation adopted in this paper while leaving the question of empirical faithfulness open.</w:t>
      </w:r>
    </w:p>
    <w:p w14:paraId="561DB2AB" w14:textId="77777777" w:rsidR="00890D8F" w:rsidRDefault="00000000" w:rsidP="00476676">
      <w:pPr>
        <w:pStyle w:val="Heading2"/>
        <w:spacing w:before="0" w:line="480" w:lineRule="auto"/>
        <w:jc w:val="both"/>
      </w:pPr>
      <w:r>
        <w:rPr>
          <w:rFonts w:ascii="Times New Roman" w:hAnsi="Times New Roman"/>
        </w:rPr>
        <w:t>5.4 Responsible AI in Banking</w:t>
      </w:r>
    </w:p>
    <w:p w14:paraId="4C5C3C76" w14:textId="77777777" w:rsidR="00890D8F" w:rsidRDefault="00000000" w:rsidP="00476676">
      <w:pPr>
        <w:spacing w:after="0" w:line="480" w:lineRule="auto"/>
        <w:jc w:val="both"/>
      </w:pPr>
      <w:r>
        <w:t>Responsible AI in banking extends beyond model performance to governance, accountability, transparency, fairness, customer communication and institutional oversight. Ratzan and Rahman (2024) demonstrate the importance of measurable responsible-AI dimensions in banking, while finance-focused XAI reviews highlight the need to connect technical methods with practical and organizational requirements (Weber et al., 2024; Černevičienė &amp; Kabašinskas, 2024). The proposed framework contributes to this stream by treating explanation as an organizational capability rather than only a model-level feature.</w:t>
      </w:r>
    </w:p>
    <w:p w14:paraId="09885BC1" w14:textId="77777777" w:rsidR="00890D8F" w:rsidRDefault="00000000" w:rsidP="00476676">
      <w:pPr>
        <w:pStyle w:val="Heading2"/>
        <w:spacing w:before="0" w:line="480" w:lineRule="auto"/>
        <w:jc w:val="both"/>
      </w:pPr>
      <w:r>
        <w:rPr>
          <w:rFonts w:ascii="Times New Roman" w:hAnsi="Times New Roman"/>
        </w:rPr>
        <w:lastRenderedPageBreak/>
        <w:t>5.5 Indian Knowledge Systems: Pramana, Nyaya and Dharma</w:t>
      </w:r>
    </w:p>
    <w:p w14:paraId="4F34A945" w14:textId="77777777" w:rsidR="00890D8F" w:rsidRDefault="00000000" w:rsidP="00476676">
      <w:pPr>
        <w:spacing w:after="0" w:line="480" w:lineRule="auto"/>
        <w:jc w:val="both"/>
      </w:pPr>
      <w:r>
        <w:t>Classical Indian epistemology includes systematic analysis of knowledge, its sources and the conditions under which cognition is warranted (Ganeri, 2024). Pramana is therefore used in this paper as an epistemic lens concerned with what warrants a knowledge claim, rather than being reduced to the modern word 'evidence'. The question for a credit explanation is consequently: What warrants this explanation, and can its provenance be traced to an identifiable model-derived source?</w:t>
      </w:r>
    </w:p>
    <w:p w14:paraId="324E91B6" w14:textId="77777777" w:rsidR="00890D8F" w:rsidRDefault="00000000" w:rsidP="00476676">
      <w:pPr>
        <w:spacing w:after="0" w:line="480" w:lineRule="auto"/>
        <w:jc w:val="both"/>
      </w:pPr>
      <w:r>
        <w:t>Nyaya is associated with rigorous inquiry into cognition, reasoning and the relation between grounds and conclusions. Dasti and Phillips (2017) present selections from the Nyaya-sutra and early commentaries that illustrate this concern with reasoning and debate. This paper does not attempt to reproduce the complete classical Nyaya inferential structure. Instead, Nyaya is used as an analytical lens for reasoning fidelity: Does the explanation faithfully connect the grounds represented by the model-derived attribution to the conclusion represented by the credit decision?</w:t>
      </w:r>
    </w:p>
    <w:p w14:paraId="0B38BE33" w14:textId="77777777" w:rsidR="00890D8F" w:rsidRDefault="00000000" w:rsidP="00476676">
      <w:pPr>
        <w:spacing w:after="0" w:line="480" w:lineRule="auto"/>
        <w:jc w:val="both"/>
      </w:pPr>
      <w:r>
        <w:t>Dharma has a broader semantic and normative field than a simple synonym for ethics. Sharma (2005) discusses Dharma in relation to what is to be upheld and what is right or appropriate, while Nadkarni (2011) examines ethical conduct in a broader Hindu ethical perspective. In this paper, Dharma is therefore used as a lens for responsible, context-sensitive conduct and communication. The question is: How should a consequential credit decision be communicated and acted upon responsibly within its institutional and regulatory context?</w:t>
      </w:r>
    </w:p>
    <w:p w14:paraId="1AE55E28" w14:textId="77777777" w:rsidR="00890D8F" w:rsidRDefault="00000000" w:rsidP="00476676">
      <w:pPr>
        <w:pStyle w:val="Heading1"/>
        <w:spacing w:before="0" w:line="480" w:lineRule="auto"/>
        <w:jc w:val="both"/>
      </w:pPr>
      <w:r>
        <w:rPr>
          <w:rFonts w:ascii="Times New Roman" w:hAnsi="Times New Roman"/>
        </w:rPr>
        <w:t>6. Regulatory and Institutional Context</w:t>
      </w:r>
    </w:p>
    <w:p w14:paraId="6C59DDC6" w14:textId="77777777" w:rsidR="00890D8F" w:rsidRDefault="00000000" w:rsidP="00476676">
      <w:pPr>
        <w:spacing w:after="0" w:line="480" w:lineRule="auto"/>
        <w:jc w:val="both"/>
      </w:pPr>
      <w:r>
        <w:t xml:space="preserve">Responsible borrower communication in digital lending must be considered within India's financial-regulatory environment. The Reserve Bank of India's fair-practices framework for </w:t>
      </w:r>
      <w:r>
        <w:lastRenderedPageBreak/>
        <w:t>NBFCs has historically emphasized communication of reasons in lending decisions, including the requirement to communicate reasons for rejection. More recently, the Reserve Bank of India (Digital Lending) Directions, 2025 establish a consolidated framework for digital lending and address borrower protection, disclosures, grievance redressal, technology and data-related requirements. The present paper uses this context to motivate responsible communication and governance; it does not claim that the proposed conceptual framework itself establishes legal or regulatory compliance.</w:t>
      </w:r>
    </w:p>
    <w:p w14:paraId="4E9DEC71" w14:textId="77777777" w:rsidR="00890D8F" w:rsidRDefault="00000000" w:rsidP="00476676">
      <w:pPr>
        <w:spacing w:after="0" w:line="480" w:lineRule="auto"/>
        <w:jc w:val="both"/>
      </w:pPr>
      <w:r>
        <w:t>The regulatory context also reinforces the management dimension of the research problem. A borrower explanation is not merely a user-interface artifact. It is part of a governed organizational process involving model ownership, compliance oversight, customer communication, accountability and escalation when an explanation is incomplete or incorrect.</w:t>
      </w:r>
    </w:p>
    <w:p w14:paraId="1B847A1A" w14:textId="77777777" w:rsidR="00890D8F" w:rsidRDefault="00000000" w:rsidP="00476676">
      <w:pPr>
        <w:pStyle w:val="Heading1"/>
        <w:spacing w:before="0" w:line="480" w:lineRule="auto"/>
        <w:jc w:val="both"/>
      </w:pPr>
      <w:r>
        <w:rPr>
          <w:rFonts w:ascii="Times New Roman" w:hAnsi="Times New Roman"/>
        </w:rPr>
        <w:t>7. Research Gap and Contribution</w:t>
      </w:r>
    </w:p>
    <w:p w14:paraId="444D031F" w14:textId="77777777" w:rsidR="00890D8F" w:rsidRDefault="00000000" w:rsidP="00476676">
      <w:pPr>
        <w:spacing w:after="0" w:line="480" w:lineRule="auto"/>
        <w:jc w:val="both"/>
      </w:pPr>
      <w:r>
        <w:t>The literature reviewed in this study reveals a fragmentation between several research streams. XAI and interpretability studies focus on explaining model behavior; SHAP-based credit-risk research focuses on feature attribution; faithful natural-language explanation research focuses on preserving support for generated explanations; responsible-AI banking research addresses governance and organizational responsibility; and IKS scholarship provides conceptual resources for understanding knowledge, reasoning and normative conduct. These streams are individually relevant, but their integration into a single borrower-explanation framework for digital lending remains insufficiently explicit.</w:t>
      </w:r>
    </w:p>
    <w:p w14:paraId="597DA7A2" w14:textId="77777777" w:rsidR="00890D8F" w:rsidRDefault="00000000" w:rsidP="00476676">
      <w:pPr>
        <w:spacing w:after="0" w:line="480" w:lineRule="auto"/>
        <w:jc w:val="both"/>
      </w:pPr>
      <w:r>
        <w:t xml:space="preserve">The contribution of this paper is therefore a three-layer conceptual framework that distinguishes (i) epistemic grounding of model-derived evidence, (ii) fidelity of the reasoning communicated from that evidence, and (iii) responsible communication of the resulting decision. The </w:t>
      </w:r>
      <w:r>
        <w:lastRenderedPageBreak/>
        <w:t>framework uses Pramana, Nyaya and Dharma as IKS-informed analytical lenses and maps them onto the contemporary XAI-to-natural-language explanation pipeline.</w:t>
      </w:r>
    </w:p>
    <w:p w14:paraId="4494D6DB" w14:textId="77777777" w:rsidR="00890D8F" w:rsidRDefault="00000000" w:rsidP="00476676">
      <w:pPr>
        <w:spacing w:after="0" w:line="480" w:lineRule="auto"/>
        <w:jc w:val="both"/>
      </w:pPr>
      <w:r>
        <w:t>This contribution is conceptual rather than algorithmic. The paper does not propose a new credit-scoring model or a new explanation algorithm. Its novelty lies in organizing evidence, reasoning and responsible communication as distinct but connected governance requirements. This distinction also creates a clearer basis for future empirical testing.</w:t>
      </w:r>
    </w:p>
    <w:p w14:paraId="1D0363B5" w14:textId="77777777" w:rsidR="00890D8F" w:rsidRDefault="00000000" w:rsidP="00476676">
      <w:pPr>
        <w:pStyle w:val="Heading1"/>
        <w:spacing w:before="0" w:line="480" w:lineRule="auto"/>
        <w:jc w:val="both"/>
      </w:pPr>
      <w:r>
        <w:rPr>
          <w:rFonts w:ascii="Times New Roman" w:hAnsi="Times New Roman"/>
        </w:rPr>
        <w:t>8. Proposed Pramana–Nyaya–Dharma Framework</w:t>
      </w:r>
    </w:p>
    <w:p w14:paraId="2614C98F" w14:textId="77777777" w:rsidR="00890D8F" w:rsidRDefault="00000000" w:rsidP="00476676">
      <w:pPr>
        <w:spacing w:after="0" w:line="480" w:lineRule="auto"/>
        <w:jc w:val="both"/>
      </w:pPr>
      <w:r>
        <w:t>The framework intentionally uses only three IKS concepts because they correspond to three distinct requirements in responsible explainability: epistemic grounding, reasoning fidelity and responsible conduct.</w:t>
      </w:r>
    </w:p>
    <w:tbl>
      <w:tblPr>
        <w:tblStyle w:val="TableGrid"/>
        <w:tblW w:w="0" w:type="auto"/>
        <w:jc w:val="center"/>
        <w:tblLook w:val="04A0" w:firstRow="1" w:lastRow="0" w:firstColumn="1" w:lastColumn="0" w:noHBand="0" w:noVBand="1"/>
      </w:tblPr>
      <w:tblGrid>
        <w:gridCol w:w="2340"/>
        <w:gridCol w:w="2340"/>
        <w:gridCol w:w="2340"/>
        <w:gridCol w:w="2340"/>
      </w:tblGrid>
      <w:tr w:rsidR="00890D8F" w14:paraId="46A02778" w14:textId="77777777">
        <w:trPr>
          <w:jc w:val="center"/>
        </w:trPr>
        <w:tc>
          <w:tcPr>
            <w:tcW w:w="2340" w:type="dxa"/>
            <w:vAlign w:val="center"/>
          </w:tcPr>
          <w:p w14:paraId="06852C46" w14:textId="77777777" w:rsidR="00890D8F" w:rsidRDefault="00000000" w:rsidP="00476676">
            <w:pPr>
              <w:spacing w:line="480" w:lineRule="auto"/>
              <w:jc w:val="both"/>
            </w:pPr>
            <w:r>
              <w:rPr>
                <w:b/>
                <w:sz w:val="22"/>
              </w:rPr>
              <w:t>Technical stage</w:t>
            </w:r>
          </w:p>
        </w:tc>
        <w:tc>
          <w:tcPr>
            <w:tcW w:w="2340" w:type="dxa"/>
            <w:vAlign w:val="center"/>
          </w:tcPr>
          <w:p w14:paraId="3E002B2F" w14:textId="77777777" w:rsidR="00890D8F" w:rsidRDefault="00000000" w:rsidP="00476676">
            <w:pPr>
              <w:spacing w:line="480" w:lineRule="auto"/>
              <w:jc w:val="both"/>
            </w:pPr>
            <w:r>
              <w:rPr>
                <w:b/>
                <w:sz w:val="22"/>
              </w:rPr>
              <w:t>Primary function</w:t>
            </w:r>
          </w:p>
        </w:tc>
        <w:tc>
          <w:tcPr>
            <w:tcW w:w="2340" w:type="dxa"/>
            <w:vAlign w:val="center"/>
          </w:tcPr>
          <w:p w14:paraId="278574EE" w14:textId="77777777" w:rsidR="00890D8F" w:rsidRDefault="00000000" w:rsidP="00476676">
            <w:pPr>
              <w:spacing w:line="480" w:lineRule="auto"/>
              <w:jc w:val="both"/>
            </w:pPr>
            <w:r>
              <w:rPr>
                <w:b/>
                <w:sz w:val="22"/>
              </w:rPr>
              <w:t>IKS lens</w:t>
            </w:r>
          </w:p>
        </w:tc>
        <w:tc>
          <w:tcPr>
            <w:tcW w:w="2340" w:type="dxa"/>
            <w:vAlign w:val="center"/>
          </w:tcPr>
          <w:p w14:paraId="45E3938B" w14:textId="77777777" w:rsidR="00890D8F" w:rsidRDefault="00000000" w:rsidP="00476676">
            <w:pPr>
              <w:spacing w:line="480" w:lineRule="auto"/>
              <w:jc w:val="both"/>
            </w:pPr>
            <w:r>
              <w:rPr>
                <w:b/>
                <w:sz w:val="22"/>
              </w:rPr>
              <w:t>Quality question</w:t>
            </w:r>
          </w:p>
        </w:tc>
      </w:tr>
      <w:tr w:rsidR="00890D8F" w14:paraId="165A1CFC" w14:textId="77777777">
        <w:trPr>
          <w:jc w:val="center"/>
        </w:trPr>
        <w:tc>
          <w:tcPr>
            <w:tcW w:w="2340" w:type="dxa"/>
            <w:vAlign w:val="center"/>
          </w:tcPr>
          <w:p w14:paraId="0916F69F" w14:textId="77777777" w:rsidR="00890D8F" w:rsidRDefault="00000000" w:rsidP="00476676">
            <w:pPr>
              <w:spacing w:line="480" w:lineRule="auto"/>
              <w:jc w:val="both"/>
            </w:pPr>
            <w:r>
              <w:rPr>
                <w:sz w:val="22"/>
              </w:rPr>
              <w:t>Underwriter / ML model</w:t>
            </w:r>
          </w:p>
        </w:tc>
        <w:tc>
          <w:tcPr>
            <w:tcW w:w="2340" w:type="dxa"/>
            <w:vAlign w:val="center"/>
          </w:tcPr>
          <w:p w14:paraId="50FFE4F0" w14:textId="77777777" w:rsidR="00890D8F" w:rsidRDefault="00000000" w:rsidP="00476676">
            <w:pPr>
              <w:spacing w:line="480" w:lineRule="auto"/>
              <w:jc w:val="both"/>
            </w:pPr>
            <w:r>
              <w:rPr>
                <w:sz w:val="22"/>
              </w:rPr>
              <w:t>Generate credit decision</w:t>
            </w:r>
          </w:p>
        </w:tc>
        <w:tc>
          <w:tcPr>
            <w:tcW w:w="2340" w:type="dxa"/>
            <w:vAlign w:val="center"/>
          </w:tcPr>
          <w:p w14:paraId="03FEA75A" w14:textId="77777777" w:rsidR="00890D8F" w:rsidRDefault="00000000" w:rsidP="00476676">
            <w:pPr>
              <w:spacing w:line="480" w:lineRule="auto"/>
              <w:jc w:val="both"/>
            </w:pPr>
            <w:r>
              <w:rPr>
                <w:sz w:val="22"/>
              </w:rPr>
              <w:t>—</w:t>
            </w:r>
          </w:p>
        </w:tc>
        <w:tc>
          <w:tcPr>
            <w:tcW w:w="2340" w:type="dxa"/>
            <w:vAlign w:val="center"/>
          </w:tcPr>
          <w:p w14:paraId="5B66EB34" w14:textId="77777777" w:rsidR="00890D8F" w:rsidRDefault="00000000" w:rsidP="00476676">
            <w:pPr>
              <w:spacing w:line="480" w:lineRule="auto"/>
              <w:jc w:val="both"/>
            </w:pPr>
            <w:r>
              <w:rPr>
                <w:sz w:val="22"/>
              </w:rPr>
              <w:t>Is the decision traceable to the predictive model output?</w:t>
            </w:r>
          </w:p>
        </w:tc>
      </w:tr>
      <w:tr w:rsidR="00890D8F" w14:paraId="7C29B077" w14:textId="77777777">
        <w:trPr>
          <w:jc w:val="center"/>
        </w:trPr>
        <w:tc>
          <w:tcPr>
            <w:tcW w:w="2340" w:type="dxa"/>
            <w:vAlign w:val="center"/>
          </w:tcPr>
          <w:p w14:paraId="1A16A306" w14:textId="77777777" w:rsidR="00890D8F" w:rsidRDefault="00000000" w:rsidP="00476676">
            <w:pPr>
              <w:spacing w:line="480" w:lineRule="auto"/>
              <w:jc w:val="both"/>
            </w:pPr>
            <w:r>
              <w:rPr>
                <w:sz w:val="22"/>
              </w:rPr>
              <w:t>SHAP layer</w:t>
            </w:r>
          </w:p>
        </w:tc>
        <w:tc>
          <w:tcPr>
            <w:tcW w:w="2340" w:type="dxa"/>
            <w:vAlign w:val="center"/>
          </w:tcPr>
          <w:p w14:paraId="7178EED9" w14:textId="77777777" w:rsidR="00890D8F" w:rsidRDefault="00000000" w:rsidP="00476676">
            <w:pPr>
              <w:spacing w:line="480" w:lineRule="auto"/>
              <w:jc w:val="both"/>
            </w:pPr>
            <w:r>
              <w:rPr>
                <w:sz w:val="22"/>
              </w:rPr>
              <w:t>Generate model-derived feature attribution</w:t>
            </w:r>
          </w:p>
        </w:tc>
        <w:tc>
          <w:tcPr>
            <w:tcW w:w="2340" w:type="dxa"/>
            <w:vAlign w:val="center"/>
          </w:tcPr>
          <w:p w14:paraId="476FFA96" w14:textId="77777777" w:rsidR="00890D8F" w:rsidRDefault="00000000" w:rsidP="00476676">
            <w:pPr>
              <w:spacing w:line="480" w:lineRule="auto"/>
              <w:jc w:val="both"/>
            </w:pPr>
            <w:r>
              <w:rPr>
                <w:sz w:val="22"/>
              </w:rPr>
              <w:t>Pramana</w:t>
            </w:r>
          </w:p>
        </w:tc>
        <w:tc>
          <w:tcPr>
            <w:tcW w:w="2340" w:type="dxa"/>
            <w:vAlign w:val="center"/>
          </w:tcPr>
          <w:p w14:paraId="2DED1ACB" w14:textId="77777777" w:rsidR="00890D8F" w:rsidRDefault="00000000" w:rsidP="00476676">
            <w:pPr>
              <w:spacing w:line="480" w:lineRule="auto"/>
              <w:jc w:val="both"/>
            </w:pPr>
            <w:r>
              <w:rPr>
                <w:sz w:val="22"/>
              </w:rPr>
              <w:t>What evidence grounds the explanation?</w:t>
            </w:r>
          </w:p>
        </w:tc>
      </w:tr>
      <w:tr w:rsidR="00890D8F" w14:paraId="761A8F09" w14:textId="77777777">
        <w:trPr>
          <w:jc w:val="center"/>
        </w:trPr>
        <w:tc>
          <w:tcPr>
            <w:tcW w:w="2340" w:type="dxa"/>
            <w:vAlign w:val="center"/>
          </w:tcPr>
          <w:p w14:paraId="6663B373" w14:textId="77777777" w:rsidR="00890D8F" w:rsidRDefault="00000000" w:rsidP="00476676">
            <w:pPr>
              <w:spacing w:line="480" w:lineRule="auto"/>
              <w:jc w:val="both"/>
            </w:pPr>
            <w:r>
              <w:rPr>
                <w:sz w:val="22"/>
              </w:rPr>
              <w:t>Compliance Agent / controlled LLM</w:t>
            </w:r>
          </w:p>
        </w:tc>
        <w:tc>
          <w:tcPr>
            <w:tcW w:w="2340" w:type="dxa"/>
            <w:vAlign w:val="center"/>
          </w:tcPr>
          <w:p w14:paraId="19E8241D" w14:textId="77777777" w:rsidR="00890D8F" w:rsidRDefault="00000000" w:rsidP="00476676">
            <w:pPr>
              <w:spacing w:line="480" w:lineRule="auto"/>
              <w:jc w:val="both"/>
            </w:pPr>
            <w:r>
              <w:rPr>
                <w:sz w:val="22"/>
              </w:rPr>
              <w:t>Translate verified attribution into borrower language</w:t>
            </w:r>
          </w:p>
        </w:tc>
        <w:tc>
          <w:tcPr>
            <w:tcW w:w="2340" w:type="dxa"/>
            <w:vAlign w:val="center"/>
          </w:tcPr>
          <w:p w14:paraId="79BE1E22" w14:textId="77777777" w:rsidR="00890D8F" w:rsidRDefault="00000000" w:rsidP="00476676">
            <w:pPr>
              <w:spacing w:line="480" w:lineRule="auto"/>
              <w:jc w:val="both"/>
            </w:pPr>
            <w:r>
              <w:rPr>
                <w:sz w:val="22"/>
              </w:rPr>
              <w:t>Nyaya</w:t>
            </w:r>
          </w:p>
        </w:tc>
        <w:tc>
          <w:tcPr>
            <w:tcW w:w="2340" w:type="dxa"/>
            <w:vAlign w:val="center"/>
          </w:tcPr>
          <w:p w14:paraId="0D970800" w14:textId="77777777" w:rsidR="00890D8F" w:rsidRDefault="00000000" w:rsidP="00476676">
            <w:pPr>
              <w:spacing w:line="480" w:lineRule="auto"/>
              <w:jc w:val="both"/>
            </w:pPr>
            <w:r>
              <w:rPr>
                <w:sz w:val="22"/>
              </w:rPr>
              <w:t>Does the narrative preserve the evidence–decision relationship?</w:t>
            </w:r>
          </w:p>
        </w:tc>
      </w:tr>
      <w:tr w:rsidR="00890D8F" w14:paraId="610E845F" w14:textId="77777777">
        <w:trPr>
          <w:jc w:val="center"/>
        </w:trPr>
        <w:tc>
          <w:tcPr>
            <w:tcW w:w="2340" w:type="dxa"/>
            <w:vAlign w:val="center"/>
          </w:tcPr>
          <w:p w14:paraId="73EE3E75" w14:textId="77777777" w:rsidR="00890D8F" w:rsidRDefault="00000000" w:rsidP="00476676">
            <w:pPr>
              <w:spacing w:line="480" w:lineRule="auto"/>
              <w:jc w:val="both"/>
            </w:pPr>
            <w:r>
              <w:rPr>
                <w:sz w:val="22"/>
              </w:rPr>
              <w:t>Borrower-facing notice</w:t>
            </w:r>
          </w:p>
        </w:tc>
        <w:tc>
          <w:tcPr>
            <w:tcW w:w="2340" w:type="dxa"/>
            <w:vAlign w:val="center"/>
          </w:tcPr>
          <w:p w14:paraId="15DF07D1" w14:textId="77777777" w:rsidR="00890D8F" w:rsidRDefault="00000000" w:rsidP="00476676">
            <w:pPr>
              <w:spacing w:line="480" w:lineRule="auto"/>
              <w:jc w:val="both"/>
            </w:pPr>
            <w:r>
              <w:rPr>
                <w:sz w:val="22"/>
              </w:rPr>
              <w:t>Communicate the decision and relevant reasons</w:t>
            </w:r>
          </w:p>
        </w:tc>
        <w:tc>
          <w:tcPr>
            <w:tcW w:w="2340" w:type="dxa"/>
            <w:vAlign w:val="center"/>
          </w:tcPr>
          <w:p w14:paraId="283B9367" w14:textId="77777777" w:rsidR="00890D8F" w:rsidRDefault="00000000" w:rsidP="00476676">
            <w:pPr>
              <w:spacing w:line="480" w:lineRule="auto"/>
              <w:jc w:val="both"/>
            </w:pPr>
            <w:r>
              <w:rPr>
                <w:sz w:val="22"/>
              </w:rPr>
              <w:t>Dharma</w:t>
            </w:r>
          </w:p>
        </w:tc>
        <w:tc>
          <w:tcPr>
            <w:tcW w:w="2340" w:type="dxa"/>
            <w:vAlign w:val="center"/>
          </w:tcPr>
          <w:p w14:paraId="10928BEC" w14:textId="77777777" w:rsidR="00890D8F" w:rsidRDefault="00000000" w:rsidP="00476676">
            <w:pPr>
              <w:spacing w:line="480" w:lineRule="auto"/>
              <w:jc w:val="both"/>
            </w:pPr>
            <w:r>
              <w:rPr>
                <w:sz w:val="22"/>
              </w:rPr>
              <w:t>Is the communication responsible, understandable and context-appropriate?</w:t>
            </w:r>
          </w:p>
        </w:tc>
      </w:tr>
    </w:tbl>
    <w:p w14:paraId="04F90DBA" w14:textId="77777777" w:rsidR="00890D8F" w:rsidRDefault="00000000" w:rsidP="00476676">
      <w:pPr>
        <w:spacing w:after="0" w:line="480" w:lineRule="auto"/>
        <w:jc w:val="both"/>
      </w:pPr>
      <w:r>
        <w:lastRenderedPageBreak/>
        <w:t>Pramana asks: “What warrants this explanation?” The contemporary counterpart is not a one-to-one technological substitution. Rather, the model-derived attribution must have identifiable provenance and must be the authorized source from which explanatory claims are constructed. SHAP is therefore treated as a structured attribution mechanism whose provenance can be examined through an epistemic lens informed by Pramana.</w:t>
      </w:r>
    </w:p>
    <w:p w14:paraId="61904A8C" w14:textId="77777777" w:rsidR="00890D8F" w:rsidRDefault="00000000" w:rsidP="00476676">
      <w:pPr>
        <w:spacing w:after="0" w:line="480" w:lineRule="auto"/>
        <w:jc w:val="both"/>
      </w:pPr>
      <w:r>
        <w:t>Nyaya asks: “Does the explanation faithfully connect the grounds to the conclusion?” In the proposed pipeline, the grounds are the verified model-derived attributions and the conclusion is the credit outcome. The language layer should not add, omit or invert material reasons in a way that changes their significance. The framework uses Nyaya as a reasoning-fidelity lens without claiming that the modern pipeline instantiates the full classical Nyaya system.</w:t>
      </w:r>
    </w:p>
    <w:p w14:paraId="7788BC9D" w14:textId="77777777" w:rsidR="00890D8F" w:rsidRDefault="00000000" w:rsidP="00476676">
      <w:pPr>
        <w:spacing w:after="0" w:line="480" w:lineRule="auto"/>
        <w:jc w:val="both"/>
      </w:pPr>
      <w:r>
        <w:t>Dharma asks: “How should this consequential decision be communicated and acted upon responsibly?” The relevant concern is not merely whether the explanation is technically faithful, but whether it is understandable, context-sensitive, appropriately framed and situated within organizational and regulatory responsibilities. Dharma therefore links explainability to ethical leadership, customer treatment and governance.</w:t>
      </w:r>
    </w:p>
    <w:p w14:paraId="53B8D87B" w14:textId="77777777" w:rsidR="00890D8F" w:rsidRDefault="00000000" w:rsidP="00476676">
      <w:pPr>
        <w:spacing w:after="0" w:line="480" w:lineRule="auto"/>
        <w:jc w:val="both"/>
      </w:pPr>
      <w:r>
        <w:t>Responsible Explainability = Epistemic Grounding + Reasoning Fidelity + Responsible Conduct.</w:t>
      </w:r>
    </w:p>
    <w:p w14:paraId="7555D3DA" w14:textId="77777777" w:rsidR="00890D8F" w:rsidRDefault="00000000" w:rsidP="00476676">
      <w:pPr>
        <w:pStyle w:val="Heading1"/>
        <w:spacing w:before="0" w:line="480" w:lineRule="auto"/>
        <w:jc w:val="both"/>
      </w:pPr>
      <w:r>
        <w:rPr>
          <w:rFonts w:ascii="Times New Roman" w:hAnsi="Times New Roman"/>
        </w:rPr>
        <w:t>9. Responsible Explainability as a Management and Ethical-Leadership Capability</w:t>
      </w:r>
    </w:p>
    <w:p w14:paraId="78AD44FB" w14:textId="77777777" w:rsidR="00890D8F" w:rsidRDefault="00000000" w:rsidP="00476676">
      <w:pPr>
        <w:spacing w:after="0" w:line="480" w:lineRule="auto"/>
        <w:jc w:val="both"/>
      </w:pPr>
      <w:r>
        <w:t>In Track 3 terms, responsible explainability can be understood as a management and ethical-leadership capability in digital finance. Credit explanation involves organizational decisions about who owns the model, who validates model-derived evidence, which reasons are permissible to communicate, who approves borrower-facing language, and how errors or disputes are escalated. These are governance and accountability questions, not only technical questions.</w:t>
      </w:r>
    </w:p>
    <w:p w14:paraId="2A3C5BE1" w14:textId="77777777" w:rsidR="00890D8F" w:rsidRDefault="00000000" w:rsidP="00476676">
      <w:pPr>
        <w:spacing w:after="0" w:line="480" w:lineRule="auto"/>
        <w:jc w:val="both"/>
      </w:pPr>
      <w:r>
        <w:lastRenderedPageBreak/>
        <w:t>An IKS-informed explanation process can therefore support a management architecture in which predictive performance is balanced with evidence traceability, reasoning fidelity and responsible customer communication. The three IKS lenses provide a disciplined vocabulary for assigning responsibilities across the process: Pramana emphasizes the provenance of claims, Nyaya emphasizes the integrity of the evidence-to-conclusion relationship, and Dharma emphasizes responsible conduct toward affected stakeholders.</w:t>
      </w:r>
    </w:p>
    <w:p w14:paraId="689D829B" w14:textId="77777777" w:rsidR="00890D8F" w:rsidRDefault="00000000" w:rsidP="00476676">
      <w:pPr>
        <w:spacing w:after="0" w:line="480" w:lineRule="auto"/>
        <w:jc w:val="both"/>
      </w:pPr>
      <w:r>
        <w:t>This perspective is relevant to commerce and financial services because explanation quality can influence customer trust, complaint handling, transparency processes and institutional accountability. It also connects ethical leadership with technical system design: leadership responsibility is partly expressed through the controls placed around automated decisions and the explanations communicated to borrowers.</w:t>
      </w:r>
    </w:p>
    <w:p w14:paraId="7DA8532A" w14:textId="77777777" w:rsidR="00890D8F" w:rsidRDefault="00000000" w:rsidP="00476676">
      <w:pPr>
        <w:pStyle w:val="Heading1"/>
        <w:spacing w:before="0" w:line="480" w:lineRule="auto"/>
        <w:jc w:val="both"/>
      </w:pPr>
      <w:r>
        <w:rPr>
          <w:rFonts w:ascii="Times New Roman" w:hAnsi="Times New Roman"/>
        </w:rPr>
        <w:t>10. Relationship to the Proposed Technical Architecture</w:t>
      </w:r>
    </w:p>
    <w:tbl>
      <w:tblPr>
        <w:tblStyle w:val="TableGrid"/>
        <w:tblW w:w="0" w:type="auto"/>
        <w:jc w:val="center"/>
        <w:tblLook w:val="04A0" w:firstRow="1" w:lastRow="0" w:firstColumn="1" w:lastColumn="0" w:noHBand="0" w:noVBand="1"/>
      </w:tblPr>
      <w:tblGrid>
        <w:gridCol w:w="1872"/>
        <w:gridCol w:w="1872"/>
        <w:gridCol w:w="1872"/>
        <w:gridCol w:w="1872"/>
        <w:gridCol w:w="1915"/>
      </w:tblGrid>
      <w:tr w:rsidR="00890D8F" w14:paraId="4F8EABAD" w14:textId="77777777">
        <w:trPr>
          <w:jc w:val="center"/>
        </w:trPr>
        <w:tc>
          <w:tcPr>
            <w:tcW w:w="1872" w:type="dxa"/>
            <w:vAlign w:val="center"/>
          </w:tcPr>
          <w:p w14:paraId="3D8B70D0" w14:textId="77777777" w:rsidR="00890D8F" w:rsidRDefault="00000000" w:rsidP="00476676">
            <w:pPr>
              <w:spacing w:line="480" w:lineRule="auto"/>
              <w:jc w:val="both"/>
            </w:pPr>
            <w:r>
              <w:rPr>
                <w:b/>
                <w:sz w:val="22"/>
              </w:rPr>
              <w:t>IKS lens</w:t>
            </w:r>
          </w:p>
        </w:tc>
        <w:tc>
          <w:tcPr>
            <w:tcW w:w="1872" w:type="dxa"/>
            <w:vAlign w:val="center"/>
          </w:tcPr>
          <w:p w14:paraId="2973AD76" w14:textId="77777777" w:rsidR="00890D8F" w:rsidRDefault="00000000" w:rsidP="00476676">
            <w:pPr>
              <w:spacing w:line="480" w:lineRule="auto"/>
              <w:jc w:val="both"/>
            </w:pPr>
            <w:r>
              <w:rPr>
                <w:b/>
                <w:sz w:val="22"/>
              </w:rPr>
              <w:t>Contemporary problem</w:t>
            </w:r>
          </w:p>
        </w:tc>
        <w:tc>
          <w:tcPr>
            <w:tcW w:w="1872" w:type="dxa"/>
            <w:vAlign w:val="center"/>
          </w:tcPr>
          <w:p w14:paraId="55D24FCC" w14:textId="77777777" w:rsidR="00890D8F" w:rsidRDefault="00000000" w:rsidP="00476676">
            <w:pPr>
              <w:spacing w:line="480" w:lineRule="auto"/>
              <w:jc w:val="both"/>
            </w:pPr>
            <w:r>
              <w:rPr>
                <w:b/>
                <w:sz w:val="22"/>
              </w:rPr>
              <w:t>Principle</w:t>
            </w:r>
          </w:p>
        </w:tc>
        <w:tc>
          <w:tcPr>
            <w:tcW w:w="1872" w:type="dxa"/>
            <w:vAlign w:val="center"/>
          </w:tcPr>
          <w:p w14:paraId="004C2D57" w14:textId="77777777" w:rsidR="00890D8F" w:rsidRDefault="00000000" w:rsidP="00476676">
            <w:pPr>
              <w:spacing w:line="480" w:lineRule="auto"/>
              <w:jc w:val="both"/>
            </w:pPr>
            <w:r>
              <w:rPr>
                <w:b/>
                <w:sz w:val="22"/>
              </w:rPr>
              <w:t>Borrower-facing implication</w:t>
            </w:r>
          </w:p>
        </w:tc>
        <w:tc>
          <w:tcPr>
            <w:tcW w:w="1872" w:type="dxa"/>
            <w:vAlign w:val="center"/>
          </w:tcPr>
          <w:p w14:paraId="0574091F" w14:textId="77777777" w:rsidR="00890D8F" w:rsidRDefault="00000000" w:rsidP="00476676">
            <w:pPr>
              <w:spacing w:line="480" w:lineRule="auto"/>
              <w:jc w:val="both"/>
            </w:pPr>
            <w:r>
              <w:rPr>
                <w:b/>
                <w:sz w:val="22"/>
              </w:rPr>
              <w:t>Potential evaluation</w:t>
            </w:r>
          </w:p>
        </w:tc>
      </w:tr>
      <w:tr w:rsidR="00890D8F" w14:paraId="6F33FC25" w14:textId="77777777">
        <w:trPr>
          <w:jc w:val="center"/>
        </w:trPr>
        <w:tc>
          <w:tcPr>
            <w:tcW w:w="1872" w:type="dxa"/>
            <w:vAlign w:val="center"/>
          </w:tcPr>
          <w:p w14:paraId="2F5CE3A7" w14:textId="77777777" w:rsidR="00890D8F" w:rsidRDefault="00000000" w:rsidP="00476676">
            <w:pPr>
              <w:spacing w:line="480" w:lineRule="auto"/>
              <w:jc w:val="both"/>
            </w:pPr>
            <w:r>
              <w:rPr>
                <w:sz w:val="22"/>
              </w:rPr>
              <w:t>Pramana</w:t>
            </w:r>
          </w:p>
        </w:tc>
        <w:tc>
          <w:tcPr>
            <w:tcW w:w="1872" w:type="dxa"/>
            <w:vAlign w:val="center"/>
          </w:tcPr>
          <w:p w14:paraId="19963C29" w14:textId="77777777" w:rsidR="00890D8F" w:rsidRDefault="00000000" w:rsidP="00476676">
            <w:pPr>
              <w:spacing w:line="480" w:lineRule="auto"/>
              <w:jc w:val="both"/>
            </w:pPr>
            <w:r>
              <w:rPr>
                <w:sz w:val="22"/>
              </w:rPr>
              <w:t>Where does the explanation come from?</w:t>
            </w:r>
          </w:p>
        </w:tc>
        <w:tc>
          <w:tcPr>
            <w:tcW w:w="1872" w:type="dxa"/>
            <w:vAlign w:val="center"/>
          </w:tcPr>
          <w:p w14:paraId="338EB71A" w14:textId="77777777" w:rsidR="00890D8F" w:rsidRDefault="00000000" w:rsidP="00476676">
            <w:pPr>
              <w:spacing w:line="480" w:lineRule="auto"/>
              <w:jc w:val="both"/>
            </w:pPr>
            <w:r>
              <w:rPr>
                <w:sz w:val="22"/>
              </w:rPr>
              <w:t>Epistemic grounding and provenance</w:t>
            </w:r>
          </w:p>
        </w:tc>
        <w:tc>
          <w:tcPr>
            <w:tcW w:w="1872" w:type="dxa"/>
            <w:vAlign w:val="center"/>
          </w:tcPr>
          <w:p w14:paraId="051341DB" w14:textId="77777777" w:rsidR="00890D8F" w:rsidRDefault="00000000" w:rsidP="00476676">
            <w:pPr>
              <w:spacing w:line="480" w:lineRule="auto"/>
              <w:jc w:val="both"/>
            </w:pPr>
            <w:r>
              <w:rPr>
                <w:sz w:val="22"/>
              </w:rPr>
              <w:t>Reasons traceable to verified model-derived attribution</w:t>
            </w:r>
          </w:p>
        </w:tc>
        <w:tc>
          <w:tcPr>
            <w:tcW w:w="1872" w:type="dxa"/>
            <w:vAlign w:val="center"/>
          </w:tcPr>
          <w:p w14:paraId="4ED22721" w14:textId="77777777" w:rsidR="00890D8F" w:rsidRDefault="00000000" w:rsidP="00476676">
            <w:pPr>
              <w:spacing w:line="480" w:lineRule="auto"/>
              <w:jc w:val="both"/>
            </w:pPr>
            <w:r>
              <w:rPr>
                <w:sz w:val="22"/>
              </w:rPr>
              <w:t>Attribution grounding; provenance; unsupported-reason rate</w:t>
            </w:r>
          </w:p>
        </w:tc>
      </w:tr>
      <w:tr w:rsidR="00890D8F" w14:paraId="15F88549" w14:textId="77777777">
        <w:trPr>
          <w:jc w:val="center"/>
        </w:trPr>
        <w:tc>
          <w:tcPr>
            <w:tcW w:w="1872" w:type="dxa"/>
            <w:vAlign w:val="center"/>
          </w:tcPr>
          <w:p w14:paraId="385D0B82" w14:textId="77777777" w:rsidR="00890D8F" w:rsidRDefault="00000000" w:rsidP="00476676">
            <w:pPr>
              <w:spacing w:line="480" w:lineRule="auto"/>
              <w:jc w:val="both"/>
            </w:pPr>
            <w:r>
              <w:rPr>
                <w:sz w:val="22"/>
              </w:rPr>
              <w:t>Nyaya</w:t>
            </w:r>
          </w:p>
        </w:tc>
        <w:tc>
          <w:tcPr>
            <w:tcW w:w="1872" w:type="dxa"/>
            <w:vAlign w:val="center"/>
          </w:tcPr>
          <w:p w14:paraId="648F3BA3" w14:textId="77777777" w:rsidR="00890D8F" w:rsidRDefault="00000000" w:rsidP="00476676">
            <w:pPr>
              <w:spacing w:line="480" w:lineRule="auto"/>
              <w:jc w:val="both"/>
            </w:pPr>
            <w:r>
              <w:rPr>
                <w:sz w:val="22"/>
              </w:rPr>
              <w:t>Does the explanation follow from its grounds?</w:t>
            </w:r>
          </w:p>
        </w:tc>
        <w:tc>
          <w:tcPr>
            <w:tcW w:w="1872" w:type="dxa"/>
            <w:vAlign w:val="center"/>
          </w:tcPr>
          <w:p w14:paraId="65EFCC02" w14:textId="77777777" w:rsidR="00890D8F" w:rsidRDefault="00000000" w:rsidP="00476676">
            <w:pPr>
              <w:spacing w:line="480" w:lineRule="auto"/>
              <w:jc w:val="both"/>
            </w:pPr>
            <w:r>
              <w:rPr>
                <w:sz w:val="22"/>
              </w:rPr>
              <w:t>Reasoning fidelity</w:t>
            </w:r>
          </w:p>
        </w:tc>
        <w:tc>
          <w:tcPr>
            <w:tcW w:w="1872" w:type="dxa"/>
            <w:vAlign w:val="center"/>
          </w:tcPr>
          <w:p w14:paraId="3B7242DE" w14:textId="77777777" w:rsidR="00890D8F" w:rsidRDefault="00000000" w:rsidP="00476676">
            <w:pPr>
              <w:spacing w:line="480" w:lineRule="auto"/>
              <w:jc w:val="both"/>
            </w:pPr>
            <w:r>
              <w:rPr>
                <w:sz w:val="22"/>
              </w:rPr>
              <w:t>Material relationship between evidence and decision preserved</w:t>
            </w:r>
          </w:p>
        </w:tc>
        <w:tc>
          <w:tcPr>
            <w:tcW w:w="1872" w:type="dxa"/>
            <w:vAlign w:val="center"/>
          </w:tcPr>
          <w:p w14:paraId="297C05D5" w14:textId="77777777" w:rsidR="00890D8F" w:rsidRDefault="00000000" w:rsidP="00476676">
            <w:pPr>
              <w:spacing w:line="480" w:lineRule="auto"/>
              <w:jc w:val="both"/>
            </w:pPr>
            <w:r>
              <w:rPr>
                <w:sz w:val="22"/>
              </w:rPr>
              <w:t>Feature overlap; sign consistency; Kendall's Tau/rank concordance; human fidelity</w:t>
            </w:r>
          </w:p>
        </w:tc>
      </w:tr>
      <w:tr w:rsidR="00890D8F" w14:paraId="3F805949" w14:textId="77777777">
        <w:trPr>
          <w:jc w:val="center"/>
        </w:trPr>
        <w:tc>
          <w:tcPr>
            <w:tcW w:w="1872" w:type="dxa"/>
            <w:vAlign w:val="center"/>
          </w:tcPr>
          <w:p w14:paraId="7A1E113D" w14:textId="77777777" w:rsidR="00890D8F" w:rsidRDefault="00000000" w:rsidP="00476676">
            <w:pPr>
              <w:spacing w:line="480" w:lineRule="auto"/>
              <w:jc w:val="both"/>
            </w:pPr>
            <w:r>
              <w:rPr>
                <w:sz w:val="22"/>
              </w:rPr>
              <w:lastRenderedPageBreak/>
              <w:t>Dharma</w:t>
            </w:r>
          </w:p>
        </w:tc>
        <w:tc>
          <w:tcPr>
            <w:tcW w:w="1872" w:type="dxa"/>
            <w:vAlign w:val="center"/>
          </w:tcPr>
          <w:p w14:paraId="6E885B8D" w14:textId="77777777" w:rsidR="00890D8F" w:rsidRDefault="00000000" w:rsidP="00476676">
            <w:pPr>
              <w:spacing w:line="480" w:lineRule="auto"/>
              <w:jc w:val="both"/>
            </w:pPr>
            <w:r>
              <w:rPr>
                <w:sz w:val="22"/>
              </w:rPr>
              <w:t>How should the decision be communicated?</w:t>
            </w:r>
          </w:p>
        </w:tc>
        <w:tc>
          <w:tcPr>
            <w:tcW w:w="1872" w:type="dxa"/>
            <w:vAlign w:val="center"/>
          </w:tcPr>
          <w:p w14:paraId="002D1CF3" w14:textId="77777777" w:rsidR="00890D8F" w:rsidRDefault="00000000" w:rsidP="00476676">
            <w:pPr>
              <w:spacing w:line="480" w:lineRule="auto"/>
              <w:jc w:val="both"/>
            </w:pPr>
            <w:r>
              <w:rPr>
                <w:sz w:val="22"/>
              </w:rPr>
              <w:t>Responsible, context-sensitive conduct</w:t>
            </w:r>
          </w:p>
        </w:tc>
        <w:tc>
          <w:tcPr>
            <w:tcW w:w="1872" w:type="dxa"/>
            <w:vAlign w:val="center"/>
          </w:tcPr>
          <w:p w14:paraId="5DBC38F8" w14:textId="77777777" w:rsidR="00890D8F" w:rsidRDefault="00000000" w:rsidP="00476676">
            <w:pPr>
              <w:spacing w:line="480" w:lineRule="auto"/>
              <w:jc w:val="both"/>
            </w:pPr>
            <w:r>
              <w:rPr>
                <w:sz w:val="22"/>
              </w:rPr>
              <w:t>Understandable, appropriate and responsibly framed communication</w:t>
            </w:r>
          </w:p>
        </w:tc>
        <w:tc>
          <w:tcPr>
            <w:tcW w:w="1872" w:type="dxa"/>
            <w:vAlign w:val="center"/>
          </w:tcPr>
          <w:p w14:paraId="18E25FC2" w14:textId="77777777" w:rsidR="00890D8F" w:rsidRDefault="00000000" w:rsidP="00476676">
            <w:pPr>
              <w:spacing w:line="480" w:lineRule="auto"/>
              <w:jc w:val="both"/>
            </w:pPr>
            <w:r>
              <w:rPr>
                <w:sz w:val="22"/>
              </w:rPr>
              <w:t>Comprehensibility; human assessment; regulatory checklist</w:t>
            </w:r>
          </w:p>
        </w:tc>
      </w:tr>
    </w:tbl>
    <w:p w14:paraId="39EE2E1F" w14:textId="77777777" w:rsidR="00890D8F" w:rsidRDefault="00000000" w:rsidP="00476676">
      <w:pPr>
        <w:spacing w:after="0" w:line="480" w:lineRule="auto"/>
        <w:jc w:val="both"/>
      </w:pPr>
      <w:r>
        <w:t>The architecture is intentionally modular. The predictive model is responsible for prediction; the attribution layer is responsible for structured model-derived evidence; the language layer is responsible for controlled translation; and the communication layer is subject to organizational and regulatory oversight. This separation is designed to reduce the risk that a generative component invents reasons that were not present in the verified attribution.</w:t>
      </w:r>
    </w:p>
    <w:p w14:paraId="016C249F" w14:textId="77777777" w:rsidR="00890D8F" w:rsidRDefault="00000000" w:rsidP="00476676">
      <w:pPr>
        <w:spacing w:after="0" w:line="480" w:lineRule="auto"/>
        <w:jc w:val="both"/>
      </w:pPr>
      <w:r>
        <w:t>The proposed use of a language model is therefore constrained: it should receive only authorized attribution information and a controlled explanation template or policy context. It should not be allowed to substitute its own unsupported rationale for the model-derived reasons. Even with such controls, the resulting explanation remains an empirical question; the architecture is designed to support faithfulness, not to prove it by construction.</w:t>
      </w:r>
    </w:p>
    <w:p w14:paraId="2CC59492" w14:textId="77777777" w:rsidR="00890D8F" w:rsidRDefault="00000000" w:rsidP="00476676">
      <w:pPr>
        <w:pStyle w:val="Heading1"/>
        <w:spacing w:before="0" w:line="480" w:lineRule="auto"/>
        <w:jc w:val="both"/>
      </w:pPr>
      <w:r>
        <w:rPr>
          <w:rFonts w:ascii="Times New Roman" w:hAnsi="Times New Roman"/>
        </w:rPr>
        <w:t>11. Operationalization for Future Empirical Testing</w:t>
      </w:r>
    </w:p>
    <w:p w14:paraId="32E17058" w14:textId="77777777" w:rsidR="00890D8F" w:rsidRDefault="00000000" w:rsidP="00476676">
      <w:pPr>
        <w:spacing w:after="0" w:line="480" w:lineRule="auto"/>
        <w:jc w:val="both"/>
      </w:pPr>
      <w:r>
        <w:t>The conceptual framework generates testable propositions for later doctoral research. First, epistemic grounding can be assessed by measuring whether borrower-facing claims correspond to the supplied model-derived attributions and whether their provenance can be traced. An unsupported-reason rate can quantify explanations containing reasons absent from the verified attribution set.</w:t>
      </w:r>
    </w:p>
    <w:p w14:paraId="0D9FB401" w14:textId="77777777" w:rsidR="00890D8F" w:rsidRDefault="00000000" w:rsidP="00476676">
      <w:pPr>
        <w:spacing w:after="0" w:line="480" w:lineRule="auto"/>
        <w:jc w:val="both"/>
      </w:pPr>
      <w:r>
        <w:t xml:space="preserve">Second, reasoning fidelity can be evaluated through multiple indicators rather than a single statistic. Feature overlap can assess whether salient features are retained; sign consistency can assess whether positive and negative contribution directions are preserved; Kendall's Tau or </w:t>
      </w:r>
      <w:r>
        <w:lastRenderedPageBreak/>
        <w:t>another rank-concordance measure can assess ordering similarity; and human fidelity assessment can test whether evaluators judge the explanation as consistent with the underlying evidence. Kendall's Tau alone should not be treated as proof of explanation faithfulness.</w:t>
      </w:r>
    </w:p>
    <w:p w14:paraId="42C945E5" w14:textId="77777777" w:rsidR="00890D8F" w:rsidRDefault="00000000" w:rsidP="00476676">
      <w:pPr>
        <w:spacing w:after="0" w:line="480" w:lineRule="auto"/>
        <w:jc w:val="both"/>
      </w:pPr>
      <w:r>
        <w:t>Third, Dharma-oriented responsible communication can be evaluated through comprehensibility, appropriateness and governance criteria. Human evaluation can assess whether borrowers or expert reviewers understand the explanation, whether the wording avoids misleading implications, and whether the explanation satisfies an appropriate regulatory and organizational checklist.</w:t>
      </w:r>
    </w:p>
    <w:p w14:paraId="3E8B34E0" w14:textId="77777777" w:rsidR="00890D8F" w:rsidRDefault="00000000" w:rsidP="00476676">
      <w:pPr>
        <w:spacing w:after="0" w:line="480" w:lineRule="auto"/>
        <w:jc w:val="both"/>
      </w:pPr>
      <w:r>
        <w:t>These measures can be evaluated in a controlled research environment using public or appropriately de-identified alternative-credit datasets and a locally deployed language-model configuration. The future empirical study can compare baseline explanation methods with the proposed controlled pipeline while testing attribution fidelity, language quality and governance-related outcomes.</w:t>
      </w:r>
    </w:p>
    <w:p w14:paraId="7D784CE3" w14:textId="77777777" w:rsidR="00890D8F" w:rsidRDefault="00000000" w:rsidP="00476676">
      <w:pPr>
        <w:pStyle w:val="Heading1"/>
        <w:spacing w:before="0" w:line="480" w:lineRule="auto"/>
        <w:jc w:val="both"/>
      </w:pPr>
      <w:r>
        <w:rPr>
          <w:rFonts w:ascii="Times New Roman" w:hAnsi="Times New Roman"/>
        </w:rPr>
        <w:t>12. Discussion</w:t>
      </w:r>
    </w:p>
    <w:p w14:paraId="0B2AA6AA" w14:textId="77777777" w:rsidR="00890D8F" w:rsidRDefault="00000000" w:rsidP="00476676">
      <w:pPr>
        <w:spacing w:after="0" w:line="480" w:lineRule="auto"/>
        <w:jc w:val="both"/>
      </w:pPr>
      <w:r>
        <w:t>The principal theoretical contribution is the disciplined use of three IKS concepts to structure a contemporary explainability problem. Pramana contributes an epistemic question about the warrant and provenance of explanatory claims. Nyaya contributes a reasoning question about whether the explanation faithfully connects grounds to conclusion. Dharma contributes a normative question about responsible conduct and communication. Together, they convert the general idea of 'responsible explanation' into three distinguishable requirements.</w:t>
      </w:r>
    </w:p>
    <w:p w14:paraId="7E488785" w14:textId="77777777" w:rsidR="00890D8F" w:rsidRDefault="00000000" w:rsidP="00476676">
      <w:pPr>
        <w:spacing w:after="0" w:line="480" w:lineRule="auto"/>
        <w:jc w:val="both"/>
      </w:pPr>
      <w:r>
        <w:t xml:space="preserve">For AI and machine-learning research, the framework emphasizes the separation between predictive inference, post-hoc attribution and generative narration. This separation is important because a language model can generate a coherent explanation without being the source of the </w:t>
      </w:r>
      <w:r>
        <w:lastRenderedPageBreak/>
        <w:t>underlying credit decision. For management and commerce research, the same separation clarifies organizational accountability: different stages can be governed, validated and audited by different roles.</w:t>
      </w:r>
    </w:p>
    <w:p w14:paraId="3F83E942" w14:textId="77777777" w:rsidR="00890D8F" w:rsidRDefault="00000000" w:rsidP="00476676">
      <w:pPr>
        <w:spacing w:after="0" w:line="480" w:lineRule="auto"/>
        <w:jc w:val="both"/>
      </w:pPr>
      <w:r>
        <w:t>The framework also has relevance to the broader objective of Viksit Bharat by linking digital financial scale with responsible institutional practice. A mature digital-finance ecosystem requires not only fast automated decisions but also processes through which affected individuals can receive understandable and appropriately grounded communication. The proposed framework offers a conceptual basis for connecting technical explainability with ethical leadership and responsible financial management.</w:t>
      </w:r>
    </w:p>
    <w:p w14:paraId="42987134" w14:textId="77777777" w:rsidR="00890D8F" w:rsidRDefault="00000000" w:rsidP="00476676">
      <w:pPr>
        <w:pStyle w:val="Heading1"/>
        <w:spacing w:before="0" w:line="480" w:lineRule="auto"/>
        <w:jc w:val="both"/>
      </w:pPr>
      <w:r>
        <w:rPr>
          <w:rFonts w:ascii="Times New Roman" w:hAnsi="Times New Roman"/>
        </w:rPr>
        <w:t>13. Limitations</w:t>
      </w:r>
    </w:p>
    <w:p w14:paraId="6D3BA4C4" w14:textId="77777777" w:rsidR="00890D8F" w:rsidRDefault="00000000" w:rsidP="00476676">
      <w:pPr>
        <w:spacing w:after="0" w:line="480" w:lineRule="auto"/>
        <w:jc w:val="both"/>
      </w:pPr>
      <w:r>
        <w:t>This paper is conceptual and does not report empirical validation. The proposed mapping between IKS concepts and contemporary AI-explainability requirements is interpretive and should not be presented as a claim that modern AI components are direct equivalents of classical Indian philosophical concepts.</w:t>
      </w:r>
    </w:p>
    <w:p w14:paraId="242CDAFB" w14:textId="77777777" w:rsidR="00890D8F" w:rsidRDefault="00000000" w:rsidP="00476676">
      <w:pPr>
        <w:spacing w:after="0" w:line="480" w:lineRule="auto"/>
        <w:jc w:val="both"/>
      </w:pPr>
      <w:r>
        <w:t>SHAP is a post-hoc attribution mechanism rather than a causal account of why a borrower was denied credit. Likewise, the controlled LLM component is not assumed to be faithful merely because it is grounded on SHAP values. These properties require empirical evaluation.</w:t>
      </w:r>
    </w:p>
    <w:p w14:paraId="67D998B0" w14:textId="77777777" w:rsidR="00890D8F" w:rsidRDefault="00000000" w:rsidP="00476676">
      <w:pPr>
        <w:spacing w:after="0" w:line="480" w:lineRule="auto"/>
        <w:jc w:val="both"/>
      </w:pPr>
      <w:r>
        <w:t>The paper also does not make a legal conclusion that the proposed architecture is RBI-compliant. The regulatory discussion is contextual and identifies governance requirements that future research should translate into an explicit assessment framework. Further work is needed to examine real borrower comprehension, fairness, privacy, institutional accountability and performance across different credit models and borrower populations.</w:t>
      </w:r>
    </w:p>
    <w:p w14:paraId="21C3790C" w14:textId="77777777" w:rsidR="00890D8F" w:rsidRDefault="00000000" w:rsidP="00476676">
      <w:pPr>
        <w:pStyle w:val="Heading1"/>
        <w:spacing w:before="0" w:line="480" w:lineRule="auto"/>
        <w:jc w:val="both"/>
      </w:pPr>
      <w:r>
        <w:rPr>
          <w:rFonts w:ascii="Times New Roman" w:hAnsi="Times New Roman"/>
        </w:rPr>
        <w:lastRenderedPageBreak/>
        <w:t>14. Conclusion</w:t>
      </w:r>
    </w:p>
    <w:p w14:paraId="6307846B" w14:textId="77777777" w:rsidR="00890D8F" w:rsidRDefault="00000000" w:rsidP="00476676">
      <w:pPr>
        <w:spacing w:after="0" w:line="480" w:lineRule="auto"/>
        <w:jc w:val="both"/>
      </w:pPr>
      <w:r>
        <w:t>This paper proposes an IKS-informed framework for responsible explainability in digital lending by integrating Pramana, Nyaya and Dharma with contemporary XAI and controlled natural-language generation. The framework distinguishes three requirements: epistemic grounding of model-derived evidence, reasoning fidelity between evidence and decision, and responsible communication of consequential decisions.</w:t>
      </w:r>
    </w:p>
    <w:p w14:paraId="326FEC84" w14:textId="77777777" w:rsidR="00890D8F" w:rsidRDefault="00000000" w:rsidP="00476676">
      <w:pPr>
        <w:spacing w:after="0" w:line="480" w:lineRule="auto"/>
        <w:jc w:val="both"/>
      </w:pPr>
      <w:r>
        <w:t>The framework's contribution is not a claim that classical concepts can be directly implemented as algorithms. Instead, Pramana, Nyaya and Dharma are used as analytical lenses that sharpen how a modern credit-explanation pipeline should be designed and governed. The resulting architecture separates the predictive model, SHAP-based attribution, controlled narrative generation and borrower communication.</w:t>
      </w:r>
    </w:p>
    <w:p w14:paraId="0AD15029" w14:textId="77777777" w:rsidR="00890D8F" w:rsidRDefault="00000000" w:rsidP="00476676">
      <w:pPr>
        <w:spacing w:after="0" w:line="480" w:lineRule="auto"/>
        <w:jc w:val="both"/>
      </w:pPr>
      <w:r>
        <w:t>For Track 3, the framework positions responsible explainability as a management, commerce and ethical-leadership capability in digital finance. It connects technical system design with organizational accountability, customer communication and regulatory responsibility. Future empirical work can test the framework using attribution grounding, feature overlap, sign consistency, rank concordance, unsupported-reason rate, human fidelity, comprehensibility and regulatory assessment. In this way, the conceptual contribution can become a measurable research program for responsible digital finance aligned with the broader vision of Viksit Bharat.</w:t>
      </w:r>
    </w:p>
    <w:p w14:paraId="1AFCDDF5" w14:textId="77777777" w:rsidR="00890D8F" w:rsidRDefault="00000000" w:rsidP="00476676">
      <w:pPr>
        <w:pStyle w:val="Heading1"/>
        <w:spacing w:before="0" w:line="480" w:lineRule="auto"/>
        <w:jc w:val="both"/>
      </w:pPr>
      <w:r>
        <w:rPr>
          <w:rFonts w:ascii="Times New Roman" w:hAnsi="Times New Roman"/>
        </w:rPr>
        <w:t>References</w:t>
      </w:r>
    </w:p>
    <w:p w14:paraId="71DBC828" w14:textId="77777777" w:rsidR="00890D8F" w:rsidRDefault="00000000" w:rsidP="000A78AA">
      <w:pPr>
        <w:spacing w:after="0" w:line="480" w:lineRule="auto"/>
      </w:pPr>
      <w:r>
        <w:t>Arrieta, A. B.,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w:t>
      </w:r>
    </w:p>
    <w:p w14:paraId="179AA3AA" w14:textId="77777777" w:rsidR="00890D8F" w:rsidRDefault="00000000" w:rsidP="000A78AA">
      <w:pPr>
        <w:spacing w:after="0" w:line="480" w:lineRule="auto"/>
      </w:pPr>
      <w:r>
        <w:lastRenderedPageBreak/>
        <w:t>Černevičienė, J., &amp; Kabašinskas, A. (2024). Explainable artificial intelligence (XAI) in finance: A systematic literature review. Artificial Intelligence Review, 57, 216. https://doi.org/10.1007/s10462-024-10854-8</w:t>
      </w:r>
    </w:p>
    <w:p w14:paraId="2285716C" w14:textId="77777777" w:rsidR="00890D8F" w:rsidRDefault="00000000" w:rsidP="000A78AA">
      <w:pPr>
        <w:spacing w:after="0" w:line="480" w:lineRule="auto"/>
      </w:pPr>
      <w:r>
        <w:t>Dasti, M. R., &amp; Phillips, S. H. (2017). The Nyāya-sūtra: Selections with early commentaries. Hackett Publishing.</w:t>
      </w:r>
    </w:p>
    <w:p w14:paraId="745D0CB4" w14:textId="77777777" w:rsidR="00890D8F" w:rsidRDefault="00000000" w:rsidP="000A78AA">
      <w:pPr>
        <w:spacing w:after="0" w:line="480" w:lineRule="auto"/>
      </w:pPr>
      <w:r>
        <w:t>Doshi-Velez, F., &amp; Kim, B. (2017). Towards a rigorous science of interpretable machine learning. arXiv:1702.08608. https://doi.org/10.48550/arXiv.1702.08608</w:t>
      </w:r>
    </w:p>
    <w:p w14:paraId="30BD58BE" w14:textId="77777777" w:rsidR="00890D8F" w:rsidRDefault="00000000" w:rsidP="000A78AA">
      <w:pPr>
        <w:spacing w:after="0" w:line="480" w:lineRule="auto"/>
      </w:pPr>
      <w:r>
        <w:t>Ganeri, J. (2024). Epistemology in classical Indian philosophy. In E. N. Zalta &amp; U. Nodelman (Eds.), The Stanford Encyclopedia of Philosophy. Stanford University. https://plato.stanford.edu/entries/epistemology-india/</w:t>
      </w:r>
    </w:p>
    <w:p w14:paraId="6B023488" w14:textId="77777777" w:rsidR="00890D8F" w:rsidRDefault="00000000" w:rsidP="000A78AA">
      <w:pPr>
        <w:spacing w:after="0" w:line="480" w:lineRule="auto"/>
      </w:pPr>
      <w:r>
        <w:t>Geng, W., Liu, D., Li, L., &amp; Wang, Y. (2026). Could large language models work as post-hoc explainability tools in credit risk models? arXiv:2602.18895. https://arxiv.org/abs/2602.18895</w:t>
      </w:r>
    </w:p>
    <w:p w14:paraId="4EA6387F" w14:textId="77777777" w:rsidR="00890D8F" w:rsidRDefault="00000000" w:rsidP="000A78AA">
      <w:pPr>
        <w:spacing w:after="0" w:line="480" w:lineRule="auto"/>
      </w:pPr>
      <w:r>
        <w:t>Gramegna, A., &amp; Giudici, P. (2021). SHAP and LIME: An evaluation of discriminative power in credit risk. Frontiers in Artificial Intelligence, 4, 752558. https://doi.org/10.3389/frai.2021.752558</w:t>
      </w:r>
    </w:p>
    <w:p w14:paraId="59D239F9" w14:textId="77777777" w:rsidR="00890D8F" w:rsidRDefault="00000000" w:rsidP="000A78AA">
      <w:pPr>
        <w:spacing w:after="0" w:line="480" w:lineRule="auto"/>
      </w:pPr>
      <w:r>
        <w:t>Guidotti, R., Monreale, A., Ruggieri, S., Turini, F., Giannotti, F., &amp; Pedreschi, D. (2018). A survey of methods for explaining black box models. ACM Computing Surveys, 51(5), Article 93. https://doi.org/10.1145/3236009</w:t>
      </w:r>
    </w:p>
    <w:p w14:paraId="7106FD7D" w14:textId="77777777" w:rsidR="00890D8F" w:rsidRDefault="00000000" w:rsidP="000A78AA">
      <w:pPr>
        <w:spacing w:after="0" w:line="480" w:lineRule="auto"/>
      </w:pPr>
      <w:r>
        <w:t>Lipton, Z. C. (2018). The mythos of model interpretability. ACM Queue, 16(3). https://doi.org/10.1145/3236386.3241340</w:t>
      </w:r>
    </w:p>
    <w:p w14:paraId="3437A42A" w14:textId="77777777" w:rsidR="00890D8F" w:rsidRDefault="00000000" w:rsidP="000A78AA">
      <w:pPr>
        <w:spacing w:after="0" w:line="480" w:lineRule="auto"/>
      </w:pPr>
      <w:r>
        <w:t>Lundberg, S. M., &amp; Lee, S.-I. (2017). A unified approach to interpreting model predictions. Advances in Neural Information Processing Systems 30, 4765–4774.</w:t>
      </w:r>
    </w:p>
    <w:p w14:paraId="55A1AD8F" w14:textId="77777777" w:rsidR="00890D8F" w:rsidRDefault="00000000" w:rsidP="000A78AA">
      <w:pPr>
        <w:spacing w:after="0" w:line="480" w:lineRule="auto"/>
      </w:pPr>
      <w:r>
        <w:lastRenderedPageBreak/>
        <w:t>Lyu, Q., Apidianaki, M., &amp; Callison-Burch, C. (2024). Towards faithful model explanation in NLP: A survey. Computational Linguistics, 50(2), 657–723. https://doi.org/10.1162/coli_a_00511</w:t>
      </w:r>
    </w:p>
    <w:p w14:paraId="368C19AC" w14:textId="77777777" w:rsidR="00890D8F" w:rsidRDefault="00000000" w:rsidP="000A78AA">
      <w:pPr>
        <w:spacing w:after="0" w:line="480" w:lineRule="auto"/>
      </w:pPr>
      <w:r>
        <w:t>Nadkarni, M. V. (2011). Ethics in Hinduism. In Ethics for Our Times: Essays in Gandhian Perspective (pp. 211–240). Oxford University Press. https://doi.org/10.1093/acprof:oso/9780198073864.003.0010</w:t>
      </w:r>
    </w:p>
    <w:p w14:paraId="37C1A357" w14:textId="77777777" w:rsidR="00890D8F" w:rsidRDefault="00000000" w:rsidP="000A78AA">
      <w:pPr>
        <w:spacing w:after="0" w:line="480" w:lineRule="auto"/>
      </w:pPr>
      <w:r>
        <w:t>Ratzan, J., &amp; Rahman, N. (2024). Measuring responsible artificial intelligence (RAI) in banking: A valid and reliable instrument. AI and Ethics, 4, 1279–1297. https://doi.org/10.1007/s43681-023-00321-5</w:t>
      </w:r>
    </w:p>
    <w:p w14:paraId="1AA421DD" w14:textId="77777777" w:rsidR="00890D8F" w:rsidRDefault="00000000" w:rsidP="000A78AA">
      <w:pPr>
        <w:spacing w:after="0" w:line="480" w:lineRule="auto"/>
      </w:pPr>
      <w:r>
        <w:t>Reserve Bank of India. (2006). Guidelines on fair practices code for NBFCs (Circular RBI/2006-07/138 DNBS(PD) CC No.80/03.10.042/2005-06).</w:t>
      </w:r>
    </w:p>
    <w:p w14:paraId="25B3EC49" w14:textId="77777777" w:rsidR="00890D8F" w:rsidRDefault="00000000" w:rsidP="000A78AA">
      <w:pPr>
        <w:spacing w:after="0" w:line="480" w:lineRule="auto"/>
      </w:pPr>
      <w:r>
        <w:t>Reserve Bank of India. (2025). Reserve Bank of India (Digital Lending) Directions, 2025 (RBI/2025-26/36, DOR.STR.REC.19/21.07.001/2025-26).</w:t>
      </w:r>
    </w:p>
    <w:p w14:paraId="027C6D90" w14:textId="77777777" w:rsidR="00890D8F" w:rsidRDefault="00000000" w:rsidP="000A78AA">
      <w:pPr>
        <w:spacing w:after="0" w:line="480" w:lineRule="auto"/>
      </w:pPr>
      <w:r>
        <w:t>Ribeiro, M. T., Singh, S., &amp; Guestrin, C. (2016). “Why should I trust you?”: Explaining the predictions of any classifier. Proceedings of the 22nd ACM SIGKDD International Conference on Knowledge Discovery and Data Mining, 1135–1144. https://doi.org/10.1145/2939672.2939778</w:t>
      </w:r>
    </w:p>
    <w:p w14:paraId="7A83D3E6" w14:textId="77777777" w:rsidR="00890D8F" w:rsidRDefault="00000000" w:rsidP="000A78AA">
      <w:pPr>
        <w:spacing w:after="0" w:line="480" w:lineRule="auto"/>
      </w:pPr>
      <w:r>
        <w:t>Sharma, A. (2005). Dharma. In Modern Hindu Thought: An Introduction (pp. 89–105). Oxford University Press. https://doi.org/10.1093/acprof:oso/9780195676389.003.0013</w:t>
      </w:r>
    </w:p>
    <w:p w14:paraId="2E650D4D" w14:textId="77777777" w:rsidR="00890D8F" w:rsidRDefault="00000000" w:rsidP="000A78AA">
      <w:pPr>
        <w:spacing w:after="0" w:line="480" w:lineRule="auto"/>
      </w:pPr>
      <w:r>
        <w:t>Weber, P., Carl, K. V., &amp; Hinz, O. (2024). Applications of Explainable Artificial Intelligence in Finance—a systematic review of Finance, Information Systems, and Computer Science literature. Management Review Quarterly, 74, 867–907. https://doi.org/10.1007/s11301-023-00320-0</w:t>
      </w:r>
    </w:p>
    <w:sectPr w:rsidR="00890D8F"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7FE34B" w14:textId="77777777" w:rsidR="00DE1453" w:rsidRDefault="00DE1453">
      <w:pPr>
        <w:spacing w:after="0" w:line="240" w:lineRule="auto"/>
      </w:pPr>
      <w:r>
        <w:separator/>
      </w:r>
    </w:p>
  </w:endnote>
  <w:endnote w:type="continuationSeparator" w:id="0">
    <w:p w14:paraId="60BCBBE2" w14:textId="77777777" w:rsidR="00DE1453" w:rsidRDefault="00DE14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50E67" w14:textId="77777777" w:rsidR="00890D8F" w:rsidRDefault="00000000">
    <w:pPr>
      <w:pStyle w:val="Footer"/>
      <w:spacing w:line="480" w:lineRule="auto"/>
      <w:jc w:val="center"/>
    </w:pPr>
    <w:r>
      <w:fldChar w:fldCharType="begin"/>
    </w:r>
    <w:r>
      <w:instrText xml:space="preserve"> PAGE </w:instrText>
    </w:r>
    <w:r>
      <w:fldChar w:fldCharType="separate"/>
    </w:r>
    <w:r w:rsidR="0047667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9210CD" w14:textId="77777777" w:rsidR="00DE1453" w:rsidRDefault="00DE1453">
      <w:pPr>
        <w:spacing w:after="0" w:line="240" w:lineRule="auto"/>
      </w:pPr>
      <w:r>
        <w:separator/>
      </w:r>
    </w:p>
  </w:footnote>
  <w:footnote w:type="continuationSeparator" w:id="0">
    <w:p w14:paraId="43C949B2" w14:textId="77777777" w:rsidR="00DE1453" w:rsidRDefault="00DE145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6793004">
    <w:abstractNumId w:val="8"/>
  </w:num>
  <w:num w:numId="2" w16cid:durableId="1846824971">
    <w:abstractNumId w:val="6"/>
  </w:num>
  <w:num w:numId="3" w16cid:durableId="938638858">
    <w:abstractNumId w:val="5"/>
  </w:num>
  <w:num w:numId="4" w16cid:durableId="655687855">
    <w:abstractNumId w:val="4"/>
  </w:num>
  <w:num w:numId="5" w16cid:durableId="1467621239">
    <w:abstractNumId w:val="7"/>
  </w:num>
  <w:num w:numId="6" w16cid:durableId="1242836999">
    <w:abstractNumId w:val="3"/>
  </w:num>
  <w:num w:numId="7" w16cid:durableId="140116653">
    <w:abstractNumId w:val="2"/>
  </w:num>
  <w:num w:numId="8" w16cid:durableId="1530796280">
    <w:abstractNumId w:val="1"/>
  </w:num>
  <w:num w:numId="9" w16cid:durableId="1314024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78AA"/>
    <w:rsid w:val="0015074B"/>
    <w:rsid w:val="0029639D"/>
    <w:rsid w:val="00326F90"/>
    <w:rsid w:val="004608BE"/>
    <w:rsid w:val="00476676"/>
    <w:rsid w:val="00485999"/>
    <w:rsid w:val="004D64C5"/>
    <w:rsid w:val="005626D6"/>
    <w:rsid w:val="00890D8F"/>
    <w:rsid w:val="00AA1D8D"/>
    <w:rsid w:val="00B47730"/>
    <w:rsid w:val="00B7680E"/>
    <w:rsid w:val="00CB0664"/>
    <w:rsid w:val="00D1107A"/>
    <w:rsid w:val="00DE1453"/>
    <w:rsid w:val="00DF48EF"/>
    <w:rsid w:val="00FC693F"/>
    <w:rsid w:val="00FD604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3DE41F"/>
  <w14:defaultImageDpi w14:val="300"/>
  <w15:docId w15:val="{7B362032-3658-4F8A-BA63-AF2F888EDB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
    <w:name w:val="Meta"/>
    <w:rPr>
      <w:rFonts w:ascii="Times New Roman" w:eastAsia="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185</TotalTime>
  <Pages>18</Pages>
  <Words>4762</Words>
  <Characters>27145</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Conference Paper</vt:lpstr>
    </vt:vector>
  </TitlesOfParts>
  <Manager/>
  <Company/>
  <LinksUpToDate>false</LinksUpToDate>
  <CharactersWithSpaces>31844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Conference Paper</dc:title>
  <dc:subject>XAI</dc:subject>
  <dc:creator>Jaiprakash Prajapati</dc:creator>
  <cp:keywords/>
  <cp:lastModifiedBy>Jaiprakash Prajapati</cp:lastModifiedBy>
  <cp:revision>8</cp:revision>
  <dcterms:created xsi:type="dcterms:W3CDTF">2013-12-23T23:15:00Z</dcterms:created>
  <dcterms:modified xsi:type="dcterms:W3CDTF">2026-09-17T06:53:00Z</dcterms:modified>
  <cp:category/>
</cp:coreProperties>
</file>