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2F8B2" w14:textId="77777777" w:rsidR="00F1148E" w:rsidRDefault="00000000" w:rsidP="003A1607">
      <w:pPr>
        <w:jc w:val="both"/>
      </w:pPr>
      <w:r>
        <w:rPr>
          <w:b/>
          <w:sz w:val="34"/>
        </w:rPr>
        <w:t>RESPONSIBLE DIGITAL FINANCE FOR VIKSIT BHARAT:</w:t>
      </w:r>
    </w:p>
    <w:p w14:paraId="03DB9DAF" w14:textId="77777777" w:rsidR="00F1148E" w:rsidRDefault="00000000" w:rsidP="003A1607">
      <w:pPr>
        <w:jc w:val="both"/>
      </w:pPr>
      <w:r>
        <w:rPr>
          <w:b/>
          <w:sz w:val="28"/>
        </w:rPr>
        <w:t>An IKS-Informed Framework for Transforming Black-Box Credit Scoring into Responsible Borrower Explanations</w:t>
      </w:r>
    </w:p>
    <w:p w14:paraId="1B3CEDF6" w14:textId="3C235640" w:rsidR="00F1148E" w:rsidRDefault="00000000" w:rsidP="003A1607">
      <w:pPr>
        <w:jc w:val="both"/>
      </w:pPr>
      <w:r>
        <w:rPr>
          <w:i/>
          <w:sz w:val="24"/>
        </w:rPr>
        <w:t xml:space="preserve">Integrating </w:t>
      </w:r>
      <w:r w:rsidR="00D6271A">
        <w:rPr>
          <w:i/>
          <w:sz w:val="24"/>
        </w:rPr>
        <w:t>Pramana</w:t>
      </w:r>
      <w:r>
        <w:rPr>
          <w:i/>
          <w:sz w:val="24"/>
        </w:rPr>
        <w:t xml:space="preserve">, </w:t>
      </w:r>
      <w:r w:rsidR="00D6271A">
        <w:rPr>
          <w:i/>
          <w:sz w:val="24"/>
        </w:rPr>
        <w:t>Nyaya</w:t>
      </w:r>
      <w:r>
        <w:rPr>
          <w:i/>
          <w:sz w:val="24"/>
        </w:rPr>
        <w:t xml:space="preserve"> and Dharma with Explainable AI in Digital Lending</w:t>
      </w:r>
    </w:p>
    <w:p w14:paraId="0B81B05D" w14:textId="77777777" w:rsidR="00F1148E" w:rsidRDefault="00F1148E" w:rsidP="003A1607">
      <w:pPr>
        <w:jc w:val="both"/>
      </w:pPr>
    </w:p>
    <w:p w14:paraId="0957A9E5" w14:textId="77777777" w:rsidR="00F1148E" w:rsidRDefault="00000000" w:rsidP="003A1607">
      <w:pPr>
        <w:jc w:val="both"/>
      </w:pPr>
      <w:r>
        <w:rPr>
          <w:b/>
        </w:rPr>
        <w:t>Conceptual Conference Paper</w:t>
      </w:r>
    </w:p>
    <w:p w14:paraId="031D5BF6" w14:textId="77777777" w:rsidR="00F1148E" w:rsidRDefault="00000000" w:rsidP="003A1607">
      <w:pPr>
        <w:jc w:val="both"/>
      </w:pPr>
      <w:r>
        <w:rPr>
          <w:sz w:val="20"/>
        </w:rPr>
        <w:t>International Conference on Indian Knowledge Systems: Transforming Education, Research, Innovation and Sustainable Development for Viksit Bharat 2047</w:t>
      </w:r>
    </w:p>
    <w:p w14:paraId="185D8E76" w14:textId="52A2CE72" w:rsidR="00F1148E" w:rsidRDefault="00000000" w:rsidP="003A1607">
      <w:pPr>
        <w:jc w:val="both"/>
      </w:pPr>
      <w:r>
        <w:rPr>
          <w:sz w:val="20"/>
        </w:rPr>
        <w:t xml:space="preserve">Track 3: Management, Commerce &amp; Hotel Management </w:t>
      </w:r>
      <w:r w:rsidR="00530386">
        <w:rPr>
          <w:sz w:val="20"/>
        </w:rPr>
        <w:t>-</w:t>
      </w:r>
      <w:r>
        <w:rPr>
          <w:sz w:val="20"/>
        </w:rPr>
        <w:t xml:space="preserve"> Indian Knowledge Systems in Business, Commerce and Ethical Leadership</w:t>
      </w:r>
    </w:p>
    <w:p w14:paraId="582F1125" w14:textId="77777777" w:rsidR="00F1148E" w:rsidRDefault="00000000" w:rsidP="003A1607">
      <w:pPr>
        <w:jc w:val="both"/>
      </w:pPr>
      <w:r>
        <w:br w:type="page"/>
      </w:r>
    </w:p>
    <w:p w14:paraId="20B1A5D7" w14:textId="77777777" w:rsidR="00F1148E" w:rsidRDefault="00000000" w:rsidP="003A1607">
      <w:pPr>
        <w:pStyle w:val="Heading1"/>
        <w:jc w:val="both"/>
      </w:pPr>
      <w:r>
        <w:lastRenderedPageBreak/>
        <w:t>Abstract</w:t>
      </w:r>
    </w:p>
    <w:p w14:paraId="069DFDB1" w14:textId="77777777" w:rsidR="00E54DE4" w:rsidRDefault="00E54DE4" w:rsidP="00E54DE4">
      <w:pPr>
        <w:jc w:val="both"/>
      </w:pPr>
      <w:r>
        <w:t>Digital lending is transforming credit access, yet the decision-making process often remains opaque to borrowers. Financial institutions progressively use advanced machine-learning models to expedite loan evaluations; however, these systems typically fail to provide explanations comprehensible to the general public. Although methods such as Explainable Artificial Intelligence (XAI) and SHAP provide technical insight into the factors influencing decisions, the resulting explanations are often limited to numerical outputs or technical terminology that is not meaningful to most borrowers.</w:t>
      </w:r>
    </w:p>
    <w:p w14:paraId="64FF8F17" w14:textId="77777777" w:rsidR="00E54DE4" w:rsidRDefault="00E54DE4" w:rsidP="00E54DE4">
      <w:pPr>
        <w:jc w:val="both"/>
      </w:pPr>
      <w:r>
        <w:t>This paper describes an approach informed by Indian Knowledge Systems (IKS), integrating the principles of Pramana (valid knowledge), Nyaya (reasoning), and Dharma (responsible conduct) to enhance the clarity and justice of digital lending. Pramana confirms each explanation is grounded in verified, reliable information. Nyaya stresses a clear link between the rationale for a credit decision and its outcome, ensuring all relevant factors are accurately represented. Dharma signals the importance of explanations that are clear, respectful, and consistent with the financial system's ethical standards and regulatory systems.</w:t>
      </w:r>
    </w:p>
    <w:p w14:paraId="1896A9AE" w14:textId="77777777" w:rsidR="00E54DE4" w:rsidRDefault="00E54DE4" w:rsidP="00E54DE4">
      <w:pPr>
        <w:jc w:val="both"/>
      </w:pPr>
      <w:r>
        <w:t>Through integrating these principles, the paper proposes a three-step process: grounding explanations in strong evidence, securing clear, accurate reasoning, and communicating responsibly. The framework advocates using technology to generate decisions and technical evidence, complemented by controlled language tools that translate this evidence into borrower-accessible explanations. Rather than asserting the sufficiency of current tools such as SHAP or large language models, this approach lays the basis for future research to ensure explanations are accurate, comprehensible, and genuinely beneficial for borrowers. The overarching objective is to embed responsible and transparent explanations within digital financial services, thereby supporting skilled management and ethical leadership in the context of a developed India (Viksit Bharat).</w:t>
      </w:r>
    </w:p>
    <w:p w14:paraId="13C184DF" w14:textId="5C8FED7D" w:rsidR="00F1148E" w:rsidRDefault="00000000" w:rsidP="00E54DE4">
      <w:pPr>
        <w:jc w:val="both"/>
      </w:pPr>
      <w:r>
        <w:rPr>
          <w:i/>
        </w:rPr>
        <w:t xml:space="preserve">Keywords: Indian Knowledge Systems; </w:t>
      </w:r>
      <w:r w:rsidR="00D6271A">
        <w:rPr>
          <w:i/>
        </w:rPr>
        <w:t>Pramana</w:t>
      </w:r>
      <w:r>
        <w:rPr>
          <w:i/>
        </w:rPr>
        <w:t xml:space="preserve">; </w:t>
      </w:r>
      <w:r w:rsidR="00D6271A">
        <w:rPr>
          <w:i/>
        </w:rPr>
        <w:t>Nyaya</w:t>
      </w:r>
      <w:r>
        <w:rPr>
          <w:i/>
        </w:rPr>
        <w:t>; Dharma; Explainable Artificial Intelligence; SHAP; Responsible AI; Digital Lending; Credit Scoring; Borrower Transparency</w:t>
      </w:r>
    </w:p>
    <w:p w14:paraId="02131BEF" w14:textId="77777777" w:rsidR="00F1148E" w:rsidRDefault="00000000" w:rsidP="003A1607">
      <w:pPr>
        <w:pStyle w:val="Heading1"/>
        <w:jc w:val="both"/>
      </w:pPr>
      <w:r>
        <w:t>1. Introduction</w:t>
      </w:r>
    </w:p>
    <w:p w14:paraId="322346CA" w14:textId="77777777" w:rsidR="00F1148E" w:rsidRDefault="00000000" w:rsidP="003A1607">
      <w:pPr>
        <w:jc w:val="both"/>
      </w:pPr>
      <w:r>
        <w:t>Digital lending has changed the operational logic of credit assessment. Increasingly automated systems can process large volumes of applicant information and generate risk classifications without the sequential manual review associated with traditional underwriting. The doctoral research on which this paper is based focuses on AI-enabled underwriting and alternative credit assessment in the Indian BFSI context. It identifies a corresponding challenge: as predictive systems become more complex, the explanation of an individual adverse decision becomes more difficult to communicate to the borrower.</w:t>
      </w:r>
    </w:p>
    <w:p w14:paraId="0E5F783F" w14:textId="528EADDA" w:rsidR="00F1148E" w:rsidRDefault="00000000" w:rsidP="003A1607">
      <w:pPr>
        <w:jc w:val="both"/>
      </w:pPr>
      <w:r>
        <w:t>Complex models such as gradient-boosting ensembles can achieve strong predictive performance while distributing decision logic across many interacting variables. This creates a familiar tension between predictive performance and interpretability. The XAI literature has developed a large body of post-hoc methods for this problem, but it also cautions that interpretability is not a single property and that the intended audience and purpose of an explanation matter (Doshi-Velez &amp; Kim, 2017; Lipton, 2018; Arrieta et al., 2020). In finance, the problem is especially consequential because AI-supported decisions operate in a regulated and trust-sensitive environment. Systematic reviews show that credit management is a major application area for XAI in finance and that SHAP and feature-importance methods are widely used (</w:t>
      </w:r>
      <w:r w:rsidR="00B706C1">
        <w:t>C</w:t>
      </w:r>
      <w:r>
        <w:t>ernevi</w:t>
      </w:r>
      <w:r w:rsidR="00B706C1">
        <w:t>c</w:t>
      </w:r>
      <w:r>
        <w:t>ien</w:t>
      </w:r>
      <w:r w:rsidR="00B706C1">
        <w:t>e</w:t>
      </w:r>
      <w:r>
        <w:t xml:space="preserve"> &amp; Kaba</w:t>
      </w:r>
      <w:r w:rsidR="00B706C1">
        <w:t>s</w:t>
      </w:r>
      <w:r>
        <w:t>inskas, 2024; Weber et al., 2024).</w:t>
      </w:r>
    </w:p>
    <w:p w14:paraId="7F94D097" w14:textId="60F8B0A4" w:rsidR="00F1148E" w:rsidRDefault="00000000" w:rsidP="003A1607">
      <w:pPr>
        <w:jc w:val="both"/>
      </w:pPr>
      <w:r>
        <w:t xml:space="preserve">SHAP provides a particularly relevant technical foundation. Lundberg and Lee (2017) introduced SHAP as a unified framework for interpreting individual predictions by assigning feature-importance values. In credit-risk research, Gramegna and Giudici (2021) evaluated SHAP and LIME in relation to credit-risk modelling and the </w:t>
      </w:r>
      <w:r>
        <w:lastRenderedPageBreak/>
        <w:t>use of non-linear methods. Such attribution can answer an analyst-oriented question</w:t>
      </w:r>
      <w:r w:rsidR="001B0B15">
        <w:t xml:space="preserve">, </w:t>
      </w:r>
      <w:r>
        <w:t>what features contributed to this prediction?</w:t>
      </w:r>
      <w:r w:rsidR="00B706C1">
        <w:t xml:space="preserve"> B</w:t>
      </w:r>
      <w:r>
        <w:t>ut a borrower needs a different form of answer: which understandable factors affected the decision, and how should those factors be interpreted?</w:t>
      </w:r>
    </w:p>
    <w:p w14:paraId="0B132A8B" w14:textId="77777777" w:rsidR="00F1148E" w:rsidRDefault="00000000" w:rsidP="003A1607">
      <w:pPr>
        <w:jc w:val="both"/>
      </w:pPr>
      <w:r>
        <w:t>This distinction creates the central problem addressed by the present conference paper. A numerical explanation is not automatically a communicable explanation. The translation from SHAP values to natural language creates another possible failure point: a generative model can produce a fluent explanation that is not faithful to the underlying model evidence. Research on faithful explanation emphasizes that an explanation should accurately represent the reasoning process behind a prediction (Lyu et al., 2024). Recent work on LLMs in credit-risk post-hoc explanation also points toward using LLMs as translators of auditable model attributions rather than as autonomous reconstructors of non-linear credit reasoning (Geng et al., 2026).</w:t>
      </w:r>
    </w:p>
    <w:p w14:paraId="7953C95F" w14:textId="77777777" w:rsidR="00F1148E" w:rsidRDefault="00000000" w:rsidP="003A1607">
      <w:pPr>
        <w:jc w:val="both"/>
      </w:pPr>
      <w:r>
        <w:t>The regulatory context strengthens the need for controlled translation. RBI's fair-practice framework has historically required reasons for rejection of loan applications, while the Reserve Bank of India (Digital Lending) Directions, 2025 consolidate digital-lending instructions and identify concerns including mis-selling, data privacy, unfair business conduct and unethical recovery practices (Reserve Bank of India, 2025). The current digital-lending framework should therefore be treated as the 2025 Directions rather than the repealed 2022 circular.</w:t>
      </w:r>
    </w:p>
    <w:p w14:paraId="1E61282A" w14:textId="4B86B81C" w:rsidR="00F1148E" w:rsidRDefault="00000000" w:rsidP="003A1607">
      <w:pPr>
        <w:jc w:val="both"/>
      </w:pPr>
      <w:r>
        <w:t xml:space="preserve">At this point the research question moves beyond the technical design of an explainer. It becomes a question of what makes an explanation worthy of being communicated in a consequential financial setting. Indian Knowledge Systems offer a potentially useful conceptual vocabulary for this question. Classical Indian epistemology contains extensive analysis of knowledge sources and justification; </w:t>
      </w:r>
      <w:r w:rsidR="00D6271A">
        <w:t>Nyaya</w:t>
      </w:r>
      <w:r>
        <w:t xml:space="preserve"> is a tradition concerned with cognition, reasoning and rational debate; and Dharma is a context-sensitive concept associated with what upholds and what is appropriate to do. These traditions are not technological equivalents of machine learning. The contribution of this paper is instead to use three carefully delimited concepts as analytical lenses for contemporary responsible explainability.</w:t>
      </w:r>
    </w:p>
    <w:p w14:paraId="104EA768" w14:textId="6EB74F36" w:rsidR="00F1148E" w:rsidRDefault="00000000" w:rsidP="003A1607">
      <w:pPr>
        <w:jc w:val="both"/>
      </w:pPr>
      <w:r>
        <w:t xml:space="preserve">The proposed framework is deliberately modest and testable. </w:t>
      </w:r>
      <w:r w:rsidR="00D6271A">
        <w:t>Pramana</w:t>
      </w:r>
      <w:r>
        <w:t xml:space="preserve"> addresses the evidentiary grounding of an explanation. </w:t>
      </w:r>
      <w:r w:rsidR="00D6271A">
        <w:t>Nyaya</w:t>
      </w:r>
      <w:r>
        <w:t xml:space="preserve"> addresses the relationship between grounds and conclusion. Dharma addresses responsible action and communication. Together they form a conceptual chain: evidence → reasoning → responsible communication. This chain is designed to complement, not replace, contemporary XAI and provides the theoretical bridge between the IKS orientation of the conference and the technical problem defined in the doctoral research.</w:t>
      </w:r>
    </w:p>
    <w:p w14:paraId="3478F395" w14:textId="77777777" w:rsidR="00F1148E" w:rsidRDefault="00000000" w:rsidP="003A1607">
      <w:pPr>
        <w:pStyle w:val="Heading1"/>
        <w:jc w:val="both"/>
      </w:pPr>
      <w:r>
        <w:t>2. Problem Statement</w:t>
      </w:r>
    </w:p>
    <w:p w14:paraId="1F257AD1" w14:textId="77777777" w:rsidR="00F1148E" w:rsidRDefault="00000000" w:rsidP="003A1607">
      <w:pPr>
        <w:jc w:val="both"/>
      </w:pPr>
      <w:r>
        <w:t>The research problem is the mismatch between the output format of complex credit-risk models and the form of explanation required by a borrower. A post-hoc XAI method can provide feature contributions, but the raw output is normally not designed as a borrower communication. The doctoral research architecture addresses this as an explainability-to-usability bridge by separating the credit-decision function from the language-generation function.</w:t>
      </w:r>
    </w:p>
    <w:p w14:paraId="7BE555AD" w14:textId="77777777" w:rsidR="00F1148E" w:rsidRDefault="00000000" w:rsidP="003A1607">
      <w:pPr>
        <w:jc w:val="both"/>
      </w:pPr>
      <w:r>
        <w:t xml:space="preserve">Three risks arise if this translation layer is not carefully designed. First, a manual translation process may reduce scalability and introduce inconsistency. Second, an unconstrained LLM may generate plausible but unsupported reasons that do not correspond to the actual model decision. Third, sending sensitive borrower information to external generative-AI services can create additional data-governance concerns. The proposed research consequently separates a deterministic Underwriter Agent, which generates the credit decision and </w:t>
      </w:r>
      <w:r>
        <w:lastRenderedPageBreak/>
        <w:t>SHAP attribution, from a Compliance Agent, which translates verified attribution into borrower-facing language in a local deployment setting.</w:t>
      </w:r>
    </w:p>
    <w:p w14:paraId="2814BF11" w14:textId="77777777" w:rsidR="00F1148E" w:rsidRDefault="00000000" w:rsidP="003A1607">
      <w:pPr>
        <w:jc w:val="both"/>
      </w:pPr>
      <w:r>
        <w:t>The conference paper does not claim to have empirically solved these engineering problems. Instead, it asks what conceptual properties the resulting explanation should satisfy if it is to be regarded as responsible and explainable. The later doctoral work can test these properties quantitatively using attribution alignment, rank concordance, language-quality measures, hallucination-related checks and human/regulatory evaluation.</w:t>
      </w:r>
    </w:p>
    <w:p w14:paraId="3EF2B456" w14:textId="77777777" w:rsidR="00F1148E" w:rsidRDefault="00000000" w:rsidP="003A1607">
      <w:pPr>
        <w:pStyle w:val="Heading1"/>
        <w:jc w:val="both"/>
      </w:pPr>
      <w:r>
        <w:t>3. Research Objective and Questions</w:t>
      </w:r>
    </w:p>
    <w:p w14:paraId="2AEE2B31" w14:textId="45D35F61" w:rsidR="00F1148E" w:rsidRDefault="00000000" w:rsidP="003A1607">
      <w:pPr>
        <w:jc w:val="both"/>
      </w:pPr>
      <w:r>
        <w:rPr>
          <w:b/>
        </w:rPr>
        <w:t xml:space="preserve">To develop an IKS-informed conceptual framework integrating </w:t>
      </w:r>
      <w:r w:rsidR="00D6271A">
        <w:rPr>
          <w:b/>
        </w:rPr>
        <w:t>Pramana</w:t>
      </w:r>
      <w:r>
        <w:rPr>
          <w:b/>
        </w:rPr>
        <w:t xml:space="preserve">, </w:t>
      </w:r>
      <w:r w:rsidR="00D6271A">
        <w:rPr>
          <w:b/>
        </w:rPr>
        <w:t>Nyaya</w:t>
      </w:r>
      <w:r>
        <w:rPr>
          <w:b/>
        </w:rPr>
        <w:t xml:space="preserve"> and Dharma for responsible and explainable AI in digital lending.</w:t>
      </w:r>
    </w:p>
    <w:p w14:paraId="0DFBD0CB" w14:textId="77777777" w:rsidR="00F1148E" w:rsidRDefault="00000000" w:rsidP="003A1607">
      <w:pPr>
        <w:jc w:val="both"/>
      </w:pPr>
      <w:r>
        <w:t>The paper addresses three conceptual research questions:</w:t>
      </w:r>
    </w:p>
    <w:p w14:paraId="1085B4FF" w14:textId="77777777" w:rsidR="00F1148E" w:rsidRDefault="00000000" w:rsidP="003A1607">
      <w:pPr>
        <w:pStyle w:val="ListNumber"/>
        <w:jc w:val="both"/>
      </w:pPr>
      <w:r>
        <w:t>What epistemic requirement should govern the translation of model-generated credit evidence into a borrower explanation?</w:t>
      </w:r>
    </w:p>
    <w:p w14:paraId="747D456B" w14:textId="77777777" w:rsidR="00F1148E" w:rsidRDefault="00000000" w:rsidP="003A1607">
      <w:pPr>
        <w:pStyle w:val="ListNumber"/>
        <w:jc w:val="both"/>
      </w:pPr>
      <w:r>
        <w:t>What reasoning requirement should govern the relationship between model evidence and the natural-language explanation?</w:t>
      </w:r>
    </w:p>
    <w:p w14:paraId="04DD0F36" w14:textId="77777777" w:rsidR="00F1148E" w:rsidRDefault="00000000" w:rsidP="003A1607">
      <w:pPr>
        <w:pStyle w:val="ListNumber"/>
        <w:jc w:val="both"/>
      </w:pPr>
      <w:r>
        <w:t>What normative requirement should govern the responsible communication of an AI-mediated credit decision?</w:t>
      </w:r>
    </w:p>
    <w:p w14:paraId="2F9D4F7A" w14:textId="77777777" w:rsidR="00F1148E" w:rsidRDefault="00000000" w:rsidP="003A1607">
      <w:pPr>
        <w:jc w:val="both"/>
      </w:pPr>
      <w:r>
        <w:t>These questions complement the later empirical questions of the doctoral research. The conference contribution is therefore positioned as the conceptual foundation for subsequent technical and empirical validation.</w:t>
      </w:r>
    </w:p>
    <w:p w14:paraId="40FED263" w14:textId="77777777" w:rsidR="00F1148E" w:rsidRDefault="00000000" w:rsidP="003A1607">
      <w:pPr>
        <w:pStyle w:val="Heading1"/>
        <w:jc w:val="both"/>
      </w:pPr>
      <w:r>
        <w:t>4. Conceptual Research Method</w:t>
      </w:r>
    </w:p>
    <w:p w14:paraId="756239FE" w14:textId="77777777" w:rsidR="00BC4AEE" w:rsidRDefault="00000000" w:rsidP="003A1607">
      <w:pPr>
        <w:jc w:val="both"/>
      </w:pPr>
      <w:r>
        <w:t xml:space="preserve">This paper uses a conceptual synthesis approach. It brings together four bodies of literature: </w:t>
      </w:r>
    </w:p>
    <w:p w14:paraId="42DE7212" w14:textId="77777777" w:rsidR="00BC4AEE" w:rsidRDefault="00000000" w:rsidP="00BC4AEE">
      <w:pPr>
        <w:spacing w:after="0"/>
        <w:jc w:val="both"/>
      </w:pPr>
      <w:r>
        <w:t xml:space="preserve">(1) explainable and interpretable machine learning; </w:t>
      </w:r>
    </w:p>
    <w:p w14:paraId="058BEDBC" w14:textId="77777777" w:rsidR="00BC4AEE" w:rsidRDefault="00000000" w:rsidP="00BC4AEE">
      <w:pPr>
        <w:spacing w:after="0"/>
        <w:jc w:val="both"/>
      </w:pPr>
      <w:r>
        <w:t xml:space="preserve">(2) SHAP and explainability in credit and finance; </w:t>
      </w:r>
    </w:p>
    <w:p w14:paraId="079742B9" w14:textId="77777777" w:rsidR="00BC4AEE" w:rsidRDefault="00000000" w:rsidP="00BC4AEE">
      <w:pPr>
        <w:spacing w:after="0"/>
        <w:jc w:val="both"/>
      </w:pPr>
      <w:r>
        <w:t xml:space="preserve">(3) faithful natural-language explanation and responsible AI in banking; and </w:t>
      </w:r>
    </w:p>
    <w:p w14:paraId="5A1B8512" w14:textId="47DB6745" w:rsidR="00BC4AEE" w:rsidRDefault="00000000" w:rsidP="00BC4AEE">
      <w:pPr>
        <w:spacing w:after="0"/>
        <w:jc w:val="both"/>
      </w:pPr>
      <w:r>
        <w:t xml:space="preserve">(4) scholarly work on </w:t>
      </w:r>
      <w:r w:rsidR="00D6271A">
        <w:t>Pramana</w:t>
      </w:r>
      <w:r>
        <w:t xml:space="preserve">, </w:t>
      </w:r>
      <w:r w:rsidR="00D6271A">
        <w:t>Nyaya</w:t>
      </w:r>
      <w:r>
        <w:t xml:space="preserve"> and Dharma. </w:t>
      </w:r>
    </w:p>
    <w:p w14:paraId="612C5ECA" w14:textId="77777777" w:rsidR="00BC4AEE" w:rsidRDefault="00BC4AEE" w:rsidP="00BC4AEE">
      <w:pPr>
        <w:spacing w:after="0"/>
        <w:jc w:val="both"/>
      </w:pPr>
    </w:p>
    <w:p w14:paraId="0AD9FC5B" w14:textId="50E7725F" w:rsidR="00F1148E" w:rsidRDefault="00000000" w:rsidP="003A1607">
      <w:pPr>
        <w:jc w:val="both"/>
      </w:pPr>
      <w:r>
        <w:t>These bodies are not merged indiscriminately. Each is first treated within its own disciplinary vocabulary and is then mapped to a clearly bounded requirement in responsible borrower explanation.</w:t>
      </w:r>
    </w:p>
    <w:p w14:paraId="67B2E11C" w14:textId="77777777" w:rsidR="00F1148E" w:rsidRDefault="00000000" w:rsidP="003A1607">
      <w:pPr>
        <w:jc w:val="both"/>
      </w:pPr>
      <w:r>
        <w:t>The synthesis follows four steps. First, the paper identifies the technical object being explained: an individual credit decision generated by a complex model. Second, it identifies the communication problem: converting model-grounded attribution into natural language without changing the underlying reasons. Third, it identifies three IKS lenses corresponding to evidence, reasoning and responsible conduct. Fourth, it translates those lenses into conceptual propositions that can later be operationalized empirically.</w:t>
      </w:r>
    </w:p>
    <w:p w14:paraId="5472D5E6" w14:textId="77777777" w:rsidR="00F1148E" w:rsidRDefault="00000000" w:rsidP="003A1607">
      <w:pPr>
        <w:jc w:val="both"/>
      </w:pPr>
      <w:r>
        <w:t>This approach is appropriate because the present paper has not generated empirical results from the proposed multi-agent system. The doctoral research design places computational validation later, using public alternative-credit datasets, gradient-boosting models, SHAP, local open-weight LLMs and quantitative evaluation. The present paper therefore makes a conceptual contribution and does not claim empirical validation.</w:t>
      </w:r>
    </w:p>
    <w:p w14:paraId="5484B384" w14:textId="77777777" w:rsidR="00F1148E" w:rsidRDefault="00000000" w:rsidP="003A1607">
      <w:pPr>
        <w:pStyle w:val="Heading1"/>
        <w:jc w:val="both"/>
      </w:pPr>
      <w:r>
        <w:lastRenderedPageBreak/>
        <w:t>5. Literature Review</w:t>
      </w:r>
    </w:p>
    <w:p w14:paraId="01E7BC6D" w14:textId="77777777" w:rsidR="00F1148E" w:rsidRDefault="00000000" w:rsidP="003A1607">
      <w:pPr>
        <w:pStyle w:val="Heading2"/>
        <w:jc w:val="both"/>
      </w:pPr>
      <w:r>
        <w:t>5.1 Explainable AI: From Black-Box Prediction to Explanation</w:t>
      </w:r>
    </w:p>
    <w:p w14:paraId="32346389" w14:textId="77777777" w:rsidR="00F1148E" w:rsidRDefault="00000000" w:rsidP="003A1607">
      <w:pPr>
        <w:jc w:val="both"/>
      </w:pPr>
      <w:r>
        <w:t>The rise of complex machine-learning systems has created a persistent tension between predictive capability and human interpretability. Doshi-Velez and Kim (2017) argued that interpretable machine learning requires clearer definitions and rigorous evaluation rather than treating interpretability as an intuitive property. Lipton (2018) similarly demonstrated that 'interpretability' can refer to different objectives, including transparency and post-hoc explanation. Guidotti et al. (2018) surveyed methods for explaining black-box models, showing that explanation can involve multiple strategies and target different forms of understanding.</w:t>
      </w:r>
    </w:p>
    <w:p w14:paraId="1EDB529E" w14:textId="77777777" w:rsidR="00F1148E" w:rsidRDefault="00000000" w:rsidP="003A1607">
      <w:pPr>
        <w:jc w:val="both"/>
      </w:pPr>
      <w:r>
        <w:t>Arrieta et al. (2020) broadened this field by organizing XAI concepts and methods and linking explainability to responsible AI, including fairness, accountability and privacy. Importantly for this paper, their discussion recognizes that the audience for an explanation matters. An explanation designed for a model developer is not necessarily appropriate for a customer or decision subject. This provides a conceptual foundation for distinguishing model interpretability from borrower-facing explainability.</w:t>
      </w:r>
    </w:p>
    <w:p w14:paraId="5EFD4BB1" w14:textId="77777777" w:rsidR="00F1148E" w:rsidRDefault="00000000" w:rsidP="003A1607">
      <w:pPr>
        <w:pStyle w:val="Heading2"/>
        <w:jc w:val="both"/>
      </w:pPr>
      <w:r>
        <w:t>5.2 SHAP and Credit Risk</w:t>
      </w:r>
    </w:p>
    <w:p w14:paraId="364DAC67" w14:textId="77777777" w:rsidR="00F1148E" w:rsidRDefault="00000000" w:rsidP="003A1607">
      <w:pPr>
        <w:jc w:val="both"/>
      </w:pPr>
      <w:r>
        <w:t>Lundberg and Lee (2017) proposed SHAP as a unified framework for interpreting individual predictions through additive feature attribution. SHAP assigns each feature an importance value for a particular prediction, making it suitable as an intermediate representation between a complex predictive model and an explanation interface. This is especially useful in the present problem because the technical system needs a stable evidentiary object that can be passed from the predictive stage to a language-generation stage.</w:t>
      </w:r>
    </w:p>
    <w:p w14:paraId="5CDBC2DC" w14:textId="495DA294" w:rsidR="00F1148E" w:rsidRDefault="00000000" w:rsidP="003A1607">
      <w:pPr>
        <w:jc w:val="both"/>
      </w:pPr>
      <w:r>
        <w:t>Credit-risk literature demonstrates the practical relevance of post-hoc explanation. Gramegna and Giudici (2021) examined SHAP and LIME in credit-risk settings and highlighted the interpretability trade-off associated with powerful non-linear models. More recent finance-focused systematic reviews show that XAI has become a significant research area, with credit management among the frequently studied applications and SHAP among the common explanation approaches (</w:t>
      </w:r>
      <w:r w:rsidR="002876FA">
        <w:t>C</w:t>
      </w:r>
      <w:r>
        <w:t>ernevi</w:t>
      </w:r>
      <w:r w:rsidR="002876FA">
        <w:t>c</w:t>
      </w:r>
      <w:r>
        <w:t>ien</w:t>
      </w:r>
      <w:r w:rsidR="002876FA">
        <w:t>e</w:t>
      </w:r>
      <w:r>
        <w:t xml:space="preserve"> &amp; Kaba</w:t>
      </w:r>
      <w:r w:rsidR="002876FA">
        <w:t>s</w:t>
      </w:r>
      <w:r>
        <w:t>inskas, 2024). Weber et al. (2024) similarly found that XAI research in finance is strongly motivated by the need for transparency and traceability in a highly regulated domain.</w:t>
      </w:r>
    </w:p>
    <w:p w14:paraId="75CF4AC9" w14:textId="77777777" w:rsidR="00F1148E" w:rsidRDefault="00000000" w:rsidP="003A1607">
      <w:pPr>
        <w:jc w:val="both"/>
      </w:pPr>
      <w:r>
        <w:t>However, these technical approaches do not by themselves determine what should be said to the borrower. A SHAP attribution is an explanation artifact, not a complete communication policy. This difference motivates the present paper's focus on the transition from evidence to narrative.</w:t>
      </w:r>
    </w:p>
    <w:p w14:paraId="2C74EB32" w14:textId="77777777" w:rsidR="00F1148E" w:rsidRDefault="00000000" w:rsidP="003A1607">
      <w:pPr>
        <w:pStyle w:val="Heading2"/>
        <w:jc w:val="both"/>
      </w:pPr>
      <w:r>
        <w:t>5.3 Faithfulness in Natural-Language Explanation</w:t>
      </w:r>
    </w:p>
    <w:p w14:paraId="1C6F9F7A" w14:textId="77777777" w:rsidR="00F1148E" w:rsidRDefault="00000000" w:rsidP="003A1607">
      <w:pPr>
        <w:jc w:val="both"/>
      </w:pPr>
      <w:r>
        <w:t>Natural-language generation introduces a second layer of interpretability risk. Lyu et al. (2024) define faithfulness as the extent to which an explanation accurately represents the reasoning process behind a model prediction. Their survey demonstrates that fluent or persuasive language is not sufficient evidence of faithful explanation.</w:t>
      </w:r>
    </w:p>
    <w:p w14:paraId="0145DBA6" w14:textId="6D21402D" w:rsidR="00F1148E" w:rsidRDefault="00000000" w:rsidP="003A1607">
      <w:pPr>
        <w:jc w:val="both"/>
      </w:pPr>
      <w:r>
        <w:t xml:space="preserve">This issue is particularly salient for LLMs. A language model is optimized to generate coherent text, whereas a credit explainer must preserve a traceable relationship </w:t>
      </w:r>
      <w:r w:rsidR="00BF5BB9">
        <w:t>with</w:t>
      </w:r>
      <w:r>
        <w:t xml:space="preserve"> the model that produced the decision. Geng et al. (2026) provide direct evidence from credit-risk experiments: LLMs were more effective when used as narrative translators grounded in model-based attributions, while autonomous explanations showed lower alignment with model-based attributions. Their findings support a constrained architecture in which the mathematical explainer remains authoritative and the LLM serves as a communication layer.</w:t>
      </w:r>
    </w:p>
    <w:p w14:paraId="700817FD" w14:textId="77777777" w:rsidR="00F1148E" w:rsidRDefault="00000000" w:rsidP="003A1607">
      <w:pPr>
        <w:jc w:val="both"/>
      </w:pPr>
      <w:r>
        <w:t xml:space="preserve">The implication for this study is that the explanation pipeline should have an explicit boundary between evidence generation and language generation. The LLM should not become the source of the credit decision or </w:t>
      </w:r>
      <w:r>
        <w:lastRenderedPageBreak/>
        <w:t>its underlying reasons. Instead, it should transform a verified explanatory representation into accessible language.</w:t>
      </w:r>
    </w:p>
    <w:p w14:paraId="018D36F5" w14:textId="77777777" w:rsidR="00F1148E" w:rsidRDefault="00000000" w:rsidP="003A1607">
      <w:pPr>
        <w:pStyle w:val="Heading2"/>
        <w:jc w:val="both"/>
      </w:pPr>
      <w:r>
        <w:t>5.4 Responsible AI in Banking</w:t>
      </w:r>
    </w:p>
    <w:p w14:paraId="2181FF31" w14:textId="77777777" w:rsidR="00F1148E" w:rsidRDefault="00000000" w:rsidP="003A1607">
      <w:pPr>
        <w:jc w:val="both"/>
      </w:pPr>
      <w:r>
        <w:t>Responsible AI research adds a normative and organizational dimension to explainability. Ratzan and Rahman (2024) developed a measurement instrument for responsible AI maturity in banking and identified transparency, fairness, data management, security and organizational commitment as important dimensions. Their work demonstrates that responsible AI in financial institutions is not reducible to model performance; it involves organizational capabilities for managing AI-related risks.</w:t>
      </w:r>
    </w:p>
    <w:p w14:paraId="1327B865" w14:textId="77777777" w:rsidR="00F1148E" w:rsidRDefault="00000000" w:rsidP="003A1607">
      <w:pPr>
        <w:jc w:val="both"/>
      </w:pPr>
      <w:r>
        <w:t>The relevance to the present paper is twofold. First, explainability is part of a wider responsibility framework. Second, the banking context makes the audience and consequences of an explanation especially important. A borrower is not simply a technical user of an AI system; the borrower is a person affected by a consequential financial decision.</w:t>
      </w:r>
    </w:p>
    <w:p w14:paraId="75D9C581" w14:textId="24F0AF19" w:rsidR="00F1148E" w:rsidRDefault="00000000" w:rsidP="003A1607">
      <w:pPr>
        <w:pStyle w:val="Heading2"/>
        <w:jc w:val="both"/>
      </w:pPr>
      <w:r>
        <w:t xml:space="preserve">5.5 </w:t>
      </w:r>
      <w:r w:rsidR="00D6271A">
        <w:t>Pramana</w:t>
      </w:r>
      <w:r>
        <w:t xml:space="preserve"> as an Epistemic Lens</w:t>
      </w:r>
    </w:p>
    <w:p w14:paraId="3E7AE102" w14:textId="1DE3E67C" w:rsidR="00F1148E" w:rsidRDefault="00000000" w:rsidP="003A1607">
      <w:pPr>
        <w:jc w:val="both"/>
      </w:pPr>
      <w:r>
        <w:t xml:space="preserve">Classical Indian epistemology is a broad and internally diverse field. Ganeri (2022) notes that </w:t>
      </w:r>
      <w:r w:rsidR="00D6271A">
        <w:t>Pramana</w:t>
      </w:r>
      <w:r>
        <w:t>-</w:t>
      </w:r>
      <w:r w:rsidR="00BF5BB9">
        <w:t>sa</w:t>
      </w:r>
      <w:r>
        <w:t xml:space="preserve">stra constitutes a major genre of Sanskrit epistemological literature spanning many centuries and schools, with a strong focus on the source or pedigree of knowledge claims. The concept of </w:t>
      </w:r>
      <w:r w:rsidR="00D6271A">
        <w:t>Pramana</w:t>
      </w:r>
      <w:r>
        <w:t xml:space="preserve"> is therefore associated with knowledge-generating processes or sources, but its exact treatment varies across traditions.</w:t>
      </w:r>
    </w:p>
    <w:p w14:paraId="0B16E49E" w14:textId="77DBBDB3" w:rsidR="00F1148E" w:rsidRDefault="00000000" w:rsidP="003A1607">
      <w:pPr>
        <w:jc w:val="both"/>
      </w:pPr>
      <w:r>
        <w:t xml:space="preserve">For this paper, </w:t>
      </w:r>
      <w:r w:rsidR="00D6271A">
        <w:t>Pramana</w:t>
      </w:r>
      <w:r>
        <w:t xml:space="preserve"> is deliberately not treated as a one-to-one analogue of SHAP. The proposed mapping is conceptual: </w:t>
      </w:r>
      <w:r w:rsidR="00D6271A">
        <w:t>Pramana</w:t>
      </w:r>
      <w:r>
        <w:t xml:space="preserve"> asks what warrants a knowledge claim, while the contemporary credit-explanation pipeline needs to preserve an identifiable evidentiary basis for the explanation. SHAP can provide such a technical evidence object, but it does not itself become '</w:t>
      </w:r>
      <w:r w:rsidR="00D6271A">
        <w:t>Pramana</w:t>
      </w:r>
      <w:r>
        <w:t>'. The IKS concept instead supplies a criterion for asking whether the narrative remains grounded in its source.</w:t>
      </w:r>
    </w:p>
    <w:p w14:paraId="084D418A" w14:textId="478A9BD9" w:rsidR="00F1148E" w:rsidRDefault="00000000" w:rsidP="003A1607">
      <w:pPr>
        <w:pStyle w:val="Heading2"/>
        <w:jc w:val="both"/>
      </w:pPr>
      <w:r>
        <w:t xml:space="preserve">5.6 </w:t>
      </w:r>
      <w:r w:rsidR="00D6271A">
        <w:t>Nyaya</w:t>
      </w:r>
      <w:r>
        <w:t xml:space="preserve"> as a Reasoning Lens</w:t>
      </w:r>
    </w:p>
    <w:p w14:paraId="16D81132" w14:textId="7650A39B" w:rsidR="00F1148E" w:rsidRDefault="00D6271A" w:rsidP="003A1607">
      <w:pPr>
        <w:jc w:val="both"/>
      </w:pPr>
      <w:r>
        <w:t>Nyaya is a classical Indian philosophical tradition concerned with cognition, reasoning and the norms of rational debate. Dasti and Phillips (2017) present the Nyaya-s</w:t>
      </w:r>
      <w:r w:rsidR="000F1BCF">
        <w:t>u</w:t>
      </w:r>
      <w:r>
        <w:t>tra and early commentaries as foundational sources for examining cognition, reasoning and rational debate.</w:t>
      </w:r>
    </w:p>
    <w:p w14:paraId="7A185845" w14:textId="67FB9972" w:rsidR="00F1148E" w:rsidRDefault="00000000" w:rsidP="003A1607">
      <w:pPr>
        <w:jc w:val="both"/>
      </w:pPr>
      <w:r>
        <w:t xml:space="preserve">The present paper uses </w:t>
      </w:r>
      <w:r w:rsidR="00D6271A">
        <w:t>Nyaya</w:t>
      </w:r>
      <w:r>
        <w:t xml:space="preserve"> as a reasoning lens rather than as a computational algorithm. The key question is whether the grounds supplied for a conclusion remain appropriately connected to the conclusion communicated. In the AI setting, this becomes a requirement of reasoning fidelity: if a model decision is grounded in three dominant negative SHAP contributions, the borrower narrative should not substitute a fourth unsupported reason simply because it sounds plausible.</w:t>
      </w:r>
    </w:p>
    <w:p w14:paraId="12FF363F" w14:textId="77777777" w:rsidR="00F1148E" w:rsidRDefault="00000000" w:rsidP="003A1607">
      <w:pPr>
        <w:pStyle w:val="Heading2"/>
        <w:jc w:val="both"/>
      </w:pPr>
      <w:r>
        <w:t>5.7 Dharma as a Normative Lens</w:t>
      </w:r>
    </w:p>
    <w:p w14:paraId="63D0C702" w14:textId="77777777" w:rsidR="00F1148E" w:rsidRDefault="00000000" w:rsidP="003A1607">
      <w:pPr>
        <w:jc w:val="both"/>
      </w:pPr>
      <w:r>
        <w:t>Dharma is a concept with substantial semantic and historical depth. Sharma (2005) explains dharma through the root sense of 'to uphold' and discusses its use in relation to what is appropriate under particular circumstances. Nadkarni (2011) examines ethics in Hindu thought and the role of dharma in governing the pursuit of other human goals. These sources support a careful treatment of Dharma as a context-sensitive normative concept rather than a direct synonym for modern compliance.</w:t>
      </w:r>
    </w:p>
    <w:p w14:paraId="5B6F7370" w14:textId="1F037EDF" w:rsidR="00F1148E" w:rsidRDefault="00000000" w:rsidP="003A1607">
      <w:pPr>
        <w:jc w:val="both"/>
      </w:pPr>
      <w:r>
        <w:t xml:space="preserve">In this framework, Dharma asks a different question from </w:t>
      </w:r>
      <w:r w:rsidR="00D6271A">
        <w:t>Pramana</w:t>
      </w:r>
      <w:r>
        <w:t xml:space="preserve"> and </w:t>
      </w:r>
      <w:r w:rsidR="00D6271A">
        <w:t>Nyaya</w:t>
      </w:r>
      <w:r>
        <w:t>. It asks what responsible action and communication require once an AI-mediated decision has been generated. This includes the manner in which the explanation is communicated, its accessibility to the affected borrower, and its relationship to the institutional responsibilities of a lender.</w:t>
      </w:r>
    </w:p>
    <w:p w14:paraId="5DAC761D" w14:textId="77777777" w:rsidR="00F1148E" w:rsidRDefault="00000000" w:rsidP="003A1607">
      <w:pPr>
        <w:pStyle w:val="Heading1"/>
        <w:jc w:val="both"/>
      </w:pPr>
      <w:r>
        <w:lastRenderedPageBreak/>
        <w:t>6. Regulatory and Institutional Context</w:t>
      </w:r>
    </w:p>
    <w:p w14:paraId="3C3C1BFD" w14:textId="77777777" w:rsidR="00F1148E" w:rsidRDefault="00000000" w:rsidP="003A1607">
      <w:pPr>
        <w:jc w:val="both"/>
      </w:pPr>
      <w:r>
        <w:t>RBI's historical Fair Practices Code framework provides important context for borrower communication. The Reserve Bank of India has previously required reasons for rejection of loan applications under its fair-practice framework. This is relevant historical context for the principle that borrowers should not be left without a meaningful reason for an adverse lending decision.</w:t>
      </w:r>
    </w:p>
    <w:p w14:paraId="690A9080" w14:textId="77777777" w:rsidR="00F1148E" w:rsidRDefault="00000000" w:rsidP="003A1607">
      <w:pPr>
        <w:jc w:val="both"/>
      </w:pPr>
      <w:r>
        <w:t>For current digital lending, however, the 2025 regulatory position must be used. The Reserve Bank of India (Digital Lending) Directions, 2025 were issued on 8 May 2025 and consolidate earlier digital-lending instructions. Their preamble identifies borrower protection and orderly growth as objectives and notes concerns including mis-selling, data privacy, unfair business conduct and unethical recovery practices (Reserve Bank of India, 2025). The 2022 Digital Lending circular should therefore not be cited as the current digital-lending framework.</w:t>
      </w:r>
    </w:p>
    <w:p w14:paraId="5556654D" w14:textId="77777777" w:rsidR="00F1148E" w:rsidRDefault="00000000" w:rsidP="003A1607">
      <w:pPr>
        <w:jc w:val="both"/>
      </w:pPr>
      <w:r>
        <w:t>Accordingly, this paper uses the phrase 'RBI-aligned' for the proposed explanation framework rather than claiming that the framework itself is already RBI-compliant. Compliance is a legal and institutional determination that depends on the applicable regulated entity, product, policy and current regulatory requirements. The subsequent empirical doctoral work can evaluate whether generated narratives satisfy specified regulatory criteria; this conceptual paper does not certify compliance.</w:t>
      </w:r>
    </w:p>
    <w:p w14:paraId="6E791CE7" w14:textId="77777777" w:rsidR="00F1148E" w:rsidRDefault="00000000" w:rsidP="003A1607">
      <w:pPr>
        <w:pStyle w:val="Heading1"/>
        <w:jc w:val="both"/>
      </w:pPr>
      <w:r>
        <w:t>7. Research Gap</w:t>
      </w:r>
    </w:p>
    <w:p w14:paraId="3756B345" w14:textId="77777777" w:rsidR="00F1148E" w:rsidRDefault="00000000" w:rsidP="003A1607">
      <w:pPr>
        <w:jc w:val="both"/>
      </w:pPr>
      <w:r>
        <w:t>The reviewed literature reveals strong but partially separated streams of research. XAI research addresses how complex models can be interpreted. SHAP research provides feature-level attribution for individual predictions. Faithfulness research addresses whether natural-language explanations accurately represent model reasoning. Responsible-AI research addresses organizational and normative requirements in banking. IKS scholarship independently provides rich accounts of knowledge sources, reasoning and responsible conduct.</w:t>
      </w:r>
    </w:p>
    <w:p w14:paraId="14282088" w14:textId="77777777" w:rsidR="00F1148E" w:rsidRDefault="00000000" w:rsidP="003A1607">
      <w:pPr>
        <w:jc w:val="both"/>
      </w:pPr>
      <w:r>
        <w:t>The gap is therefore best described as an integration gap rather than a claim that no prior work exists. Existing work does not provide a sufficiently explicit conceptual framework that connects: (a) the evidentiary grounding of a credit explanation; (b) the fidelity of the reasoning communicated from evidence to decision; and (c) the responsible communication of that decision to the affected borrower, using a coherent IKS-informed structure.</w:t>
      </w:r>
    </w:p>
    <w:p w14:paraId="6274B94D" w14:textId="77777777" w:rsidR="00F1148E" w:rsidRDefault="00000000" w:rsidP="003A1607">
      <w:pPr>
        <w:jc w:val="both"/>
      </w:pPr>
      <w:r>
        <w:t>Three specific gaps follow. First is the epistemic gap: a technically generated attribution must remain traceable to the evidence that actually contributed to the decision. Second is the reasoning gap: a fluent LLM narrative must not introduce unsupported reasons or distort the relative importance of the model evidence. Third is the normative communication gap: an explanation should be appropriate for the borrower and the responsible-finance context rather than merely technically interpretable.</w:t>
      </w:r>
    </w:p>
    <w:p w14:paraId="32F5AC25" w14:textId="77777777" w:rsidR="00F1148E" w:rsidRDefault="00000000" w:rsidP="003A1607">
      <w:pPr>
        <w:jc w:val="both"/>
      </w:pPr>
      <w:r>
        <w:rPr>
          <w:b/>
        </w:rPr>
        <w:t>The resulting research gap can therefore be stated as follows:</w:t>
      </w:r>
    </w:p>
    <w:p w14:paraId="15D9D3DF" w14:textId="77777777" w:rsidR="00F1148E" w:rsidRDefault="00000000" w:rsidP="003A1607">
      <w:pPr>
        <w:jc w:val="both"/>
      </w:pPr>
      <w:r>
        <w:rPr>
          <w:b/>
        </w:rPr>
        <w:t>Although technical, financial-regulatory and responsible-AI research has advanced substantially, there remains a need for an integrated IKS-informed conceptual framework that connects epistemic grounding, reasoning fidelity and responsible communication in AI-enabled borrower explanations.</w:t>
      </w:r>
    </w:p>
    <w:p w14:paraId="60A1CFFA" w14:textId="42DEE3AB" w:rsidR="00F1148E" w:rsidRDefault="00000000" w:rsidP="003A1607">
      <w:pPr>
        <w:pStyle w:val="Heading1"/>
        <w:jc w:val="both"/>
      </w:pPr>
      <w:r>
        <w:t xml:space="preserve">8. Proposed </w:t>
      </w:r>
      <w:r w:rsidR="00D6271A">
        <w:t>Pramana</w:t>
      </w:r>
      <w:r>
        <w:t>–</w:t>
      </w:r>
      <w:r w:rsidR="00D6271A">
        <w:t>Nyaya</w:t>
      </w:r>
      <w:r>
        <w:t>–Dharma Framework</w:t>
      </w:r>
    </w:p>
    <w:p w14:paraId="3AB48BFA" w14:textId="77777777" w:rsidR="00F1148E" w:rsidRDefault="00000000" w:rsidP="003A1607">
      <w:pPr>
        <w:jc w:val="both"/>
      </w:pPr>
      <w:r>
        <w:t>The proposed framework has three core concepts only. Other IKS concepts are not added because they do not make a necessary contribution to the specific research problem. This deliberate limitation strengthens the framework by avoiding forced philosophical mapping.</w:t>
      </w:r>
    </w:p>
    <w:tbl>
      <w:tblPr>
        <w:tblStyle w:val="TableGrid"/>
        <w:tblW w:w="0" w:type="auto"/>
        <w:jc w:val="center"/>
        <w:tblLook w:val="04A0" w:firstRow="1" w:lastRow="0" w:firstColumn="1" w:lastColumn="0" w:noHBand="0" w:noVBand="1"/>
      </w:tblPr>
      <w:tblGrid>
        <w:gridCol w:w="1930"/>
        <w:gridCol w:w="1944"/>
        <w:gridCol w:w="1948"/>
        <w:gridCol w:w="2233"/>
        <w:gridCol w:w="1953"/>
      </w:tblGrid>
      <w:tr w:rsidR="00F1148E" w14:paraId="033984E6" w14:textId="77777777">
        <w:trPr>
          <w:jc w:val="center"/>
        </w:trPr>
        <w:tc>
          <w:tcPr>
            <w:tcW w:w="1958" w:type="dxa"/>
          </w:tcPr>
          <w:p w14:paraId="3B6ACDB6" w14:textId="77777777" w:rsidR="00F1148E" w:rsidRPr="00221F42" w:rsidRDefault="00000000" w:rsidP="003A1607">
            <w:pPr>
              <w:jc w:val="both"/>
              <w:rPr>
                <w:b/>
                <w:bCs/>
              </w:rPr>
            </w:pPr>
            <w:r w:rsidRPr="00221F42">
              <w:rPr>
                <w:b/>
                <w:bCs/>
              </w:rPr>
              <w:lastRenderedPageBreak/>
              <w:t>IKS lens</w:t>
            </w:r>
          </w:p>
        </w:tc>
        <w:tc>
          <w:tcPr>
            <w:tcW w:w="1958" w:type="dxa"/>
          </w:tcPr>
          <w:p w14:paraId="0B629B6F" w14:textId="77777777" w:rsidR="00F1148E" w:rsidRPr="00221F42" w:rsidRDefault="00000000" w:rsidP="003A1607">
            <w:pPr>
              <w:jc w:val="both"/>
              <w:rPr>
                <w:b/>
                <w:bCs/>
              </w:rPr>
            </w:pPr>
            <w:r w:rsidRPr="00221F42">
              <w:rPr>
                <w:b/>
                <w:bCs/>
              </w:rPr>
              <w:t>Core question</w:t>
            </w:r>
          </w:p>
        </w:tc>
        <w:tc>
          <w:tcPr>
            <w:tcW w:w="1958" w:type="dxa"/>
          </w:tcPr>
          <w:p w14:paraId="60F19C68" w14:textId="77777777" w:rsidR="00F1148E" w:rsidRPr="00221F42" w:rsidRDefault="00000000" w:rsidP="003A1607">
            <w:pPr>
              <w:jc w:val="both"/>
              <w:rPr>
                <w:b/>
                <w:bCs/>
              </w:rPr>
            </w:pPr>
            <w:r w:rsidRPr="00221F42">
              <w:rPr>
                <w:b/>
                <w:bCs/>
              </w:rPr>
              <w:t>AI/XAI requirement</w:t>
            </w:r>
          </w:p>
        </w:tc>
        <w:tc>
          <w:tcPr>
            <w:tcW w:w="1958" w:type="dxa"/>
          </w:tcPr>
          <w:p w14:paraId="300A2CA1" w14:textId="77777777" w:rsidR="00F1148E" w:rsidRPr="00221F42" w:rsidRDefault="00000000" w:rsidP="003A1607">
            <w:pPr>
              <w:jc w:val="both"/>
              <w:rPr>
                <w:b/>
                <w:bCs/>
              </w:rPr>
            </w:pPr>
            <w:r w:rsidRPr="00221F42">
              <w:rPr>
                <w:b/>
                <w:bCs/>
              </w:rPr>
              <w:t>Borrower-explanation implication</w:t>
            </w:r>
          </w:p>
        </w:tc>
        <w:tc>
          <w:tcPr>
            <w:tcW w:w="1958" w:type="dxa"/>
          </w:tcPr>
          <w:p w14:paraId="115EF714" w14:textId="77777777" w:rsidR="00F1148E" w:rsidRPr="00221F42" w:rsidRDefault="00000000" w:rsidP="003A1607">
            <w:pPr>
              <w:jc w:val="both"/>
              <w:rPr>
                <w:b/>
                <w:bCs/>
              </w:rPr>
            </w:pPr>
            <w:r w:rsidRPr="00221F42">
              <w:rPr>
                <w:b/>
                <w:bCs/>
              </w:rPr>
              <w:t>Potential empirical indicator</w:t>
            </w:r>
          </w:p>
        </w:tc>
      </w:tr>
      <w:tr w:rsidR="00F1148E" w14:paraId="15DF3DC8" w14:textId="77777777">
        <w:trPr>
          <w:jc w:val="center"/>
        </w:trPr>
        <w:tc>
          <w:tcPr>
            <w:tcW w:w="1958" w:type="dxa"/>
          </w:tcPr>
          <w:p w14:paraId="50AC1BBC" w14:textId="1A8215FD" w:rsidR="00F1148E" w:rsidRPr="00C0048E" w:rsidRDefault="00D6271A" w:rsidP="003A1607">
            <w:pPr>
              <w:jc w:val="both"/>
              <w:rPr>
                <w:b/>
                <w:bCs/>
                <w:color w:val="1F497D" w:themeColor="text2"/>
              </w:rPr>
            </w:pPr>
            <w:r w:rsidRPr="00C0048E">
              <w:rPr>
                <w:b/>
                <w:bCs/>
                <w:color w:val="1F497D" w:themeColor="text2"/>
              </w:rPr>
              <w:t>Pramana</w:t>
            </w:r>
          </w:p>
        </w:tc>
        <w:tc>
          <w:tcPr>
            <w:tcW w:w="1958" w:type="dxa"/>
          </w:tcPr>
          <w:p w14:paraId="75B0CD45" w14:textId="77777777" w:rsidR="00F1148E" w:rsidRDefault="00000000" w:rsidP="00C0048E">
            <w:r>
              <w:t>What warrants the claim?</w:t>
            </w:r>
          </w:p>
        </w:tc>
        <w:tc>
          <w:tcPr>
            <w:tcW w:w="1958" w:type="dxa"/>
          </w:tcPr>
          <w:p w14:paraId="1ABFB5F9" w14:textId="77777777" w:rsidR="00F1148E" w:rsidRDefault="00000000" w:rsidP="00C0048E">
            <w:r>
              <w:t>Evidence must be identifiable and traceable.</w:t>
            </w:r>
          </w:p>
        </w:tc>
        <w:tc>
          <w:tcPr>
            <w:tcW w:w="1958" w:type="dxa"/>
          </w:tcPr>
          <w:p w14:paraId="47B4C622" w14:textId="77777777" w:rsidR="00F1148E" w:rsidRDefault="00000000" w:rsidP="00C0048E">
            <w:r>
              <w:t>Narrative reasons must be grounded in verified model attribution.</w:t>
            </w:r>
          </w:p>
        </w:tc>
        <w:tc>
          <w:tcPr>
            <w:tcW w:w="1958" w:type="dxa"/>
          </w:tcPr>
          <w:p w14:paraId="7D21D46C" w14:textId="77777777" w:rsidR="00F1148E" w:rsidRDefault="00000000" w:rsidP="00C0048E">
            <w:r>
              <w:t>Attribution alignment; unsupported-reason rate</w:t>
            </w:r>
          </w:p>
        </w:tc>
      </w:tr>
      <w:tr w:rsidR="00F1148E" w14:paraId="4335A625" w14:textId="77777777">
        <w:trPr>
          <w:jc w:val="center"/>
        </w:trPr>
        <w:tc>
          <w:tcPr>
            <w:tcW w:w="1958" w:type="dxa"/>
          </w:tcPr>
          <w:p w14:paraId="3051CF97" w14:textId="4455BEB8" w:rsidR="00F1148E" w:rsidRPr="00C0048E" w:rsidRDefault="00D6271A" w:rsidP="003A1607">
            <w:pPr>
              <w:jc w:val="both"/>
              <w:rPr>
                <w:b/>
                <w:bCs/>
                <w:color w:val="1F497D" w:themeColor="text2"/>
              </w:rPr>
            </w:pPr>
            <w:r w:rsidRPr="00C0048E">
              <w:rPr>
                <w:b/>
                <w:bCs/>
                <w:color w:val="1F497D" w:themeColor="text2"/>
              </w:rPr>
              <w:t>Nyaya</w:t>
            </w:r>
          </w:p>
        </w:tc>
        <w:tc>
          <w:tcPr>
            <w:tcW w:w="1958" w:type="dxa"/>
          </w:tcPr>
          <w:p w14:paraId="4D959498" w14:textId="77777777" w:rsidR="00F1148E" w:rsidRDefault="00000000" w:rsidP="00C0048E">
            <w:r>
              <w:t>How do grounds support the conclusion?</w:t>
            </w:r>
          </w:p>
        </w:tc>
        <w:tc>
          <w:tcPr>
            <w:tcW w:w="1958" w:type="dxa"/>
          </w:tcPr>
          <w:p w14:paraId="7E7262A8" w14:textId="77777777" w:rsidR="00F1148E" w:rsidRDefault="00000000" w:rsidP="00C0048E">
            <w:r>
              <w:t>The explanation must preserve the evidence–decision relationship.</w:t>
            </w:r>
          </w:p>
        </w:tc>
        <w:tc>
          <w:tcPr>
            <w:tcW w:w="1958" w:type="dxa"/>
          </w:tcPr>
          <w:p w14:paraId="053FC643" w14:textId="77777777" w:rsidR="00F1148E" w:rsidRDefault="00000000" w:rsidP="00C0048E">
            <w:r>
              <w:t>Narrative must not add, omit or invert material reasons.</w:t>
            </w:r>
          </w:p>
        </w:tc>
        <w:tc>
          <w:tcPr>
            <w:tcW w:w="1958" w:type="dxa"/>
          </w:tcPr>
          <w:p w14:paraId="7AA5BC4C" w14:textId="77777777" w:rsidR="00F1148E" w:rsidRDefault="00000000" w:rsidP="00C0048E">
            <w:r>
              <w:t>Kendall's Tau; rank concordance; human fidelity</w:t>
            </w:r>
          </w:p>
        </w:tc>
      </w:tr>
      <w:tr w:rsidR="00F1148E" w14:paraId="03F04599" w14:textId="77777777">
        <w:trPr>
          <w:jc w:val="center"/>
        </w:trPr>
        <w:tc>
          <w:tcPr>
            <w:tcW w:w="1958" w:type="dxa"/>
          </w:tcPr>
          <w:p w14:paraId="7C33C110" w14:textId="77777777" w:rsidR="00F1148E" w:rsidRPr="00C0048E" w:rsidRDefault="00000000" w:rsidP="003A1607">
            <w:pPr>
              <w:jc w:val="both"/>
              <w:rPr>
                <w:b/>
                <w:bCs/>
                <w:color w:val="1F497D" w:themeColor="text2"/>
              </w:rPr>
            </w:pPr>
            <w:r w:rsidRPr="00C0048E">
              <w:rPr>
                <w:b/>
                <w:bCs/>
                <w:color w:val="1F497D" w:themeColor="text2"/>
              </w:rPr>
              <w:t>Dharma</w:t>
            </w:r>
          </w:p>
        </w:tc>
        <w:tc>
          <w:tcPr>
            <w:tcW w:w="1958" w:type="dxa"/>
          </w:tcPr>
          <w:p w14:paraId="68828B08" w14:textId="77777777" w:rsidR="00F1148E" w:rsidRDefault="00000000" w:rsidP="00C0048E">
            <w:r>
              <w:t>How should the decision be communicated and acted upon?</w:t>
            </w:r>
          </w:p>
        </w:tc>
        <w:tc>
          <w:tcPr>
            <w:tcW w:w="1958" w:type="dxa"/>
          </w:tcPr>
          <w:p w14:paraId="731C946F" w14:textId="77777777" w:rsidR="00F1148E" w:rsidRDefault="00000000" w:rsidP="00C0048E">
            <w:r>
              <w:t>Communication must be responsible and context-sensitive.</w:t>
            </w:r>
          </w:p>
        </w:tc>
        <w:tc>
          <w:tcPr>
            <w:tcW w:w="1958" w:type="dxa"/>
          </w:tcPr>
          <w:p w14:paraId="2A77610F" w14:textId="77777777" w:rsidR="00F1148E" w:rsidRDefault="00000000" w:rsidP="00C0048E">
            <w:r>
              <w:t>Language should be understandable, appropriate and consistent with institutional/regulatory criteria.</w:t>
            </w:r>
          </w:p>
        </w:tc>
        <w:tc>
          <w:tcPr>
            <w:tcW w:w="1958" w:type="dxa"/>
          </w:tcPr>
          <w:p w14:paraId="40D3444E" w14:textId="77777777" w:rsidR="00F1148E" w:rsidRDefault="00000000" w:rsidP="00C0048E">
            <w:r>
              <w:t>Human evaluation; regulatory checklist; comprehensibility</w:t>
            </w:r>
          </w:p>
        </w:tc>
      </w:tr>
    </w:tbl>
    <w:p w14:paraId="33AAA938" w14:textId="07220E9A" w:rsidR="00F1148E" w:rsidRDefault="00000000" w:rsidP="003A1607">
      <w:pPr>
        <w:pStyle w:val="Heading2"/>
        <w:jc w:val="both"/>
      </w:pPr>
      <w:r>
        <w:t xml:space="preserve">8.1 </w:t>
      </w:r>
      <w:r w:rsidR="00D6271A">
        <w:t>Pramana</w:t>
      </w:r>
      <w:r>
        <w:t>: Epistemic Grounding</w:t>
      </w:r>
    </w:p>
    <w:p w14:paraId="352A8A62" w14:textId="77E9FC32" w:rsidR="00F1148E" w:rsidRDefault="00D6271A" w:rsidP="003A1607">
      <w:pPr>
        <w:jc w:val="both"/>
      </w:pPr>
      <w:r>
        <w:t>Pramana forms the first gate in the framework. The central proposition is that a borrower explanation should have a defensible source. In the proposed digital-lending pipeline, the source is not the LLM's general world knowledge; it is the verified output of the credit model's explanation layer. If the Underwriter Agent produces a rejection and a ranked set of negative SHAP contributions, those contributions constitute the evidence available for the narrative. The Compliance Agent should therefore operate on that evidence rather than independently infer why the applicant was rejected.</w:t>
      </w:r>
    </w:p>
    <w:p w14:paraId="3C0B9E8E" w14:textId="63B92447" w:rsidR="00F1148E" w:rsidRDefault="00000000" w:rsidP="003A1607">
      <w:pPr>
        <w:jc w:val="both"/>
      </w:pPr>
      <w:r>
        <w:t xml:space="preserve">This principle is important because a language model can produce a convincing reason even when the reason was not used by the predictive model. </w:t>
      </w:r>
      <w:r w:rsidR="00D6271A">
        <w:t>Pramana</w:t>
      </w:r>
      <w:r>
        <w:t>, interpreted as an epistemic grounding lens, places the burden on the system to maintain provenance from model output to communicated explanation.</w:t>
      </w:r>
    </w:p>
    <w:p w14:paraId="24CE75F8" w14:textId="3230F5D2" w:rsidR="00F1148E" w:rsidRDefault="00000000" w:rsidP="003A1607">
      <w:pPr>
        <w:pStyle w:val="Heading2"/>
        <w:jc w:val="both"/>
      </w:pPr>
      <w:r>
        <w:t xml:space="preserve">8.2 </w:t>
      </w:r>
      <w:r w:rsidR="00D6271A">
        <w:t>Nyaya</w:t>
      </w:r>
      <w:r>
        <w:t>: Reasoning Fidelity</w:t>
      </w:r>
    </w:p>
    <w:p w14:paraId="1F907068" w14:textId="65FF524A" w:rsidR="00F1148E" w:rsidRDefault="00D6271A" w:rsidP="003A1607">
      <w:pPr>
        <w:jc w:val="both"/>
      </w:pPr>
      <w:r>
        <w:t>Nyaya forms the second gate. Once evidence has been identified, the question becomes how the evidence is connected to the conclusion. A borrower explanation should not merely contain the same words as a SHAP output; it should preserve the relevant direction and relative importance of the underlying evidence. For example, if high existing debt burden, short credit history and recent missed payments are the principal negative contributors, the narrative should not claim that geographic location was the decisive reason unless that factor is actually supported by the model evidence.</w:t>
      </w:r>
    </w:p>
    <w:p w14:paraId="0334F9EF" w14:textId="455C2748" w:rsidR="00F1148E" w:rsidRDefault="00000000" w:rsidP="003A1607">
      <w:pPr>
        <w:jc w:val="both"/>
      </w:pPr>
      <w:r>
        <w:t xml:space="preserve">The doctoral research proposes Kendall's Tau to compare the ordinal relationship between SHAP-based feature rankings and rankings extracted from the generated narrative. This is a promising operationalization of the </w:t>
      </w:r>
      <w:r w:rsidR="00D6271A">
        <w:t>Nyaya</w:t>
      </w:r>
      <w:r>
        <w:t xml:space="preserve"> dimension because it attempts to quantify whether the narrative preserves the structure of the underlying evidence. It should, however, be treated as one indicator rather than a complete proof of reasoning fidelity.</w:t>
      </w:r>
    </w:p>
    <w:p w14:paraId="2265097D" w14:textId="77777777" w:rsidR="00F1148E" w:rsidRDefault="00000000" w:rsidP="003A1607">
      <w:pPr>
        <w:pStyle w:val="Heading2"/>
        <w:jc w:val="both"/>
      </w:pPr>
      <w:r>
        <w:t>8.3 Dharma: Responsible Communication</w:t>
      </w:r>
    </w:p>
    <w:p w14:paraId="1929B4B7" w14:textId="77777777" w:rsidR="00F1148E" w:rsidRDefault="00000000" w:rsidP="003A1607">
      <w:pPr>
        <w:jc w:val="both"/>
      </w:pPr>
      <w:r>
        <w:t xml:space="preserve">Dharma forms the third gate because a technically grounded and faithful explanation may still fail as a human communication. The borrower must be able to understand what the decision means, what factors contributed to it, and—where appropriate—what aspects of the financial profile may be improved. Dharma is used here to </w:t>
      </w:r>
      <w:r>
        <w:lastRenderedPageBreak/>
        <w:t>capture the responsibility associated with communicating a consequential decision, not to replace RBI requirements or legal standards.</w:t>
      </w:r>
    </w:p>
    <w:p w14:paraId="700692B7" w14:textId="77777777" w:rsidR="00F1148E" w:rsidRDefault="00000000" w:rsidP="003A1607">
      <w:pPr>
        <w:jc w:val="both"/>
      </w:pPr>
      <w:r>
        <w:t>This dimension is also where the Management and Commerce orientation becomes important. The question is not simply whether an AI system works; it is whether the system can be embedded in a responsible financial-service process. The explanation layer becomes a bridge among technical evidence, compliance requirements and human communication.</w:t>
      </w:r>
    </w:p>
    <w:p w14:paraId="47376633" w14:textId="77777777" w:rsidR="00F1148E" w:rsidRDefault="00000000" w:rsidP="003A1607">
      <w:pPr>
        <w:pStyle w:val="Heading2"/>
        <w:jc w:val="both"/>
      </w:pPr>
      <w:r>
        <w:t>8.4 The Integrated Chain</w:t>
      </w:r>
    </w:p>
    <w:p w14:paraId="335885C6" w14:textId="77777777" w:rsidR="00F1148E" w:rsidRDefault="00000000" w:rsidP="003A1607">
      <w:pPr>
        <w:jc w:val="both"/>
      </w:pPr>
      <w:r>
        <w:t>The three concepts form a sequential quality chain:</w:t>
      </w:r>
    </w:p>
    <w:p w14:paraId="6610CF33" w14:textId="47A85FF6" w:rsidR="00F1148E" w:rsidRDefault="00D6271A" w:rsidP="003A1607">
      <w:pPr>
        <w:jc w:val="both"/>
      </w:pPr>
      <w:r>
        <w:rPr>
          <w:b/>
          <w:sz w:val="30"/>
        </w:rPr>
        <w:t>PRAMANA → NYAYA → DHARMA</w:t>
      </w:r>
    </w:p>
    <w:p w14:paraId="2DE9C24D" w14:textId="77777777" w:rsidR="00F1148E" w:rsidRDefault="00000000" w:rsidP="003A1607">
      <w:pPr>
        <w:jc w:val="both"/>
      </w:pPr>
      <w:r>
        <w:rPr>
          <w:i/>
        </w:rPr>
        <w:t>Evidence → Reasoning → Responsible Communication</w:t>
      </w:r>
    </w:p>
    <w:p w14:paraId="7BCFD797" w14:textId="77777777" w:rsidR="00F1148E" w:rsidRDefault="00000000" w:rsidP="003A1607">
      <w:pPr>
        <w:jc w:val="both"/>
      </w:pPr>
      <w:r>
        <w:t>The sequence is cumulative. If evidence is not grounded, reasoning cannot be trusted. If reasoning is not faithful, responsible communication can become misleading even when it is well intentioned. If communication is not responsible, technically accurate information may still fail the person affected by the decision. Responsible explainability therefore requires all three dimensions.</w:t>
      </w:r>
    </w:p>
    <w:p w14:paraId="6F8EB0F7" w14:textId="77777777" w:rsidR="00F1148E" w:rsidRDefault="00000000" w:rsidP="003A1607">
      <w:pPr>
        <w:pStyle w:val="Heading2"/>
        <w:jc w:val="both"/>
      </w:pPr>
      <w:r>
        <w:t>8.5 Conceptual Propositions</w:t>
      </w:r>
    </w:p>
    <w:p w14:paraId="5027F056" w14:textId="73DCA109" w:rsidR="00F1148E" w:rsidRDefault="00000000" w:rsidP="003A1607">
      <w:pPr>
        <w:pStyle w:val="ListBullet"/>
        <w:jc w:val="both"/>
      </w:pPr>
      <w:r>
        <w:t>P1 Epistemic Grounding: The stronger the traceability of a borrower explanation to an identifiable evidentiary basis for the model decision, the stronger its epistemic grounding.</w:t>
      </w:r>
    </w:p>
    <w:p w14:paraId="273BEFC8" w14:textId="184BB231" w:rsidR="00F1148E" w:rsidRDefault="00000000" w:rsidP="003A1607">
      <w:pPr>
        <w:pStyle w:val="ListBullet"/>
        <w:jc w:val="both"/>
      </w:pPr>
      <w:r>
        <w:t>P2</w:t>
      </w:r>
      <w:r w:rsidR="00A90E81">
        <w:t xml:space="preserve"> </w:t>
      </w:r>
      <w:r>
        <w:t>Reasoning Fidelity: The stronger the preservation of the evidence–decision relationship in the generated narrative, the st</w:t>
      </w:r>
      <w:r w:rsidR="00A90E81">
        <w:t xml:space="preserve">t, </w:t>
      </w:r>
      <w:r>
        <w:t>ronger its reasoning fidelity.</w:t>
      </w:r>
    </w:p>
    <w:p w14:paraId="416A8BA5" w14:textId="64033F43" w:rsidR="00F1148E" w:rsidRDefault="00000000" w:rsidP="003A1607">
      <w:pPr>
        <w:pStyle w:val="ListBullet"/>
        <w:jc w:val="both"/>
      </w:pPr>
      <w:r>
        <w:t>P3 Responsible Communication: The stronger the alignment of the explanation with borrower comprehensibility, institutional responsibility and applicable regulatory criteria, the stronger its responsible-communication quality.</w:t>
      </w:r>
    </w:p>
    <w:p w14:paraId="2F7C176D" w14:textId="6B9EEBBE" w:rsidR="00F1148E" w:rsidRDefault="00000000" w:rsidP="003A1607">
      <w:pPr>
        <w:pStyle w:val="ListBullet"/>
        <w:jc w:val="both"/>
      </w:pPr>
      <w:r>
        <w:t>P4 Integrated Responsible Explainability: High-quality borrower explanation requires the joint satisfaction of epistemic grounding, reasoning fidelity and responsible communication; strength in only one dimension is insufficient.</w:t>
      </w:r>
    </w:p>
    <w:p w14:paraId="469B8C4F" w14:textId="7FDFD5D9" w:rsidR="00F1148E" w:rsidRDefault="00000000" w:rsidP="003A1607">
      <w:pPr>
        <w:pStyle w:val="Heading1"/>
        <w:jc w:val="both"/>
      </w:pPr>
      <w:r>
        <w:t xml:space="preserve">9. Relationship </w:t>
      </w:r>
      <w:r w:rsidR="00A90E81">
        <w:t>with</w:t>
      </w:r>
      <w:r>
        <w:t xml:space="preserve"> the Proposed Technical Architecture</w:t>
      </w:r>
    </w:p>
    <w:p w14:paraId="58629920" w14:textId="77777777" w:rsidR="00F1148E" w:rsidRDefault="00000000" w:rsidP="003A1607">
      <w:pPr>
        <w:jc w:val="both"/>
      </w:pPr>
      <w:r>
        <w:t>The framework is designed to sit above the technical architecture described in the doctoral research. The architecture separates a deterministic Underwriter Agent from a generative Compliance Agent. The Underwriter Agent uses a non-linear credit model and SHAP to produce a decision and feature attributions; the Compliance Agent uses constrained prompting to transform the verified attribution into borrower-facing language. The proposed deployment is local and API-independent, supporting a data-sovereign design.</w:t>
      </w:r>
    </w:p>
    <w:p w14:paraId="59994614" w14:textId="77777777" w:rsidR="00F1148E" w:rsidRDefault="00000000" w:rsidP="003A1607">
      <w:pPr>
        <w:jc w:val="both"/>
      </w:pPr>
      <w:r>
        <w:t>The conceptual mapping is as follows:</w:t>
      </w:r>
    </w:p>
    <w:tbl>
      <w:tblPr>
        <w:tblStyle w:val="TableGrid"/>
        <w:tblW w:w="0" w:type="auto"/>
        <w:tblLook w:val="04A0" w:firstRow="1" w:lastRow="0" w:firstColumn="1" w:lastColumn="0" w:noHBand="0" w:noVBand="1"/>
      </w:tblPr>
      <w:tblGrid>
        <w:gridCol w:w="2448"/>
        <w:gridCol w:w="2448"/>
        <w:gridCol w:w="2448"/>
        <w:gridCol w:w="2448"/>
      </w:tblGrid>
      <w:tr w:rsidR="00F1148E" w14:paraId="20F2FBAC" w14:textId="77777777">
        <w:tc>
          <w:tcPr>
            <w:tcW w:w="2448" w:type="dxa"/>
          </w:tcPr>
          <w:p w14:paraId="682244DB" w14:textId="77777777" w:rsidR="00F1148E" w:rsidRPr="00A90E81" w:rsidRDefault="00000000" w:rsidP="003A1607">
            <w:pPr>
              <w:jc w:val="both"/>
              <w:rPr>
                <w:b/>
                <w:bCs/>
              </w:rPr>
            </w:pPr>
            <w:r w:rsidRPr="00A90E81">
              <w:rPr>
                <w:b/>
                <w:bCs/>
              </w:rPr>
              <w:t>Technical stage</w:t>
            </w:r>
          </w:p>
        </w:tc>
        <w:tc>
          <w:tcPr>
            <w:tcW w:w="2448" w:type="dxa"/>
          </w:tcPr>
          <w:p w14:paraId="05B86C5D" w14:textId="77777777" w:rsidR="00F1148E" w:rsidRPr="00A90E81" w:rsidRDefault="00000000" w:rsidP="003A1607">
            <w:pPr>
              <w:jc w:val="both"/>
              <w:rPr>
                <w:b/>
                <w:bCs/>
              </w:rPr>
            </w:pPr>
            <w:r w:rsidRPr="00A90E81">
              <w:rPr>
                <w:b/>
                <w:bCs/>
              </w:rPr>
              <w:t>Primary function</w:t>
            </w:r>
          </w:p>
        </w:tc>
        <w:tc>
          <w:tcPr>
            <w:tcW w:w="2448" w:type="dxa"/>
          </w:tcPr>
          <w:p w14:paraId="0F21E75B" w14:textId="77777777" w:rsidR="00F1148E" w:rsidRPr="00A90E81" w:rsidRDefault="00000000" w:rsidP="003A1607">
            <w:pPr>
              <w:jc w:val="both"/>
              <w:rPr>
                <w:b/>
                <w:bCs/>
              </w:rPr>
            </w:pPr>
            <w:r w:rsidRPr="00A90E81">
              <w:rPr>
                <w:b/>
                <w:bCs/>
              </w:rPr>
              <w:t>IKS lens</w:t>
            </w:r>
          </w:p>
        </w:tc>
        <w:tc>
          <w:tcPr>
            <w:tcW w:w="2448" w:type="dxa"/>
          </w:tcPr>
          <w:p w14:paraId="22B5510C" w14:textId="77777777" w:rsidR="00F1148E" w:rsidRPr="00A90E81" w:rsidRDefault="00000000" w:rsidP="003A1607">
            <w:pPr>
              <w:jc w:val="both"/>
              <w:rPr>
                <w:b/>
                <w:bCs/>
              </w:rPr>
            </w:pPr>
            <w:r w:rsidRPr="00A90E81">
              <w:rPr>
                <w:b/>
                <w:bCs/>
              </w:rPr>
              <w:t>Quality question</w:t>
            </w:r>
          </w:p>
        </w:tc>
      </w:tr>
      <w:tr w:rsidR="00F1148E" w14:paraId="12BA1E9A" w14:textId="77777777">
        <w:tc>
          <w:tcPr>
            <w:tcW w:w="2448" w:type="dxa"/>
          </w:tcPr>
          <w:p w14:paraId="24ADC5CF" w14:textId="77777777" w:rsidR="00F1148E" w:rsidRPr="00A90E81" w:rsidRDefault="00000000" w:rsidP="00395EE3">
            <w:pPr>
              <w:rPr>
                <w:color w:val="1F497D" w:themeColor="text2"/>
              </w:rPr>
            </w:pPr>
            <w:r w:rsidRPr="00A90E81">
              <w:rPr>
                <w:color w:val="1F497D" w:themeColor="text2"/>
              </w:rPr>
              <w:t>Underwriter / ML model</w:t>
            </w:r>
          </w:p>
        </w:tc>
        <w:tc>
          <w:tcPr>
            <w:tcW w:w="2448" w:type="dxa"/>
          </w:tcPr>
          <w:p w14:paraId="398A6540" w14:textId="77777777" w:rsidR="00F1148E" w:rsidRDefault="00000000" w:rsidP="00395EE3">
            <w:r>
              <w:t>Generate credit decision</w:t>
            </w:r>
          </w:p>
        </w:tc>
        <w:tc>
          <w:tcPr>
            <w:tcW w:w="2448" w:type="dxa"/>
          </w:tcPr>
          <w:p w14:paraId="0D5B13EE" w14:textId="5787B0E8" w:rsidR="00F1148E" w:rsidRDefault="00395EE3" w:rsidP="00395EE3">
            <w:r>
              <w:t>-</w:t>
            </w:r>
          </w:p>
        </w:tc>
        <w:tc>
          <w:tcPr>
            <w:tcW w:w="2448" w:type="dxa"/>
          </w:tcPr>
          <w:p w14:paraId="7A185677" w14:textId="28C2D1FA" w:rsidR="00F1148E" w:rsidRDefault="00000000" w:rsidP="00395EE3">
            <w:r>
              <w:t>Was the decision generated by the predictive model</w:t>
            </w:r>
            <w:r w:rsidR="00C74D53">
              <w:t xml:space="preserve"> is good</w:t>
            </w:r>
            <w:r>
              <w:t>?</w:t>
            </w:r>
          </w:p>
        </w:tc>
      </w:tr>
      <w:tr w:rsidR="00F1148E" w14:paraId="61DC67D3" w14:textId="77777777">
        <w:tc>
          <w:tcPr>
            <w:tcW w:w="2448" w:type="dxa"/>
          </w:tcPr>
          <w:p w14:paraId="0934A7BB" w14:textId="77777777" w:rsidR="00F1148E" w:rsidRPr="00A90E81" w:rsidRDefault="00000000" w:rsidP="00395EE3">
            <w:pPr>
              <w:rPr>
                <w:color w:val="1F497D" w:themeColor="text2"/>
              </w:rPr>
            </w:pPr>
            <w:r w:rsidRPr="00A90E81">
              <w:rPr>
                <w:color w:val="1F497D" w:themeColor="text2"/>
              </w:rPr>
              <w:t>SHAP layer</w:t>
            </w:r>
          </w:p>
        </w:tc>
        <w:tc>
          <w:tcPr>
            <w:tcW w:w="2448" w:type="dxa"/>
          </w:tcPr>
          <w:p w14:paraId="441363BC" w14:textId="77777777" w:rsidR="00F1148E" w:rsidRDefault="00000000" w:rsidP="00395EE3">
            <w:r>
              <w:t>Generate feature attribution</w:t>
            </w:r>
          </w:p>
        </w:tc>
        <w:tc>
          <w:tcPr>
            <w:tcW w:w="2448" w:type="dxa"/>
          </w:tcPr>
          <w:p w14:paraId="36E602FB" w14:textId="51C31C7B" w:rsidR="00F1148E" w:rsidRDefault="00D6271A" w:rsidP="00395EE3">
            <w:r>
              <w:t>Pramana</w:t>
            </w:r>
          </w:p>
        </w:tc>
        <w:tc>
          <w:tcPr>
            <w:tcW w:w="2448" w:type="dxa"/>
          </w:tcPr>
          <w:p w14:paraId="310D2F4D" w14:textId="77777777" w:rsidR="00F1148E" w:rsidRDefault="00000000" w:rsidP="00395EE3">
            <w:r>
              <w:t>What evidence grounds the explanation?</w:t>
            </w:r>
          </w:p>
        </w:tc>
      </w:tr>
      <w:tr w:rsidR="00F1148E" w14:paraId="5F326E47" w14:textId="77777777">
        <w:tc>
          <w:tcPr>
            <w:tcW w:w="2448" w:type="dxa"/>
          </w:tcPr>
          <w:p w14:paraId="5F87F519" w14:textId="77777777" w:rsidR="00F1148E" w:rsidRPr="00A90E81" w:rsidRDefault="00000000" w:rsidP="00395EE3">
            <w:pPr>
              <w:rPr>
                <w:color w:val="1F497D" w:themeColor="text2"/>
              </w:rPr>
            </w:pPr>
            <w:r w:rsidRPr="00A90E81">
              <w:rPr>
                <w:color w:val="1F497D" w:themeColor="text2"/>
              </w:rPr>
              <w:lastRenderedPageBreak/>
              <w:t>Compliance Agent / LLM</w:t>
            </w:r>
          </w:p>
        </w:tc>
        <w:tc>
          <w:tcPr>
            <w:tcW w:w="2448" w:type="dxa"/>
          </w:tcPr>
          <w:p w14:paraId="7DD2AC0D" w14:textId="77777777" w:rsidR="00F1148E" w:rsidRDefault="00000000" w:rsidP="00395EE3">
            <w:r>
              <w:t>Translate verified attribution</w:t>
            </w:r>
          </w:p>
        </w:tc>
        <w:tc>
          <w:tcPr>
            <w:tcW w:w="2448" w:type="dxa"/>
          </w:tcPr>
          <w:p w14:paraId="161F651D" w14:textId="5B533385" w:rsidR="00F1148E" w:rsidRDefault="00D6271A" w:rsidP="00395EE3">
            <w:r>
              <w:t>Nyaya</w:t>
            </w:r>
          </w:p>
        </w:tc>
        <w:tc>
          <w:tcPr>
            <w:tcW w:w="2448" w:type="dxa"/>
          </w:tcPr>
          <w:p w14:paraId="4D76BCB6" w14:textId="77777777" w:rsidR="00F1148E" w:rsidRDefault="00000000" w:rsidP="00395EE3">
            <w:r>
              <w:t>Does the narrative preserve the evidence–decision relationship?</w:t>
            </w:r>
          </w:p>
        </w:tc>
      </w:tr>
      <w:tr w:rsidR="00F1148E" w14:paraId="603CCCDD" w14:textId="77777777">
        <w:tc>
          <w:tcPr>
            <w:tcW w:w="2448" w:type="dxa"/>
          </w:tcPr>
          <w:p w14:paraId="2CBD83AB" w14:textId="77777777" w:rsidR="00F1148E" w:rsidRPr="00A90E81" w:rsidRDefault="00000000" w:rsidP="00395EE3">
            <w:pPr>
              <w:rPr>
                <w:color w:val="1F497D" w:themeColor="text2"/>
              </w:rPr>
            </w:pPr>
            <w:r w:rsidRPr="00A90E81">
              <w:rPr>
                <w:color w:val="1F497D" w:themeColor="text2"/>
              </w:rPr>
              <w:t>Borrower-facing notice</w:t>
            </w:r>
          </w:p>
        </w:tc>
        <w:tc>
          <w:tcPr>
            <w:tcW w:w="2448" w:type="dxa"/>
          </w:tcPr>
          <w:p w14:paraId="7D7103D8" w14:textId="77777777" w:rsidR="00F1148E" w:rsidRDefault="00000000" w:rsidP="00395EE3">
            <w:r>
              <w:t>Communicate the decision</w:t>
            </w:r>
          </w:p>
        </w:tc>
        <w:tc>
          <w:tcPr>
            <w:tcW w:w="2448" w:type="dxa"/>
          </w:tcPr>
          <w:p w14:paraId="73AD75AB" w14:textId="77777777" w:rsidR="00F1148E" w:rsidRDefault="00000000" w:rsidP="00395EE3">
            <w:r>
              <w:t>Dharma</w:t>
            </w:r>
          </w:p>
        </w:tc>
        <w:tc>
          <w:tcPr>
            <w:tcW w:w="2448" w:type="dxa"/>
          </w:tcPr>
          <w:p w14:paraId="6088193B" w14:textId="77777777" w:rsidR="00F1148E" w:rsidRDefault="00000000" w:rsidP="00395EE3">
            <w:r>
              <w:t>Is the explanation responsible, understandable and context-appropriate?</w:t>
            </w:r>
          </w:p>
        </w:tc>
      </w:tr>
    </w:tbl>
    <w:p w14:paraId="341561AB" w14:textId="77777777" w:rsidR="00C74D53" w:rsidRDefault="00C74D53" w:rsidP="003A1607">
      <w:pPr>
        <w:jc w:val="both"/>
      </w:pPr>
    </w:p>
    <w:p w14:paraId="178C31B9" w14:textId="54FE1FC3" w:rsidR="00F1148E" w:rsidRDefault="00000000" w:rsidP="003A1607">
      <w:pPr>
        <w:jc w:val="both"/>
      </w:pPr>
      <w:r>
        <w:t xml:space="preserve">This mapping avoids the common conceptual error of treating an IKS concept as a technical algorithm. </w:t>
      </w:r>
      <w:r w:rsidR="00D6271A">
        <w:t>Pramana</w:t>
      </w:r>
      <w:r>
        <w:t xml:space="preserve"> does not calculate SHAP values; </w:t>
      </w:r>
      <w:r w:rsidR="00D6271A">
        <w:t>Nyaya</w:t>
      </w:r>
      <w:r>
        <w:t xml:space="preserve"> does not replace Kendall's Tau; and Dharma does not certify RBI compliance. The three concepts define quality questions that contemporary technical methods can help operationalize.</w:t>
      </w:r>
    </w:p>
    <w:p w14:paraId="785C4E36" w14:textId="77777777" w:rsidR="00F1148E" w:rsidRDefault="00000000" w:rsidP="003A1607">
      <w:pPr>
        <w:pStyle w:val="Heading1"/>
        <w:jc w:val="both"/>
      </w:pPr>
      <w:r>
        <w:t>10. Operationalization for Future Empirical Testing</w:t>
      </w:r>
    </w:p>
    <w:p w14:paraId="08315CD1" w14:textId="77777777" w:rsidR="00F1148E" w:rsidRDefault="00000000" w:rsidP="003A1607">
      <w:pPr>
        <w:jc w:val="both"/>
      </w:pPr>
      <w:r>
        <w:t>The value of a conceptual framework for a doctoral project depends partly on whether its constructs can later be operationalized. The proposed framework supports that transition. The doctoral research design uses public alternative-credit datasets, gradient-boosting models, SHAP, local open-weight LLMs and quantitative evaluation.</w:t>
      </w:r>
    </w:p>
    <w:p w14:paraId="68C26051" w14:textId="23142964" w:rsidR="00F1148E" w:rsidRDefault="00D6271A" w:rsidP="003A1607">
      <w:pPr>
        <w:jc w:val="both"/>
      </w:pPr>
      <w:r>
        <w:t>Pramana can be operationalized through provenance and grounding measures. Every stated rejection reason can be checked against the verified SHAP evidence. An unsupported-reason indicator can capture whether a generated reason is absent from the permitted evidence set.</w:t>
      </w:r>
    </w:p>
    <w:p w14:paraId="03F5EB95" w14:textId="40C6FF4F" w:rsidR="00F1148E" w:rsidRDefault="00D6271A" w:rsidP="003A1607">
      <w:pPr>
        <w:jc w:val="both"/>
      </w:pPr>
      <w:r>
        <w:t>Nyaya can be operationalized through concordance between ranked model evidence and ranked narrative reasons. Kendall's Tau can quantify the ordinal alignment, while human review can assess whether the narrative preserves the substantive relationship between grounds and decision. Rank correlation should not be interpreted as sufficient proof of explanation quality because a narrative can preserve rankings while remaining ambiguous or misleading.</w:t>
      </w:r>
    </w:p>
    <w:p w14:paraId="0C5B52AD" w14:textId="77777777" w:rsidR="00F1148E" w:rsidRDefault="00000000" w:rsidP="003A1607">
      <w:pPr>
        <w:jc w:val="both"/>
      </w:pPr>
      <w:r>
        <w:t>Dharma requires a broader evaluation strategy. Comparison with a humanly prepared reference set and language-quality measures can be complemented by structured human assessment of clarity, completeness, appropriateness and regulatory criteria. This would allow the normative dimension to be assessed rather than simply asserted.</w:t>
      </w:r>
    </w:p>
    <w:p w14:paraId="267F7C62" w14:textId="77777777" w:rsidR="00F1148E" w:rsidRDefault="00000000" w:rsidP="003A1607">
      <w:pPr>
        <w:jc w:val="both"/>
      </w:pPr>
      <w:r>
        <w:t>Cross-lingual testing can extend the framework to English and Hindi borrower-facing outputs. For the Dharma dimension, translation should not be evaluated only through lexical similarity; human evaluators should assess whether the explanation retains meaning, actionability and respectful communication across languages.</w:t>
      </w:r>
    </w:p>
    <w:p w14:paraId="03D384A9" w14:textId="77777777" w:rsidR="00F1148E" w:rsidRDefault="00000000" w:rsidP="003A1607">
      <w:pPr>
        <w:pStyle w:val="Heading1"/>
        <w:jc w:val="both"/>
      </w:pPr>
      <w:r>
        <w:t>11. Discussion</w:t>
      </w:r>
    </w:p>
    <w:p w14:paraId="6494FEB1" w14:textId="77777777" w:rsidR="00F1148E" w:rsidRDefault="00000000" w:rsidP="003A1607">
      <w:pPr>
        <w:pStyle w:val="Heading2"/>
        <w:jc w:val="both"/>
      </w:pPr>
      <w:r>
        <w:t>11.1 Contribution to IKS Scholarship</w:t>
      </w:r>
    </w:p>
    <w:p w14:paraId="42FBA817" w14:textId="16ABF939" w:rsidR="00F1148E" w:rsidRDefault="00000000" w:rsidP="003A1607">
      <w:pPr>
        <w:jc w:val="both"/>
      </w:pPr>
      <w:r>
        <w:t xml:space="preserve">The first contribution is conceptual: the paper demonstrates a disciplined way of bringing IKS into an emerging technology problem without treating IKS as a collection of decorative quotations. The three selected concepts perform distinct analytical functions. </w:t>
      </w:r>
      <w:r w:rsidR="00D6271A">
        <w:t>Pramana</w:t>
      </w:r>
      <w:r>
        <w:t xml:space="preserve"> contributes an epistemic question, </w:t>
      </w:r>
      <w:r w:rsidR="00D6271A">
        <w:t>Nyaya</w:t>
      </w:r>
      <w:r>
        <w:t xml:space="preserve"> a reasoning question, and Dharma a normative question. Their value lies in the structure they impose on the problem.</w:t>
      </w:r>
    </w:p>
    <w:p w14:paraId="4B6C4163" w14:textId="25B52E69" w:rsidR="00F1148E" w:rsidRDefault="00000000" w:rsidP="003A1607">
      <w:pPr>
        <w:jc w:val="both"/>
      </w:pPr>
      <w:r>
        <w:lastRenderedPageBreak/>
        <w:t xml:space="preserve">This distinction is important for scholarly credibility. Classical Indian philosophical schools are internally diverse, and the meanings of </w:t>
      </w:r>
      <w:r w:rsidR="00D6271A">
        <w:t>Pramana</w:t>
      </w:r>
      <w:r>
        <w:t xml:space="preserve">, </w:t>
      </w:r>
      <w:r w:rsidR="00D6271A">
        <w:t>Nyaya</w:t>
      </w:r>
      <w:r>
        <w:t xml:space="preserve"> and Dharma cannot be collapsed into modern AI terminology. The paper therefore makes no claim of historical continuity between ancient Indian epistemology and machine learning. It presents a contemporary conceptual appropriation that remains explicit about its limits.</w:t>
      </w:r>
    </w:p>
    <w:p w14:paraId="1315544D" w14:textId="77777777" w:rsidR="00F1148E" w:rsidRDefault="00000000" w:rsidP="003A1607">
      <w:pPr>
        <w:pStyle w:val="Heading2"/>
        <w:jc w:val="both"/>
      </w:pPr>
      <w:r>
        <w:t>11.2 Contribution to Management and Commerce</w:t>
      </w:r>
    </w:p>
    <w:p w14:paraId="344FBF94" w14:textId="77777777" w:rsidR="00F1148E" w:rsidRDefault="00000000" w:rsidP="003A1607">
      <w:pPr>
        <w:jc w:val="both"/>
      </w:pPr>
      <w:r>
        <w:t>The second contribution concerns responsible digital finance. Credit decisions affect access to financial resources and can shape future financial opportunities. A borrower explanation is therefore part of the service relationship between the financial institution and the customer. The framework shifts the focus from 'Can the model be explained?' to 'What makes the explanation responsible for the person receiving it?'</w:t>
      </w:r>
    </w:p>
    <w:p w14:paraId="72754DAE" w14:textId="77777777" w:rsidR="00F1148E" w:rsidRDefault="00000000" w:rsidP="003A1607">
      <w:pPr>
        <w:jc w:val="both"/>
      </w:pPr>
      <w:r>
        <w:t>For management and commerce scholars, this creates a bridge between AI governance and customer-facing process design. The explanation layer becomes a responsible-finance capability that must coordinate technical evidence, compliance requirements and human communication.</w:t>
      </w:r>
    </w:p>
    <w:p w14:paraId="1931FFE7" w14:textId="77777777" w:rsidR="00F1148E" w:rsidRDefault="00000000" w:rsidP="003A1607">
      <w:pPr>
        <w:pStyle w:val="Heading2"/>
        <w:jc w:val="both"/>
      </w:pPr>
      <w:r>
        <w:t>11.3 Contribution to AI/ML</w:t>
      </w:r>
    </w:p>
    <w:p w14:paraId="2E3305C7" w14:textId="77777777" w:rsidR="00F1148E" w:rsidRDefault="00000000" w:rsidP="003A1607">
      <w:pPr>
        <w:jc w:val="both"/>
      </w:pPr>
      <w:r>
        <w:t>For an AI/ML reviewer, the principal technical contribution is not a new algorithm. It is a clearer conceptual separation between predictive inference, mathematical attribution and generative narration. The framework treats the attribution layer as an evidentiary boundary and the LLM as a controlled translator rather than an autonomous reasoner.</w:t>
      </w:r>
    </w:p>
    <w:p w14:paraId="76717A5B" w14:textId="77777777" w:rsidR="00F1148E" w:rsidRDefault="00000000" w:rsidP="003A1607">
      <w:pPr>
        <w:jc w:val="both"/>
      </w:pPr>
      <w:r>
        <w:t>The framework also provides a useful caution for evaluation. High language similarity alone cannot establish explainability. A strong system should be evaluated on at least three axes: grounding, fidelity and responsible communication. This can help prevent an evaluation regime in which a fluent but unsupported explanation is incorrectly classified as successful.</w:t>
      </w:r>
    </w:p>
    <w:p w14:paraId="7A6FF7CE" w14:textId="77777777" w:rsidR="00F1148E" w:rsidRDefault="00000000" w:rsidP="003A1607">
      <w:pPr>
        <w:pStyle w:val="Heading2"/>
        <w:jc w:val="both"/>
      </w:pPr>
      <w:r>
        <w:t>11.4 Relevance to Viksit Bharat</w:t>
      </w:r>
    </w:p>
    <w:p w14:paraId="348298B1" w14:textId="77777777" w:rsidR="00F1148E" w:rsidRDefault="00000000" w:rsidP="003A1607">
      <w:pPr>
        <w:jc w:val="both"/>
      </w:pPr>
      <w:r>
        <w:t>The relevance to Viksit Bharat lies in the responsible scaling of digital financial infrastructure. The objective is not simply to automate more lending decisions; it is to build financial systems that can scale while maintaining trust, accountability and meaningful communication. An IKS-informed framework can contribute to this agenda by connecting contemporary digital technologies with Indian intellectual traditions without compromising technical rigor.</w:t>
      </w:r>
    </w:p>
    <w:p w14:paraId="112885B6" w14:textId="77777777" w:rsidR="00F1148E" w:rsidRDefault="00000000" w:rsidP="003A1607">
      <w:pPr>
        <w:pStyle w:val="Heading1"/>
        <w:jc w:val="both"/>
      </w:pPr>
      <w:r>
        <w:t>12. Limitations</w:t>
      </w:r>
    </w:p>
    <w:p w14:paraId="5A9E4E90" w14:textId="4BE41293" w:rsidR="00F1148E" w:rsidRDefault="00000000" w:rsidP="003A1607">
      <w:pPr>
        <w:jc w:val="both"/>
      </w:pPr>
      <w:r>
        <w:t xml:space="preserve">First, the framework is conceptual and has not yet been empirically validated. Second, the mapping between IKS concepts and AI requirements is interpretive rather than an identity claim; alternative readings may be possible across philosophical schools. Third, the proposed framework does not </w:t>
      </w:r>
      <w:r w:rsidR="0091686E">
        <w:t>establish legal compliance itself</w:t>
      </w:r>
      <w:r>
        <w:t>. Regulatory obligations vary by entity, product and current rules and must be assessed through appropriate legal and compliance processes. Fourth, the doctoral work is planned on public alternative-credit datasets and in a simulated, controlled environment rather than a live commercial banking production system.</w:t>
      </w:r>
    </w:p>
    <w:p w14:paraId="0638D40A" w14:textId="08506909" w:rsidR="00F1148E" w:rsidRDefault="00000000" w:rsidP="003A1607">
      <w:pPr>
        <w:jc w:val="both"/>
      </w:pPr>
      <w:r>
        <w:t xml:space="preserve">These limitations are intentional. They define the conference paper as a theoretical foundation for subsequent engineering and empirical validation rather than as a completed </w:t>
      </w:r>
      <w:r w:rsidR="0091686E">
        <w:t>production system</w:t>
      </w:r>
      <w:r>
        <w:t xml:space="preserve"> claim.</w:t>
      </w:r>
    </w:p>
    <w:p w14:paraId="4D2B426C" w14:textId="77777777" w:rsidR="00F1148E" w:rsidRDefault="00000000" w:rsidP="003A1607">
      <w:pPr>
        <w:pStyle w:val="Heading1"/>
        <w:jc w:val="both"/>
      </w:pPr>
      <w:r>
        <w:t>13. Conclusion</w:t>
      </w:r>
    </w:p>
    <w:p w14:paraId="0FA00B52" w14:textId="77777777" w:rsidR="00F1148E" w:rsidRDefault="00000000" w:rsidP="003A1607">
      <w:pPr>
        <w:jc w:val="both"/>
      </w:pPr>
      <w:r>
        <w:t xml:space="preserve">AI-enabled credit assessment creates a dual requirement: financial institutions need the predictive capability of complex models, while borrowers need explanations that are understandable, traceable and responsibly </w:t>
      </w:r>
      <w:r>
        <w:lastRenderedPageBreak/>
        <w:t>communicated. XAI methods such as SHAP can provide a strong technical basis for model-grounded explanation, but they do not automatically solve the narrative, governance and borrower-communication problem.</w:t>
      </w:r>
    </w:p>
    <w:p w14:paraId="09DEF35A" w14:textId="34A77B15" w:rsidR="00F1148E" w:rsidRDefault="00000000" w:rsidP="003A1607">
      <w:pPr>
        <w:jc w:val="both"/>
      </w:pPr>
      <w:r>
        <w:t xml:space="preserve">This paper proposes an IKS-informed response through the integration of </w:t>
      </w:r>
      <w:r w:rsidR="00D6271A">
        <w:t>Pramana</w:t>
      </w:r>
      <w:r>
        <w:t xml:space="preserve">, </w:t>
      </w:r>
      <w:r w:rsidR="00D6271A">
        <w:t>Nyaya</w:t>
      </w:r>
      <w:r>
        <w:t xml:space="preserve"> and Dharma. </w:t>
      </w:r>
      <w:r w:rsidR="00D6271A">
        <w:t>Pramana</w:t>
      </w:r>
      <w:r>
        <w:t xml:space="preserve"> frames the requirement of epistemic grounding; </w:t>
      </w:r>
      <w:r w:rsidR="00D6271A">
        <w:t>Nyaya</w:t>
      </w:r>
      <w:r>
        <w:t xml:space="preserve"> frames reasoning fidelity; and Dharma frames responsible action and communication. Together, they produce a three-stage conceptual quality chain: evidence → reasoning → responsible communication.</w:t>
      </w:r>
    </w:p>
    <w:p w14:paraId="492A7DC4" w14:textId="77777777" w:rsidR="00F1148E" w:rsidRDefault="00000000" w:rsidP="003A1607">
      <w:pPr>
        <w:jc w:val="both"/>
      </w:pPr>
      <w:r>
        <w:t>The framework's principal contribution is not to claim that classical Indian concepts are hidden versions of modern AI techniques. Rather, it demonstrates how carefully delimited IKS concepts can provide an intellectually coherent lens for evaluating a contemporary responsible-AI problem. This positioning is particularly appropriate for digital lending, where technical explanations must ultimately be translated into communications received by real borrowers.</w:t>
      </w:r>
    </w:p>
    <w:p w14:paraId="7E279946" w14:textId="77777777" w:rsidR="00F1148E" w:rsidRDefault="00000000" w:rsidP="003A1607">
      <w:pPr>
        <w:jc w:val="both"/>
      </w:pPr>
      <w:r>
        <w:t>For the doctoral research, the framework provides a theoretical layer that can guide later empirical validation. SHAP can operationalize the evidence dimension; rank-based and semantic measures can test reasoning fidelity; and structured human and regulatory assessments can evaluate responsible communication. The resulting research trajectory moves from conceptual grounding to technical architecture and finally to empirical validation.</w:t>
      </w:r>
    </w:p>
    <w:p w14:paraId="503000CC" w14:textId="0DB8D594" w:rsidR="00F1148E" w:rsidRDefault="00000000" w:rsidP="003A1607">
      <w:pPr>
        <w:jc w:val="both"/>
      </w:pPr>
      <w:r>
        <w:t xml:space="preserve">The broader implication is that responsible digital finance should not be measured only by predictive accuracy or automation speed. It should also be measured by whether consequential AI decisions can be grounded in evidence, communicated faithfully and delivered responsibly. The </w:t>
      </w:r>
      <w:r w:rsidR="00D6271A">
        <w:t>Pramana</w:t>
      </w:r>
      <w:r>
        <w:t>–</w:t>
      </w:r>
      <w:r w:rsidR="00D6271A">
        <w:t>Nyaya</w:t>
      </w:r>
      <w:r>
        <w:t>–Dharma framework offers one structured Indian conceptual pathway for making that requirement explicit.</w:t>
      </w:r>
    </w:p>
    <w:p w14:paraId="5C9B8160" w14:textId="77777777" w:rsidR="00F1148E" w:rsidRDefault="00000000" w:rsidP="003A1607">
      <w:pPr>
        <w:pStyle w:val="Heading1"/>
        <w:jc w:val="both"/>
      </w:pPr>
      <w:r>
        <w:t>14. References</w:t>
      </w:r>
    </w:p>
    <w:p w14:paraId="54BF35F6" w14:textId="77777777" w:rsidR="00F1148E" w:rsidRDefault="00000000" w:rsidP="003A1607">
      <w:pPr>
        <w:ind w:left="432" w:hanging="432"/>
        <w:jc w:val="both"/>
      </w:pPr>
      <w:r>
        <w:t>Arrieta, A. B.,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14:paraId="46860265" w14:textId="77777777" w:rsidR="00F1148E" w:rsidRDefault="00000000" w:rsidP="003A1607">
      <w:pPr>
        <w:ind w:left="432" w:hanging="432"/>
        <w:jc w:val="both"/>
      </w:pPr>
      <w:r>
        <w:t>Černevičienė, J., &amp; Kabašinskas, A. (2024). Explainable artificial intelligence (XAI) in finance: A systematic literature review. Artificial Intelligence Review, 57, 216. https://doi.org/10.1007/s10462-024-10854-8</w:t>
      </w:r>
    </w:p>
    <w:p w14:paraId="1E16C957" w14:textId="6A09F926" w:rsidR="00F1148E" w:rsidRDefault="00000000" w:rsidP="003A1607">
      <w:pPr>
        <w:ind w:left="432" w:hanging="432"/>
        <w:jc w:val="both"/>
      </w:pPr>
      <w:r>
        <w:t xml:space="preserve">Dasti, M. R., &amp; Phillips, S. H. (2017). The </w:t>
      </w:r>
      <w:r w:rsidR="00D6271A">
        <w:t>Nyaya</w:t>
      </w:r>
      <w:r>
        <w:t>-sūtra: Selections with early commentaries. Hackett Publishing.</w:t>
      </w:r>
    </w:p>
    <w:p w14:paraId="6B36D09D" w14:textId="77777777" w:rsidR="00F1148E" w:rsidRDefault="00000000" w:rsidP="003A1607">
      <w:pPr>
        <w:ind w:left="432" w:hanging="432"/>
        <w:jc w:val="both"/>
      </w:pPr>
      <w:r>
        <w:t>Doshi-Velez, F., &amp; Kim, B. (2017). Towards a rigorous science of interpretable machine learning. arXiv:1702.08608. https://doi.org/10.48550/arXiv.1702.08608</w:t>
      </w:r>
    </w:p>
    <w:p w14:paraId="30EE1836" w14:textId="77777777" w:rsidR="00F1148E" w:rsidRDefault="00000000" w:rsidP="003A1607">
      <w:pPr>
        <w:ind w:left="432" w:hanging="432"/>
        <w:jc w:val="both"/>
      </w:pPr>
      <w:r>
        <w:t>Ganeri, J. (2022). Epistemology in classical Indian philosophy. In E. N. Zalta (Ed.), The Stanford Encyclopedia of Philosophy (Fall 2022 Edition).</w:t>
      </w:r>
    </w:p>
    <w:p w14:paraId="3923AF27" w14:textId="77777777" w:rsidR="00F1148E" w:rsidRDefault="00000000" w:rsidP="003A1607">
      <w:pPr>
        <w:ind w:left="432" w:hanging="432"/>
        <w:jc w:val="both"/>
      </w:pPr>
      <w:r>
        <w:t>Geng, W., Liu, D., Li, L., &amp; Wang, Y. (2026). Could large language models work as post-hoc explainability tools in credit risk models? arXiv:2602.18895. https://arxiv.org/abs/2602.18895</w:t>
      </w:r>
    </w:p>
    <w:p w14:paraId="29033559" w14:textId="77777777" w:rsidR="00F1148E" w:rsidRDefault="00000000" w:rsidP="003A1607">
      <w:pPr>
        <w:ind w:left="432" w:hanging="432"/>
        <w:jc w:val="both"/>
      </w:pPr>
      <w:r>
        <w:t>Gramegna, A., &amp; Giudici, P. (2021). SHAP and LIME: An evaluation of discriminative power in credit risk. Frontiers in Artificial Intelligence, 4, 752558. https://doi.org/10.3389/frai.2021.752558</w:t>
      </w:r>
    </w:p>
    <w:p w14:paraId="7B226A6D" w14:textId="77777777" w:rsidR="00F1148E" w:rsidRDefault="00000000" w:rsidP="003A1607">
      <w:pPr>
        <w:ind w:left="432" w:hanging="432"/>
        <w:jc w:val="both"/>
      </w:pPr>
      <w:r>
        <w:lastRenderedPageBreak/>
        <w:t>Guidotti, R., Monreale, A., Ruggieri, S., Turini, F., Giannotti, F., &amp; Pedreschi, D. (2018). A survey of methods for explaining black box models. ACM Computing Surveys, 51(5), Article 93. https://doi.org/10.1145/3236009</w:t>
      </w:r>
    </w:p>
    <w:p w14:paraId="7259C24B" w14:textId="77777777" w:rsidR="00F1148E" w:rsidRDefault="00000000" w:rsidP="003A1607">
      <w:pPr>
        <w:ind w:left="432" w:hanging="432"/>
        <w:jc w:val="both"/>
      </w:pPr>
      <w:r>
        <w:t>Lipton, Z. C. (2018). The mythos of model interpretability. ACM Queue, 16(3). https://doi.org/10.1145/3236386.3241340</w:t>
      </w:r>
    </w:p>
    <w:p w14:paraId="787FAA42" w14:textId="77777777" w:rsidR="00F1148E" w:rsidRDefault="00000000" w:rsidP="003A1607">
      <w:pPr>
        <w:ind w:left="432" w:hanging="432"/>
        <w:jc w:val="both"/>
      </w:pPr>
      <w:r>
        <w:t>Lundberg, S. M., &amp; Lee, S.-I. (2017). A unified approach to interpreting model predictions. Advances in Neural Information Processing Systems, 30, 4765–4774.</w:t>
      </w:r>
    </w:p>
    <w:p w14:paraId="54B39F49" w14:textId="77777777" w:rsidR="00F1148E" w:rsidRDefault="00000000" w:rsidP="003A1607">
      <w:pPr>
        <w:ind w:left="432" w:hanging="432"/>
        <w:jc w:val="both"/>
      </w:pPr>
      <w:r>
        <w:t>Lyu, Q., Apidianaki, M., &amp; Callison-Burch, C. (2024). Towards faithful model explanation in NLP: A survey. Computational Linguistics, 50(2), 657–723. https://doi.org/10.1162/coli_a_00511</w:t>
      </w:r>
    </w:p>
    <w:p w14:paraId="09F2905C" w14:textId="77777777" w:rsidR="00F1148E" w:rsidRDefault="00000000" w:rsidP="003A1607">
      <w:pPr>
        <w:ind w:left="432" w:hanging="432"/>
        <w:jc w:val="both"/>
      </w:pPr>
      <w:r>
        <w:t>Nadkarni, M. V. (2011). Ethics in Hinduism. In Ethics for our times: Essays in Gandhian perspective (pp. 211–240). Oxford University Press. https://doi.org/10.1093/acprof:oso/9780198073864.003.0010</w:t>
      </w:r>
    </w:p>
    <w:p w14:paraId="3998CEEC" w14:textId="77777777" w:rsidR="00F1148E" w:rsidRDefault="00000000" w:rsidP="003A1607">
      <w:pPr>
        <w:ind w:left="432" w:hanging="432"/>
        <w:jc w:val="both"/>
      </w:pPr>
      <w:r>
        <w:t>Ratzan, J., &amp; Rahman, N. (2024). Measuring responsible artificial intelligence (RAI) in banking: A valid and reliable instrument. AI and Ethics, 4, 1279–1297. https://doi.org/10.1007/s43681-023-00321-5</w:t>
      </w:r>
    </w:p>
    <w:p w14:paraId="364701BC" w14:textId="77777777" w:rsidR="00F1148E" w:rsidRDefault="00000000" w:rsidP="003A1607">
      <w:pPr>
        <w:ind w:left="432" w:hanging="432"/>
        <w:jc w:val="both"/>
      </w:pPr>
      <w:r>
        <w:t>Reserve Bank of India. (2006). Guidelines on fair practices code for Non-Banking Financial Companies (Circular No. RBI/2006-07/138, DNBS (PD) CC No. 80/03.10.042/2005-06).</w:t>
      </w:r>
    </w:p>
    <w:p w14:paraId="5D1A6682" w14:textId="77777777" w:rsidR="00F1148E" w:rsidRDefault="00000000" w:rsidP="003A1607">
      <w:pPr>
        <w:ind w:left="432" w:hanging="432"/>
        <w:jc w:val="both"/>
      </w:pPr>
      <w:r>
        <w:t>Reserve Bank of India. (2025). Reserve Bank of India (Digital Lending) Directions, 2025 (RBI/2025-26/36, DOR.STR.REC.19/21.07.001/2025-26).</w:t>
      </w:r>
    </w:p>
    <w:p w14:paraId="58DB6191" w14:textId="77777777" w:rsidR="00F1148E" w:rsidRDefault="00000000" w:rsidP="003A1607">
      <w:pPr>
        <w:ind w:left="432" w:hanging="432"/>
        <w:jc w:val="both"/>
      </w:pPr>
      <w:r>
        <w:t>Ribeiro, M. T., Singh, S., &amp; Guestrin, C. (2016). “Why should I trust you?”: Explaining the predictions of any classifier. Proceedings of the 22nd ACM SIGKDD International Conference on Knowledge Discovery and Data Mining, 1135–1144. https://doi.org/10.1145/2939672.2939778</w:t>
      </w:r>
    </w:p>
    <w:p w14:paraId="733AD76E" w14:textId="77777777" w:rsidR="00F1148E" w:rsidRDefault="00000000" w:rsidP="003A1607">
      <w:pPr>
        <w:ind w:left="432" w:hanging="432"/>
        <w:jc w:val="both"/>
      </w:pPr>
      <w:r>
        <w:t>Sharma, A. (2005). Dharma. In Modern Hindu thought: An introduction (pp. 89–105). Oxford University Press. https://doi.org/10.1093/acprof:oso/9780195676389.003.0013</w:t>
      </w:r>
    </w:p>
    <w:p w14:paraId="33679C69" w14:textId="77777777" w:rsidR="00F1148E" w:rsidRDefault="00000000" w:rsidP="003A1607">
      <w:pPr>
        <w:ind w:left="432" w:hanging="432"/>
        <w:jc w:val="both"/>
      </w:pPr>
      <w:r>
        <w:t>Weber, P., Carl, K. V., &amp; Hinz, O. (2024). Applications of Explainable Artificial Intelligence in Finance—a systematic review of Finance, Information Systems, and Computer Science literature. Management Review Quarterly, 74, 867–907. https://doi.org/10.1007/s11301-023-00320-0</w:t>
      </w:r>
    </w:p>
    <w:sectPr w:rsidR="00F1148E" w:rsidSect="00034616">
      <w:footerReference w:type="default" r:id="rId8"/>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15BE7" w14:textId="77777777" w:rsidR="00B32C8C" w:rsidRDefault="00B32C8C">
      <w:pPr>
        <w:spacing w:after="0" w:line="240" w:lineRule="auto"/>
      </w:pPr>
      <w:r>
        <w:separator/>
      </w:r>
    </w:p>
  </w:endnote>
  <w:endnote w:type="continuationSeparator" w:id="0">
    <w:p w14:paraId="59D53B04" w14:textId="77777777" w:rsidR="00B32C8C" w:rsidRDefault="00B32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C3A5F" w14:textId="77777777" w:rsidR="00F1148E" w:rsidRDefault="00000000">
    <w:pPr>
      <w:pStyle w:val="Footer"/>
      <w:jc w:val="center"/>
    </w:pPr>
    <w:r>
      <w:t xml:space="preserve">Page </w:t>
    </w:r>
    <w:r>
      <w:fldChar w:fldCharType="begin"/>
    </w:r>
    <w:r>
      <w:instrText>PAGE</w:instrText>
    </w:r>
    <w:r>
      <w:fldChar w:fldCharType="separate"/>
    </w:r>
    <w:r w:rsidR="003A16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210E7" w14:textId="77777777" w:rsidR="00B32C8C" w:rsidRDefault="00B32C8C">
      <w:pPr>
        <w:spacing w:after="0" w:line="240" w:lineRule="auto"/>
      </w:pPr>
      <w:r>
        <w:separator/>
      </w:r>
    </w:p>
  </w:footnote>
  <w:footnote w:type="continuationSeparator" w:id="0">
    <w:p w14:paraId="316B3C07" w14:textId="77777777" w:rsidR="00B32C8C" w:rsidRDefault="00B32C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7195455">
    <w:abstractNumId w:val="8"/>
  </w:num>
  <w:num w:numId="2" w16cid:durableId="1338574876">
    <w:abstractNumId w:val="6"/>
  </w:num>
  <w:num w:numId="3" w16cid:durableId="901914928">
    <w:abstractNumId w:val="5"/>
  </w:num>
  <w:num w:numId="4" w16cid:durableId="2073193667">
    <w:abstractNumId w:val="4"/>
  </w:num>
  <w:num w:numId="5" w16cid:durableId="1454786651">
    <w:abstractNumId w:val="7"/>
  </w:num>
  <w:num w:numId="6" w16cid:durableId="869412777">
    <w:abstractNumId w:val="3"/>
  </w:num>
  <w:num w:numId="7" w16cid:durableId="569996188">
    <w:abstractNumId w:val="2"/>
  </w:num>
  <w:num w:numId="8" w16cid:durableId="1885091497">
    <w:abstractNumId w:val="1"/>
  </w:num>
  <w:num w:numId="9" w16cid:durableId="1768227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AE1"/>
    <w:rsid w:val="0006063C"/>
    <w:rsid w:val="000F1BCF"/>
    <w:rsid w:val="0015074B"/>
    <w:rsid w:val="001B0B15"/>
    <w:rsid w:val="0020181A"/>
    <w:rsid w:val="00221F42"/>
    <w:rsid w:val="002876FA"/>
    <w:rsid w:val="0029639D"/>
    <w:rsid w:val="002A7B26"/>
    <w:rsid w:val="00326F90"/>
    <w:rsid w:val="00395EE3"/>
    <w:rsid w:val="003A1607"/>
    <w:rsid w:val="00530386"/>
    <w:rsid w:val="006310BC"/>
    <w:rsid w:val="006E1CE2"/>
    <w:rsid w:val="006E2BFC"/>
    <w:rsid w:val="007D69B7"/>
    <w:rsid w:val="0091686E"/>
    <w:rsid w:val="00A90E81"/>
    <w:rsid w:val="00AA1D8D"/>
    <w:rsid w:val="00B32C8C"/>
    <w:rsid w:val="00B47730"/>
    <w:rsid w:val="00B706C1"/>
    <w:rsid w:val="00BC4AEE"/>
    <w:rsid w:val="00BF5BB9"/>
    <w:rsid w:val="00C0048E"/>
    <w:rsid w:val="00C74D53"/>
    <w:rsid w:val="00CB0664"/>
    <w:rsid w:val="00D6271A"/>
    <w:rsid w:val="00E54DE4"/>
    <w:rsid w:val="00ED0C0F"/>
    <w:rsid w:val="00EF654B"/>
    <w:rsid w:val="00F1148E"/>
    <w:rsid w:val="00F5089E"/>
    <w:rsid w:val="00F94B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3FF3A"/>
  <w14:defaultImageDpi w14:val="300"/>
  <w15:docId w15:val="{32BB3167-4465-424C-8E17-FAAEA08E9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13</Pages>
  <Words>5982</Words>
  <Characters>34103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Jaiprakash Prajapati</cp:lastModifiedBy>
  <cp:revision>17</cp:revision>
  <dcterms:created xsi:type="dcterms:W3CDTF">2013-12-23T23:15:00Z</dcterms:created>
  <dcterms:modified xsi:type="dcterms:W3CDTF">2026-09-29T06:23:00Z</dcterms:modified>
  <cp:category/>
</cp:coreProperties>
</file>