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0"/>
          <w:szCs w:val="30"/>
          <w:rFonts w:ascii="Arial" w:hAnsi="Arial" w:eastAsia="Malgun Gothic" w:cs="Arial"/>
        </w:rPr>
        <w:t xml:space="preserve">Billionfold Korea L/S — BBAS 유동성 리밋 기반 종목 유니버스</w:t>
      </w:r>
    </w:p>
    <w:p>
      <w:pPr>
        <w:spacing w:after="40" w:before="0"/>
      </w:pPr>
      <w:r>
        <w:rPr>
          <w:color w:val="595959"/>
          <w:sz w:val="17"/>
          <w:szCs w:val="17"/>
          <w:rFonts w:ascii="Arial" w:hAnsi="Arial" w:eastAsia="Malgun Gothic" w:cs="Arial"/>
        </w:rPr>
        <w:t xml:space="preserve">Screening Memo | 데이터 기준일 2026-09-03 (KRX 종가) | 작성 2026-09-05 | 첨부: Korea_Universe_BBAS_2026-09-03.xlsx</w:t>
      </w:r>
    </w:p>
    <w:p>
      <w:pPr>
        <w:spacing w:after="160" w:before="0"/>
      </w:pPr>
      <w:r>
        <w:rPr>
          <w:color w:val="595959"/>
          <w:sz w:val="17"/>
          <w:szCs w:val="17"/>
          <w:rFonts w:ascii="Arial" w:hAnsi="Arial" w:eastAsia="Malgun Gothic" w:cs="Arial"/>
        </w:rPr>
        <w:t xml:space="preserve">Rule 참고: BBAS Rule.xlsx (2026-07-31), Billionfold Junior Guide (2026-09-05)</w:t>
      </w:r>
    </w:p>
    <w:p>
      <w:pPr>
        <w:pStyle w:val="Heading1"/>
        <w:spacing w:before="240" w:after="100"/>
      </w:pPr>
      <w:r>
        <w:rPr>
          <w:b/>
          <w:bCs/>
          <w:color w:val="1F3864"/>
          <w:sz w:val="26"/>
          <w:szCs w:val="26"/>
          <w:rFonts w:ascii="Arial" w:hAnsi="Arial" w:eastAsia="Malgun Gothic" w:cs="Arial"/>
        </w:rPr>
        <w:t xml:space="preserve">0. 핵심 결론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  <w:rFonts w:ascii="Arial" w:hAnsi="Arial" w:eastAsia="Malgun Gothic" w:cs="Arial"/>
        </w:rPr>
        <w:t xml:space="preserve">유니버스 = </w:t>
      </w:r>
      <w:r>
        <w:rPr>
          <w:sz w:val="19"/>
          <w:szCs w:val="19"/>
          <w:rFonts w:ascii="Arial" w:hAnsi="Arial" w:eastAsia="Malgun Gothic" w:cs="Arial"/>
        </w:rPr>
        <w:t xml:space="preserve">492종목 (KRX 상장 2,872종목의 17%, 시총 커버리지 95%). Tier A1 221 / A2 61 / A3 72 / B(3천억-7천억) 138.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  <w:rFonts w:ascii="Arial" w:hAnsi="Arial" w:eastAsia="Malgun Gothic" w:cs="Arial"/>
        </w:rPr>
        <w:t xml:space="preserve">실질 운용 유니버스는 더 좁음: </w:t>
      </w:r>
      <w:r>
        <w:rPr>
          <w:sz w:val="19"/>
          <w:szCs w:val="19"/>
          <w:rFonts w:ascii="Arial" w:hAnsi="Arial" w:eastAsia="Malgun Gothic" w:cs="Arial"/>
        </w:rPr>
        <w:t xml:space="preserve">500억 Book 기준 6% 풀사이즈(30억)를 3거래일 내 청산 가능한 종목 329개, 1,000억 Book(60억)은 242개. Stress(ADV -50%) 시 242개.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  <w:rFonts w:ascii="Arial" w:hAnsi="Arial" w:eastAsia="Malgun Gothic" w:cs="Arial"/>
        </w:rPr>
        <w:t xml:space="preserve">특수상황 하이라이트 </w:t>
      </w:r>
      <w:r>
        <w:rPr>
          <w:sz w:val="19"/>
          <w:szCs w:val="19"/>
          <w:rFonts w:ascii="Arial" w:hAnsi="Arial" w:eastAsia="Malgun Gothic" w:cs="Arial"/>
        </w:rPr>
        <w:t xml:space="preserve">107종목 (이벤트 태그 63 + 정량 시그널 44). 엑셀 Universe 시트 노란 배경.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  <w:rFonts w:ascii="Arial" w:hAnsi="Arial" w:eastAsia="Malgun Gothic" w:cs="Arial"/>
        </w:rPr>
        <w:t xml:space="preserve">Mid-cap Alpha(B) bucket의 구조적 제약: </w:t>
      </w:r>
      <w:r>
        <w:rPr>
          <w:sz w:val="19"/>
          <w:szCs w:val="19"/>
          <w:rFonts w:ascii="Arial" w:hAnsi="Arial" w:eastAsia="Malgun Gothic" w:cs="Arial"/>
        </w:rPr>
        <w:t xml:space="preserve">138종목이 후보이나 합산 7% = 500억 Book에서 35억 → 실질 2-3포지션. Korea Special-Sit alpha는 Event Play(10%, 40거래일) 승인 경로 없이는 scale 불가.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  <w:rFonts w:ascii="Arial" w:hAnsi="Arial" w:eastAsia="Malgun Gothic" w:cs="Arial"/>
        </w:rPr>
        <w:t xml:space="preserve">밸류에이션·ROE·ROIC: </w:t>
      </w:r>
      <w:r>
        <w:rPr>
          <w:sz w:val="19"/>
          <w:szCs w:val="19"/>
          <w:rFonts w:ascii="Arial" w:hAnsi="Arial" w:eastAsia="Malgun Gothic" w:cs="Arial"/>
        </w:rPr>
        <w:t xml:space="preserve">본 환경에서 Capital IQ/DART 접근 불가 → 엑셀에 CIQ 수식(IFERROR 래핑) 삽입. CIQ 연결 Excel에서 열면 종목별·Tier 평균이 자동 채워짐. 본 메모의 밸류 평균은 미산출(추정치 기재하지 않음).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  <w:rFonts w:ascii="Arial" w:hAnsi="Arial" w:eastAsia="Malgun Gothic" w:cs="Arial"/>
        </w:rPr>
        <w:t xml:space="preserve">시장 regime 주의: </w:t>
      </w:r>
      <w:r>
        <w:rPr>
          <w:sz w:val="19"/>
          <w:szCs w:val="19"/>
          <w:rFonts w:ascii="Arial" w:hAnsi="Arial" w:eastAsia="Malgun Gothic" w:cs="Arial"/>
        </w:rPr>
        <w:t xml:space="preserve">유니버스 시총가중 YTD 86%, YTD +100% 이상 45종목 vs -30% 이하 78종목. 대형주 다수가 52주 고점 대비 -30~-50% → 급등 후 급락 regime. 40거래일 내 ±15% 일변동 2회 이상(Short cap -4%) 종목이 유니버스 내 118개(A1에서 58개).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  <w:rFonts w:ascii="Arial" w:hAnsi="Arial" w:eastAsia="Malgun Gothic" w:cs="Arial"/>
        </w:rPr>
        <w:t xml:space="preserve">투자 아이디어 10건 (7장): </w:t>
      </w:r>
      <w:r>
        <w:rPr>
          <w:sz w:val="19"/>
          <w:szCs w:val="19"/>
          <w:rFonts w:ascii="Arial" w:hAnsi="Arial" w:eastAsia="Malgun Gothic" w:cs="Arial"/>
        </w:rPr>
        <w:t xml:space="preserve">우선주-보통주 pair 2건, 지주 NAV 2건, spin/merger 3건, PE 공개매수 1건, 저PBR basket 1건, 과열 short screen 1건. 방향·사이징·업사이드/다운사이드 범위·반대논거 포함. 모두 CIQ 밸류 확인 전 '가설' 단계.</w:t>
      </w:r>
    </w:p>
    <w:p>
      <w:pPr>
        <w:pStyle w:val="Heading1"/>
        <w:spacing w:before="240" w:after="100"/>
      </w:pPr>
      <w:r>
        <w:rPr>
          <w:b/>
          <w:bCs/>
          <w:color w:val="1F3864"/>
          <w:sz w:val="26"/>
          <w:szCs w:val="26"/>
          <w:rFonts w:ascii="Arial" w:hAnsi="Arial" w:eastAsia="Malgun Gothic" w:cs="Arial"/>
        </w:rPr>
        <w:t xml:space="preserve">1. 데이터 · 방법론 · 한계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  <w:rFonts w:ascii="Arial" w:hAnsi="Arial" w:eastAsia="Malgun Gothic" w:cs="Arial"/>
        </w:rPr>
        <w:t xml:space="preserve">가격/거래대금/시총: </w:t>
      </w:r>
      <w:r>
        <w:rPr>
          <w:sz w:val="19"/>
          <w:szCs w:val="19"/>
          <w:rFonts w:ascii="Arial" w:hAnsi="Arial" w:eastAsia="Malgun Gothic" w:cs="Arial"/>
        </w:rPr>
        <w:t xml:space="preserve">KRX 전종목시세(FinanceData/marcap, github 일별 갱신), 2025-01-02 ~ 2026-09-03. 수익률은 KRX 등락률 기반(액면분할·분할재상장 조정), 시총은 최근 20영업일 평균(BBAS 참고: 1개월 평균 시총 적용 가능).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  <w:rFonts w:ascii="Arial" w:hAnsi="Arial" w:eastAsia="Malgun Gothic" w:cs="Arial"/>
        </w:rPr>
        <w:t xml:space="preserve">ADV: </w:t>
      </w:r>
      <w:r>
        <w:rPr>
          <w:sz w:val="19"/>
          <w:szCs w:val="19"/>
          <w:rFonts w:ascii="Arial" w:hAnsi="Arial" w:eastAsia="Malgun Gothic" w:cs="Arial"/>
        </w:rPr>
        <w:t xml:space="preserve">min(20D, 60D) 평균 거래대금, 거래정지일 제외. 가이드 5장의 ADV 20% lookback 미확정 → 보수적으로 두 값 중 작은 값.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  <w:rFonts w:ascii="Arial" w:hAnsi="Arial" w:eastAsia="Malgun Gothic" w:cs="Arial"/>
        </w:rPr>
        <w:t xml:space="preserve">제외: </w:t>
      </w:r>
      <w:r>
        <w:rPr>
          <w:sz w:val="19"/>
          <w:szCs w:val="19"/>
          <w:rFonts w:ascii="Arial" w:hAnsi="Arial" w:eastAsia="Malgun Gothic" w:cs="Arial"/>
        </w:rPr>
        <w:t xml:space="preserve">KONEX 108, SPAC 70, 관리·투자주의환기 163, 거래정지 50, 시총 3천억 미만 1,809 → 잔여 672에 유동성 필터 적용.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  <w:rFonts w:ascii="Arial" w:hAnsi="Arial" w:eastAsia="Malgun Gothic" w:cs="Arial"/>
        </w:rPr>
        <w:t xml:space="preserve">불가/미완 항목: </w:t>
      </w:r>
      <w:r>
        <w:rPr>
          <w:sz w:val="19"/>
          <w:szCs w:val="19"/>
          <w:rFonts w:ascii="Arial" w:hAnsi="Arial" w:eastAsia="Malgun Gothic" w:cs="Arial"/>
        </w:rPr>
        <w:t xml:space="preserve">(1) Capital IQ 미접근: 재무·컨센서스 없음. (2) 이벤트 태그는 모델 지식 기반(2026년 중반 이전) → DART 검증 필수. (3) 섹터는 2018 스냅샷(커버리지 75%). (4) 대차 가능 여부·비용 미반영.</w:t>
      </w:r>
    </w:p>
    <w:p>
      <w:pPr>
        <w:pStyle w:val="Heading1"/>
        <w:spacing w:before="240" w:after="100"/>
      </w:pPr>
      <w:r>
        <w:rPr>
          <w:b/>
          <w:bCs/>
          <w:color w:val="1F3864"/>
          <w:sz w:val="26"/>
          <w:szCs w:val="26"/>
          <w:rFonts w:ascii="Arial" w:hAnsi="Arial" w:eastAsia="Malgun Gothic" w:cs="Arial"/>
        </w:rPr>
        <w:t xml:space="preserve">2. BBAS 룰 → 스크린 변수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500"/>
        <w:gridCol w:w="1400"/>
        <w:gridCol w:w="14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hAnsi="Arial" w:eastAsia="Malgun Gothic" w:cs="Arial"/>
              </w:rPr>
              <w:t xml:space="preserve">BBAS 항목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hAnsi="Arial" w:eastAsia="Malgun Gothic" w:cs="Arial"/>
              </w:rPr>
              <w:t xml:space="preserve">원문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hAnsi="Arial" w:eastAsia="Malgun Gothic" w:cs="Arial"/>
              </w:rPr>
              <w:t xml:space="preserve">스크린 적용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hAnsi="Arial" w:eastAsia="Malgun Gothic" w:cs="Arial"/>
              </w:rPr>
              <w:t xml:space="preserve">500억 Book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hAnsi="Arial" w:eastAsia="Malgun Gothic" w:cs="Arial"/>
              </w:rPr>
              <w:t xml:space="preserve">1,000억 Book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② 편입비 제한 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±6%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Position cap = 6% × Book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30억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60억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③ Event Play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±10%, 사전승인, 최장 40거래일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별도 bucket (C tier 편입 경로)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50억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100억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④ 편입비 제한 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시총 1-2위 Long 8%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삼성전자·SK하이닉스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40억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80억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⑤ TOP5 합산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25%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포트 구성 제약 (스크린 미적용)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125억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250억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⑥ 시총 구간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3천억 미만 불가, 3천-7천억 합산 7%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1M 평균 시총 → Tier C / 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B 합산 35억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B 합산 70억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Gross-Cut Period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3거래일, 1일 최소 1/3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3일 내 청산 = 20%×3일×ADV = 60%×ADV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ADV ≥ 50억 → 6% OK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ADV ≥ 100억 → 6% OK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ADV 20% (컴플라이언스)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일일 주문 ADV 20% 이내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참여율 20% (Params 조정 가능)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-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참고 (Short)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40거래일 ±15% 2회 → -4%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Vol15_40D ≥ 2 → Short cap -4%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118종목 해당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Stress (가정)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-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ADV 50% haircut → 30%×ADV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  <w:t xml:space="preserve">6% OK 242종목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  <w:rFonts w:ascii="Arial" w:hAnsi="Arial" w:eastAsia="Malgun Gothic" w:cs="Arial"/>
              </w:rPr>
            </w:r>
          </w:p>
        </w:tc>
      </w:tr>
    </w:tbl>
    <w:p>
      <w:pPr>
        <w:spacing w:after="120" w:before="0"/>
      </w:pPr>
      <w:r>
        <w:rPr>
          <w:i/>
          <w:iCs/>
          <w:color w:val="595959"/>
          <w:sz w:val="16"/>
          <w:szCs w:val="16"/>
          <w:rFonts w:ascii="Arial" w:hAnsi="Arial" w:eastAsia="Malgun Gothic" w:cs="Arial"/>
        </w:rPr>
        <w:t xml:space="preserve">Tier 정의: A1 = 시총≥7천억 &amp; 1,000억 Book 6% 3일 청산 가능 / A2 = 500억 Book만 6% 가능 / A3 = 시총≥7천억이나 2-6%만 가능 / B = 3천-7천억 &amp; ≥2% 가능 / C = Event Play 전용 / X = 제외</w:t>
      </w:r>
    </w:p>
    <w:p>
      <w:pPr>
        <w:pStyle w:val="Heading1"/>
        <w:spacing w:before="240" w:after="100"/>
      </w:pPr>
      <w:r>
        <w:rPr>
          <w:b/>
          <w:bCs/>
          <w:color w:val="1F3864"/>
          <w:sz w:val="26"/>
          <w:szCs w:val="26"/>
          <w:rFonts w:ascii="Arial" w:hAnsi="Arial" w:eastAsia="Malgun Gothic" w:cs="Arial"/>
        </w:rPr>
        <w:t xml:space="preserve">3. 유니버스 결과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"/>
        <w:gridCol w:w="1000"/>
        <w:gridCol w:w="1000"/>
        <w:gridCol w:w="800"/>
        <w:gridCol w:w="800"/>
        <w:gridCol w:w="800"/>
        <w:gridCol w:w="900"/>
        <w:gridCol w:w="900"/>
        <w:gridCol w:w="8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Arial" w:hAnsi="Arial" w:eastAsia="Malgun Gothic" w:cs="Arial"/>
              </w:rPr>
              <w:t xml:space="preserve">Tier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Arial" w:hAnsi="Arial" w:eastAsia="Malgun Gothic" w:cs="Arial"/>
              </w:rPr>
              <w:t xml:space="preserve">#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Arial" w:hAnsi="Arial" w:eastAsia="Malgun Gothic" w:cs="Arial"/>
              </w:rPr>
              <w:t xml:space="preserve">중위 시총(억)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Arial" w:hAnsi="Arial" w:eastAsia="Malgun Gothic" w:cs="Arial"/>
              </w:rPr>
              <w:t xml:space="preserve">중위 ADV20(억)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Arial" w:hAnsi="Arial" w:eastAsia="Malgun Gothic" w:cs="Arial"/>
              </w:rPr>
              <w:t xml:space="preserve">일 회전율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Arial" w:hAnsi="Arial" w:eastAsia="Malgun Gothic" w:cs="Arial"/>
              </w:rPr>
              <w:t xml:space="preserve">60D Vol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Arial" w:hAnsi="Arial" w:eastAsia="Malgun Gothic" w:cs="Arial"/>
              </w:rPr>
              <w:t xml:space="preserve">YTD 중위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Arial" w:hAnsi="Arial" w:eastAsia="Malgun Gothic" w:cs="Arial"/>
              </w:rPr>
              <w:t xml:space="preserve">6% OK @500억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Arial" w:hAnsi="Arial" w:eastAsia="Malgun Gothic" w:cs="Arial"/>
              </w:rPr>
              <w:t xml:space="preserve">6% OK @1,000억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Arial" w:hAnsi="Arial" w:eastAsia="Malgun Gothic" w:cs="Arial"/>
              </w:rPr>
              <w:t xml:space="preserve">특수상황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A1 Core Liquid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221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45,608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365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0.7%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87.5%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+19%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221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221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63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A2 Core Liquid (500억 book)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61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11,837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74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0.6%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82.9%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-4%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61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7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A3 Large-cap Illiquid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72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13,289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32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0.2%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59.1%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-4%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13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B Mid-cap Alpha (7% bucket)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138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4,606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41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0.9%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94.1%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-3%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47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21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24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TOTAL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492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14,481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111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0.6%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85.2%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+7%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329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242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107</w:t>
            </w:r>
          </w:p>
        </w:tc>
      </w:tr>
    </w:tbl>
    <w:p>
      <w:pPr>
        <w:spacing w:after="80" w:before="0"/>
      </w:pPr>
      <w:r>
        <w:rPr>
          <w:sz w:val="19"/>
          <w:szCs w:val="19"/>
          <w:rFonts w:ascii="Arial" w:hAnsi="Arial" w:eastAsia="Malgun Gothic" w:cs="Arial"/>
        </w:rPr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  <w:rFonts w:ascii="Arial" w:hAnsi="Arial" w:eastAsia="Malgun Gothic" w:cs="Arial"/>
        </w:rPr>
        <w:t xml:space="preserve">집중도: </w:t>
      </w:r>
      <w:r>
        <w:rPr>
          <w:sz w:val="19"/>
          <w:szCs w:val="19"/>
          <w:rFonts w:ascii="Arial" w:hAnsi="Arial" w:eastAsia="Malgun Gothic" w:cs="Arial"/>
        </w:rPr>
        <w:t xml:space="preserve">A1이 유니버스 시총의 95%, 상위 10종목이 60%. 3일 청산 기준 총 gross capacity(Σ MaxPos%NAV) = 500억 Book 2583%p / 1,000억 Book 2129%p → Gross 100% 포트는 유동성만으로는 충분히 구성 가능.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  <w:rFonts w:ascii="Arial" w:hAnsi="Arial" w:eastAsia="Malgun Gothic" w:cs="Arial"/>
        </w:rPr>
        <w:t xml:space="preserve">시총 구간별: </w:t>
      </w:r>
      <w:r>
        <w:rPr>
          <w:sz w:val="19"/>
          <w:szCs w:val="19"/>
          <w:rFonts w:ascii="Arial" w:hAnsi="Arial" w:eastAsia="Malgun Gothic" w:cs="Arial"/>
        </w:rPr>
        <w:t xml:space="preserve">≥7천억 387종목 중 354 편입 / 3천-7천억 292 중 138 / 3천억 미만 2,193 전부 제외(BBAS ⑥).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  <w:rFonts w:ascii="Arial" w:hAnsi="Arial" w:eastAsia="Malgun Gothic" w:cs="Arial"/>
        </w:rPr>
        <w:t xml:space="preserve">Event-Play 후보(엑셀 Excluded 시트): </w:t>
      </w:r>
      <w:r>
        <w:rPr>
          <w:sz w:val="19"/>
          <w:szCs w:val="19"/>
          <w:rFonts w:ascii="Arial" w:hAnsi="Arial" w:eastAsia="Malgun Gothic" w:cs="Arial"/>
        </w:rPr>
        <w:t xml:space="preserve">(A) 시총&lt;3천억이나 ADV20≥30억 136종목 — 유동성은 충분하나 룰상 일반 편입 불가. (B) 시총≥7천억이나 ADV 부족 31종목 (동서, 하이트진로, HDC, 태광산업, 영풍, SK디스커버리 등 지배구조 이벤트 밀집). (C) 3천-7천억 ADV 부족 149종목.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  <w:rFonts w:ascii="Arial" w:hAnsi="Arial" w:eastAsia="Malgun Gothic" w:cs="Arial"/>
        </w:rPr>
        <w:t xml:space="preserve">가이드 예시 검증: </w:t>
      </w:r>
      <w:r>
        <w:rPr>
          <w:sz w:val="19"/>
          <w:szCs w:val="19"/>
          <w:rFonts w:ascii="Arial" w:hAnsi="Arial" w:eastAsia="Malgun Gothic" w:cs="Arial"/>
        </w:rPr>
        <w:t xml:space="preserve">500억/40종목/Gross 100% 동일비중(12.5억) → 필요 ADV 20.8억. A1-A2-B 상위 420종목이 충족. 문제는 종목 수가 아니라 Special-Sit 종목이 대부분 B/C tier에 몰려 있다는 점.</w:t>
      </w:r>
    </w:p>
    <w:p>
      <w:pPr>
        <w:pStyle w:val="Heading1"/>
        <w:spacing w:before="240" w:after="100"/>
      </w:pPr>
      <w:r>
        <w:rPr>
          <w:b/>
          <w:bCs/>
          <w:color w:val="1F3864"/>
          <w:sz w:val="26"/>
          <w:szCs w:val="26"/>
          <w:rFonts w:ascii="Arial" w:hAnsi="Arial" w:eastAsia="Malgun Gothic" w:cs="Arial"/>
        </w:rPr>
        <w:t xml:space="preserve">4. 특수상황(Special Situation) 하이라이트</w:t>
      </w:r>
    </w:p>
    <w:p>
      <w:pPr>
        <w:spacing w:after="120" w:before="0"/>
      </w:pPr>
      <w:r>
        <w:rPr>
          <w:i/>
          <w:iCs/>
          <w:color w:val="595959"/>
          <w:sz w:val="16"/>
          <w:szCs w:val="16"/>
          <w:rFonts w:ascii="Arial" w:hAnsi="Arial" w:eastAsia="Malgun Gothic" w:cs="Arial"/>
        </w:rPr>
        <w:t xml:space="preserve">이벤트 태그 63종목 (모델 지식 기반, 검증 필요) + 정량 시그널 44종목 (거래정지 이력·주식수 급변·신규상장·거래대금 급증·1M 급등락·우선주). 전체 목록은 엑셀 Special_Situations 시트.</w:t>
      </w:r>
    </w:p>
    <w:p>
      <w:pPr>
        <w:pStyle w:val="Heading2"/>
        <w:spacing w:before="160" w:after="60"/>
      </w:pPr>
      <w:r>
        <w:rPr>
          <w:b/>
          <w:bCs/>
          <w:color w:val="1F3864"/>
          <w:sz w:val="21"/>
          <w:szCs w:val="21"/>
          <w:rFonts w:ascii="Arial" w:hAnsi="Arial" w:eastAsia="Malgun Gothic" w:cs="Arial"/>
        </w:rPr>
        <w:t xml:space="preserve">4-1. 이벤트 태그 종목 (시총순)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50"/>
        <w:gridCol w:w="1000"/>
        <w:gridCol w:w="3600"/>
        <w:gridCol w:w="800"/>
        <w:gridCol w:w="700"/>
        <w:gridCol w:w="600"/>
        <w:gridCol w:w="700"/>
      </w:tblGrid>
      <w:tr>
        <w:trPr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3"/>
                <w:szCs w:val="13"/>
                <w:rFonts w:ascii="Arial" w:hAnsi="Arial" w:eastAsia="Malgun Gothic" w:cs="Arial"/>
              </w:rPr>
              <w:t xml:space="preserve">종목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3"/>
                <w:szCs w:val="13"/>
                <w:rFonts w:ascii="Arial" w:hAnsi="Arial" w:eastAsia="Malgun Gothic" w:cs="Arial"/>
              </w:rPr>
              <w:t xml:space="preserve">Tier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3"/>
                <w:szCs w:val="13"/>
                <w:rFonts w:ascii="Arial" w:hAnsi="Arial" w:eastAsia="Malgun Gothic" w:cs="Arial"/>
              </w:rPr>
              <w:t xml:space="preserve">유형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3"/>
                <w:szCs w:val="13"/>
                <w:rFonts w:ascii="Arial" w:hAnsi="Arial" w:eastAsia="Malgun Gothic" w:cs="Arial"/>
              </w:rPr>
              <w:t xml:space="preserve">내용 (검증 필요)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3"/>
                <w:szCs w:val="13"/>
                <w:rFonts w:ascii="Arial" w:hAnsi="Arial" w:eastAsia="Malgun Gothic" w:cs="Arial"/>
              </w:rPr>
              <w:t xml:space="preserve">시총(억)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3"/>
                <w:szCs w:val="13"/>
                <w:rFonts w:ascii="Arial" w:hAnsi="Arial" w:eastAsia="Malgun Gothic" w:cs="Arial"/>
              </w:rPr>
              <w:t xml:space="preserve">ADV20(억)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3"/>
                <w:szCs w:val="13"/>
                <w:rFonts w:ascii="Arial" w:hAnsi="Arial" w:eastAsia="Malgun Gothic" w:cs="Arial"/>
              </w:rPr>
              <w:t xml:space="preserve">YTD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3"/>
                <w:szCs w:val="13"/>
                <w:rFonts w:ascii="Arial" w:hAnsi="Arial" w:eastAsia="Malgun Gothic" w:cs="Arial"/>
              </w:rPr>
              <w:t xml:space="preserve">MaxPos@500억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삼성전자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주주환원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10조 자사주 매입/소각(2024-25). 우선주 디스카운트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14,615,697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56,441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+109%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삼성전자우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우선주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삼성전자 우선주 괴리율 -26%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1,477,165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7,628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+106%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SK스퀘어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지주/NAV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SK하이닉스 지분 NAV 대비 디스카운트. 자사주 소각·주주환원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1,294,174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6,163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+167%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현대차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밸류업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TSR 35% 밸류업·자사주 소각. 지배구조 개편 잠재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785,246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2,447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+29%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삼성바이오로직스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분할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2025-11 인적분할(삼성에피스홀딩스 신설). post-spin 재평가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683,717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760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-13%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KB금융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밸류업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총주주환원 50%·자사주 소각 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630,989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1,876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+43%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삼성생명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규제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보험업법 개정 시 삼성전자 지분 매각 리스크/기회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606,000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1,398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+92%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삼성물산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지주/NAV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삼성전자·삼성바이오 지분 NAV 디스카운트. 지배구조 개편 시나리오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603,263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1,346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+55%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한화에어로스페이스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지배구조/증자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대규모 유상증자(2025)·그룹 승계 관련. 방산 슈퍼사이클 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539,869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2,056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+11%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신한지주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밸류업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자사주 소각·주주환원 확대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537,521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1,240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+49%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두산에너빌리티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구조개편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두산 그룹 리밸런싱 핵심. 원전 사이클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507,324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2,090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+5%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셀트리온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합병/자사주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셀트리온제약 합병 논의·대규모 자사주 소각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435,227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983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+8%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SK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지주/리밸런싱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SK 그룹 리밸런싱(자회사 매각·합병). 지주 NAV 디스카운트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395,140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832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+113%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하나금융지주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밸류업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자사주 소각·주주환원 확대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382,743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991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+48%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현대모비스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지배구조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현대차그룹 순환출자 해소 시나리오 핵심. 자사주 소각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380,390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1,525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+14%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LG전자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상장자회사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인도법인 IPO(2025-10) 후 지분가치 재평가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325,281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1,985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+117%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NAVER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M&amp;A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두나무 지분교환(NAVER파이낸셜) 딜 진행 여부 확인. 자사주 소각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315,559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1,972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-14%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LS ELECTRIC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액면분할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2026-04 액면분할(5:1). 데이터센터 전력기기 사이클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288,150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1,171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+109%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POSCO홀딩스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밸류업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철강 구조조정·자사주 소각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271,006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884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+12%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고려아연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경영권 분쟁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고려아연 vs 영풍/MBK 경영권 분쟁·공개매수·자사주 매입 후속. 유상증자/집중투표 등 법적 분쟁 지속 여부 확인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255,485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464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-7%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우리금융지주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밸류업/M&amp;A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동양·ABL생명 인수 후 통합. 자본비율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255,297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880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+24%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효성중공업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분할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효성 그룹 계열분리(HS효성) 이후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254,094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1,206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+53%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메리츠금융지주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밸류업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자사주 소각 모범 사례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229,098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334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+21%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SK이노베이션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합병/구조조정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SK E&amp;S 합병 후 SK온 구조조정. 배터리 downcycle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221,121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1,330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+29%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LG화학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지분매각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LGES 지분 일부 매각 옵션. 배터리 downcycle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202,600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452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-14%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HMM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민영화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산은·해진공 지분 매각(민영화) 이벤트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201,381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335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+4%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SK텔레콤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구조조정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해킹 사태(2025) 후유증·주주환원 정책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191,163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1,428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+66%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두산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지주/합병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두산밥캣-두산로보틱스 합병 무산(2024) 이후 재추진 리스크. 두산에너빌리티 지분 NAV 디스카운트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182,181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674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+44%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KT&amp;G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행동주의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FCP 등 행동주의·자사주 소각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181,357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456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+23%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LG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지주/NAV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지주 디스카운트·자사주 소각. 상법개정 수혜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178,860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356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+47%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HD현대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지주/NAV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조선·전력기기 자회사 NAV 디스카운트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168,650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270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+13%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카카오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구조조정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비핵심 계열사 매각·지배구조 이슈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156,594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967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-41%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현대글로비스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지배구조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총수일가 지분 핵심 계열사. 승계 이벤트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151,500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323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+12%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KT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주주환원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자사주 소각·현대차 최대주주 구도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135,588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186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+2%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대한항공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합병/통합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아시아나 합병(2024-12) 후 통합 시너지·부채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107,336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707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+29%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한진칼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경영권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아시아나 통합·호반 지분 매입(2025) 경영권 이슈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89,328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123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+8%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삼성에피스홀딩스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분할/신규상장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삼성바이오로직스 인적분할 신설법인(2025-11). 바이오시밀러 순수 exposure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88,459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354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-52%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한화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분할/재상장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2026-08 인적분할 후 재상장(한화머시너리앤서비스홀딩스 신설). 승계·구조개편 이벤트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71,301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581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+37%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대우건설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급등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YTD +350%. 건설주 테마·중흥그룹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68,827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1,253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+339%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HD건설기계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합병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HD현대건설기계+HD현대인프라코어 합병(2026-01 완료). post-merger 시너지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64,838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316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+38%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현대차2우B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우선주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현대차 2우B 괴리율 -52%, 유동성 양호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64,543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217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-13%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두산밥캣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합병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두산 구조개편 대상. 저PBR·밸류업 후보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60,198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87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+9%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한미약품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경영권 분쟁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한미사이언스 자회사. 지배구조 정리 시 재평가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58,995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846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+2%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오리온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지주구조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오리온홀딩스 지주 디스카운트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51,111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134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+22%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두산로보틱스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합병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두산밥캣 합병 재추진 가능성. 합병비율 논란 재발 리스크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42,911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287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-15%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CJ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지주/승계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올리브영 IPO/합병·CJ4우(전환) 2029 보통주 전환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37,492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166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-25%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한온시스템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M&amp;A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한국앤컴퍼니 인수(2024-25) 후 구조조정·증자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35,868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118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+18%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신세계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계열분리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신세계-이마트 계열분리(2025). 자산가치 재평가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35,844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365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+54%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한미사이언스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경영권 분쟁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한미약품그룹 경영권 분쟁(가족·라데팡스 등). 거래대금 급증으로 이벤트 진행 중 시사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35,222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271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+42%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효성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분할/지주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효성-HS효성 계열분리. 저유동성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26,617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30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+39%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3.5%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롯데케미칼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구조조정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롯데케미칼 자산매각·구조조정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26,093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82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-13%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롯데지주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지주/구조조정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롯데 그룹 유동성·자산매각 구조조정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24,766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30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-6%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3.6%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이마트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계열분리/JV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알리바바 JV·계열분리. 저PBR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20,366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92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-9%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롯데렌탈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PE인수/공개매수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어피너티 인수(2025) 후 잔여지분 공개매수/상폐 가능성. YTD +68%·거래대금 급증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18,300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90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+60%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5.7%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셀트리온제약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합병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셀트리온 합병 대상 논의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18,138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34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-30%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4.1%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두산우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우선주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두산 우선주 괴리율 -64%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15,966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31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-15%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3.7%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오리온홀딩스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지주/NAV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오리온 지분 NAV 디스카운트. 저유동성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15,220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19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+22%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2.3%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삼성전기우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우선주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삼성전기 우선주 괴리율 -63%, 유동성 양호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14,361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181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+326%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미래에셋증권2우B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우선주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미래에셋증권 2우B 괴리율 -68%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13,554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-3%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2.6%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LG전자우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우선주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LG전자 우선주 괴리율 -63%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12,697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59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+52%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코미코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분할/자본변동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2026 주식수 급변 2회·거래정지 이력. 분할/합병 구조 확인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12,481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142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+35%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금호건설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급등/거래대금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YTD +290%·±15%일 7회. 건설주 테마 과열, Short cap -4%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6,152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2,095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+314%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한화머시너리앤서비스홀딩스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분할/신규상장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한화 분할 신설법인 재상장 8일차. post-spin 수급 왜곡 구간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5,232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517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6.0%</w:t>
            </w:r>
          </w:p>
        </w:tc>
      </w:tr>
    </w:tbl>
    <w:p>
      <w:pPr>
        <w:pStyle w:val="Heading2"/>
        <w:spacing w:before="160" w:after="60"/>
      </w:pPr>
      <w:r>
        <w:rPr>
          <w:b/>
          <w:bCs/>
          <w:color w:val="1F3864"/>
          <w:sz w:val="21"/>
          <w:szCs w:val="21"/>
          <w:rFonts w:ascii="Arial" w:hAnsi="Arial" w:eastAsia="Malgun Gothic" w:cs="Arial"/>
        </w:rPr>
        <w:t xml:space="preserve">4-2. 정량 시그널만 있는 종목 (상위 25, 시총순)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0"/>
        <w:gridCol w:w="4000"/>
        <w:gridCol w:w="900"/>
        <w:gridCol w:w="800"/>
        <w:gridCol w:w="700"/>
        <w:gridCol w:w="7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3"/>
                <w:szCs w:val="13"/>
                <w:rFonts w:ascii="Arial" w:hAnsi="Arial" w:eastAsia="Malgun Gothic" w:cs="Arial"/>
              </w:rPr>
              <w:t xml:space="preserve">종목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3"/>
                <w:szCs w:val="13"/>
                <w:rFonts w:ascii="Arial" w:hAnsi="Arial" w:eastAsia="Malgun Gothic" w:cs="Arial"/>
              </w:rPr>
              <w:t xml:space="preserve">Tier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3"/>
                <w:szCs w:val="13"/>
                <w:rFonts w:ascii="Arial" w:hAnsi="Arial" w:eastAsia="Malgun Gothic" w:cs="Arial"/>
              </w:rPr>
              <w:t xml:space="preserve">시그널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3"/>
                <w:szCs w:val="13"/>
                <w:rFonts w:ascii="Arial" w:hAnsi="Arial" w:eastAsia="Malgun Gothic" w:cs="Arial"/>
              </w:rPr>
              <w:t xml:space="preserve">시총(억)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3"/>
                <w:szCs w:val="13"/>
                <w:rFonts w:ascii="Arial" w:hAnsi="Arial" w:eastAsia="Malgun Gothic" w:cs="Arial"/>
              </w:rPr>
              <w:t xml:space="preserve">ADV20(억)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3"/>
                <w:szCs w:val="13"/>
                <w:rFonts w:ascii="Arial" w:hAnsi="Arial" w:eastAsia="Malgun Gothic" w:cs="Arial"/>
              </w:rPr>
              <w:t xml:space="preserve">YTD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3"/>
                <w:szCs w:val="13"/>
                <w:rFonts w:ascii="Arial" w:hAnsi="Arial" w:eastAsia="Malgun Gothic" w:cs="Arial"/>
              </w:rPr>
              <w:t xml:space="preserve">1M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한화솔루션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주식수 급변(분할/합병/액면/증자)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67,243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1,368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+18%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-1%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가온전선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주식수 급변(분할/합병/액면/증자); ±15%일 2회+ (Short cap -4%)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62,086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343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+355%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+31%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엘앤에프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1M ±30%/50% 급등락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49,188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730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+27%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+51%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현대차우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우선주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43,134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139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-10%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-9%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SKC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주식수 급변(분할/합병/액면/증자); 52wH 대비 -50% 이상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41,613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109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-14%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+3%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실리콘투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거래대금 급증(20D/120D≥2.5x)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31,804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965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+25%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+31%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케어젠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52wH 대비 -50% 이상; 1M ±30%/50% 급등락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23,554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48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-39%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-31%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디앤디파마텍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주식수 급변(분할/합병/액면/증자); 52wH 대비 -50% 이상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22,231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629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-47%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-9%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NHN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거래대금 급증(20D/120D≥2.5x); ±15%일 2회+ (Short cap -4%); 1M ±30%/50% 급등락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21,584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225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+127%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+54%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LS마린솔루션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주식수 급변(분할/합병/액면/증자)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15,515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32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-1%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-5%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코스메카코리아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거래대금 급증(20D/120D≥2.5x); 1M ±30%/50% 급등락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14,333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270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+102%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+55%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삼성화재우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우선주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13,276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47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+17%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+10%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비츠로셀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주식수 급변(분할/합병/액면/증자); 52wH 대비 -50% 이상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12,752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137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+60%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-12%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삼아알미늄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1M ±30%/50% 급등락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10,465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131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+191%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+75%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한화손해보험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1M ±30%/50% 급등락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10,448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70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+61%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+52%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LG화학우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우선주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9,995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-22%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+7%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티엘비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주식수 급변(분할/합병/액면/증자); ±15%일 2회+ (Short cap -4%)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8,924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242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+32%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+34%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빙그레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거래대금 급증(20D/120D≥2.5x)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8,528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124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+23%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+36%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씨어스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주식수 급변(분할/합병/액면/증자); ±15%일 2회+ (Short cap -4%); 52wH 대비 -50% 이상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7,937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78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-52%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-27%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인제니아테라퓨틱스(Reg.S)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거래정지이력(분할/합병 재상장 추정); 신규상장&lt;120일; ±15%일 2회+ (Short cap -4%)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7,822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2,468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온코닉테라퓨틱스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B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주식수 급변(분할/합병/액면/증자); ±15%일 2회+ (Short cap -4%)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7,769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180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-12%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+31%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알지노믹스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주식수 급변(분할/합병/액면/증자); ±15%일 2회+ (Short cap -4%); 52wH 대비 -50% 이상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7,407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133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-67%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-18%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피노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B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±15%일 2회+ (Short cap -4%); 52wH 대비 -50% 이상; 1M ±30%/50% 급등락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7,357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122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+61%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+59%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루닛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A3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주식수 급변(분할/합병/액면/증자); 52wH 대비 -50% 이상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6,374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41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-56%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-20%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티에프이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B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±15%일 2회+ (Short cap -4%); 1M ±30%/50% 급등락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6,260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49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+39%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+56%</w:t>
            </w:r>
          </w:p>
        </w:tc>
      </w:tr>
    </w:tbl>
    <w:p>
      <w:pPr>
        <w:pStyle w:val="Heading2"/>
        <w:spacing w:before="160" w:after="60"/>
      </w:pPr>
      <w:r>
        <w:rPr>
          <w:b/>
          <w:bCs/>
          <w:color w:val="1F3864"/>
          <w:sz w:val="21"/>
          <w:szCs w:val="21"/>
          <w:rFonts w:ascii="Arial" w:hAnsi="Arial" w:eastAsia="Malgun Gothic" w:cs="Arial"/>
        </w:rPr>
        <w:t xml:space="preserve">4-3. 우선주-보통주 괴리율 (우선주 ADV20 ≥ 5억, 괴리 큰 순)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000"/>
        <w:gridCol w:w="1400"/>
        <w:gridCol w:w="13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Arial" w:hAnsi="Arial" w:eastAsia="Malgun Gothic" w:cs="Arial"/>
              </w:rPr>
              <w:t xml:space="preserve">우선주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Arial" w:hAnsi="Arial" w:eastAsia="Malgun Gothic" w:cs="Arial"/>
              </w:rPr>
              <w:t xml:space="preserve">보통주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Arial" w:hAnsi="Arial" w:eastAsia="Malgun Gothic" w:cs="Arial"/>
              </w:rPr>
              <w:t xml:space="preserve">괴리율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Arial" w:hAnsi="Arial" w:eastAsia="Malgun Gothic" w:cs="Arial"/>
              </w:rPr>
              <w:t xml:space="preserve">우선주 ADV20(억)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Arial" w:hAnsi="Arial" w:eastAsia="Malgun Gothic" w:cs="Arial"/>
              </w:rPr>
              <w:t xml:space="preserve">우선주 Tier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Arial" w:hAnsi="Arial" w:eastAsia="Malgun Gothic" w:cs="Arial"/>
              </w:rPr>
              <w:t xml:space="preserve">보통주 Tier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한화3우B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한화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-70%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29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A1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아모레퍼시픽우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아모레퍼시픽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-68%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A1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미래에셋증권2우B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미래에셋증권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-68%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21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A1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두산우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두산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-64%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31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A1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LG생활건강우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LG생활건강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-64%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A1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삼성전기우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삼성전기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-63%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181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A1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LG전자우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LG전자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-63%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59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A1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삼성SDI우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삼성SDI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-60%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A1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한화머시너리앤서비스홀딩스3우B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한화머시너리앤서비스홀딩스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-57%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165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LG화학우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LG화학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-55%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22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A1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S-Oil우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S-Oil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-53%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A1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현대차3우B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현대차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-53%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A1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현대차2우B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현대차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-52%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217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A1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현대차우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현대차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-52%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139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A1</w:t>
            </w:r>
          </w:p>
        </w:tc>
      </w:tr>
    </w:tbl>
    <w:p>
      <w:pPr>
        <w:spacing w:after="120" w:before="0"/>
      </w:pPr>
      <w:r>
        <w:rPr>
          <w:i/>
          <w:iCs/>
          <w:color w:val="595959"/>
          <w:sz w:val="16"/>
          <w:szCs w:val="16"/>
          <w:rFonts w:ascii="Arial" w:hAnsi="Arial" w:eastAsia="Malgun Gothic" w:cs="Arial"/>
        </w:rPr>
        <w:t xml:space="preserve">25쌍 중위 괴리율 -52%. Pair 전략은 BBAS상 편입비 제한 없음(양 leg 차이 4% 이내), 단 우선주 leg 유동성이 binding.</w:t>
      </w:r>
    </w:p>
    <w:p>
      <w:pPr>
        <w:pStyle w:val="Heading2"/>
        <w:spacing w:before="160" w:after="60"/>
      </w:pPr>
      <w:r>
        <w:rPr>
          <w:b/>
          <w:bCs/>
          <w:color w:val="1F3864"/>
          <w:sz w:val="21"/>
          <w:szCs w:val="21"/>
          <w:rFonts w:ascii="Arial" w:hAnsi="Arial" w:eastAsia="Malgun Gothic" w:cs="Arial"/>
        </w:rPr>
        <w:t xml:space="preserve">4-4. 지주사 상장자회사 커버리지 (지분율 = 근사 입력값, 순차입금·비상장 제외)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1200"/>
        <w:gridCol w:w="1400"/>
        <w:gridCol w:w="1000"/>
        <w:gridCol w:w="1400"/>
        <w:gridCol w:w="10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Arial" w:hAnsi="Arial" w:eastAsia="Malgun Gothic" w:cs="Arial"/>
              </w:rPr>
              <w:t xml:space="preserve">지주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Arial" w:hAnsi="Arial" w:eastAsia="Malgun Gothic" w:cs="Arial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Arial" w:hAnsi="Arial" w:eastAsia="Malgun Gothic" w:cs="Arial"/>
              </w:rPr>
              <w:t xml:space="preserve">시총(억)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Arial" w:hAnsi="Arial" w:eastAsia="Malgun Gothic" w:cs="Arial"/>
              </w:rPr>
              <w:t xml:space="preserve">상장지분가치(억)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Arial" w:hAnsi="Arial" w:eastAsia="Malgun Gothic" w:cs="Arial"/>
              </w:rPr>
              <w:t xml:space="preserve">커버리지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Arial" w:hAnsi="Arial" w:eastAsia="Malgun Gothic" w:cs="Arial"/>
              </w:rPr>
              <w:t xml:space="preserve">내재 디스카운트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Arial" w:hAnsi="Arial" w:eastAsia="Malgun Gothic" w:cs="Arial"/>
              </w:rPr>
              <w:t xml:space="preserve">ADV20(억)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영풍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7,364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64,893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8.81x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+89%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12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효성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26,617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85,695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3.22x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+69%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30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삼성물산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603,263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1,211,814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2.01x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+50%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1,346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SK스퀘어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1,294,174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2,343,390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1.81x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+45%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6,163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SK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395,140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643,946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1.63x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+39%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832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HD현대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168,650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260,816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1.55x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+35%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270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아모레퍼시픽홀딩스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20,147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31,007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1.54x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+35%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24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LG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178,860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250,711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1.40x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+29%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356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오리온홀딩스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15,220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19,115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1.26x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+20%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19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롯데지주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24,766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29,098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1.17x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+15%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30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두산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182,181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183,492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1.01x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+1%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674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한미사이언스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35,222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24,424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0.69x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-44%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271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현대지에프홀딩스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22,008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9,947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0.45x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-121%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30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CJ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37,492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15,454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0.41x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-143%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166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한진칼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A1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89,328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28,015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0.31x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-219%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4"/>
                <w:szCs w:val="14"/>
                <w:rFonts w:ascii="Arial" w:hAnsi="Arial" w:eastAsia="Malgun Gothic" w:cs="Arial"/>
              </w:rPr>
              <w:t xml:space="preserve">123</w:t>
            </w:r>
          </w:p>
        </w:tc>
      </w:tr>
    </w:tbl>
    <w:p>
      <w:pPr>
        <w:pStyle w:val="Heading1"/>
        <w:spacing w:before="240" w:after="100"/>
      </w:pPr>
      <w:r>
        <w:rPr>
          <w:b/>
          <w:bCs/>
          <w:color w:val="1F3864"/>
          <w:sz w:val="26"/>
          <w:szCs w:val="26"/>
          <w:rFonts w:ascii="Arial" w:hAnsi="Arial" w:eastAsia="Malgun Gothic" w:cs="Arial"/>
        </w:rPr>
        <w:t xml:space="preserve">5. 밸류에이션 · ROE · ROIC · 성장률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  <w:rFonts w:ascii="Arial" w:hAnsi="Arial" w:eastAsia="Malgun Gothic" w:cs="Arial"/>
        </w:rPr>
        <w:t xml:space="preserve">현재 산출 불가: </w:t>
      </w:r>
      <w:r>
        <w:rPr>
          <w:sz w:val="19"/>
          <w:szCs w:val="19"/>
          <w:rFonts w:ascii="Arial" w:hAnsi="Arial" w:eastAsia="Malgun Gothic" w:cs="Arial"/>
        </w:rPr>
        <w:t xml:space="preserve">Capital IQ·DART 모두 본 환경에서 차단. 추정치로 채우지 않음.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  <w:rFonts w:ascii="Arial" w:hAnsi="Arial" w:eastAsia="Malgun Gothic" w:cs="Arial"/>
        </w:rPr>
        <w:t xml:space="preserve">엑셀 구현: </w:t>
      </w:r>
      <w:r>
        <w:rPr>
          <w:sz w:val="19"/>
          <w:szCs w:val="19"/>
          <w:rFonts w:ascii="Arial" w:hAnsi="Arial" w:eastAsia="Malgun Gothic" w:cs="Arial"/>
        </w:rPr>
        <w:t xml:space="preserve">Universe 시트에 종목별 =IFERROR(CIQ(ticker,"IQ_PE_EXCL"),"") 등 10개 필드(P/E LTM·NTM, P/BV, TEV/EBITDA, ROE, ROIC(Return on Capital), 매출·EPS 1Y 성장률, 배당수익률, 순차입금). Summary 시트에 Tier별 AVERAGEIFS 평균. CIQ 플러그인 Excel에서 열고 Refresh → 즉시 채워짐. Ticker 형식 KOSE:A005930 / KOSDAQ:A247540. mnemonic은 CIQ_Fields 시트에서 Formula Builder로 재확인 권장.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  <w:rFonts w:ascii="Arial" w:hAnsi="Arial" w:eastAsia="Malgun Gothic" w:cs="Arial"/>
        </w:rPr>
        <w:t xml:space="preserve">대체 경로: </w:t>
      </w:r>
      <w:r>
        <w:rPr>
          <w:sz w:val="19"/>
          <w:szCs w:val="19"/>
          <w:rFonts w:ascii="Arial" w:hAnsi="Arial" w:eastAsia="Malgun Gothic" w:cs="Arial"/>
        </w:rPr>
        <w:t xml:space="preserve">Bloomberg BDP 동등 필드(PE_RATIO, PX_TO_BOOK_RATIO, RETURN_COM_EQY, RETURN_ON_CAP 등) 매핑 제공. CIQ Screening 재현 조건: Korea, KOSE/KOSDAQ, Mkt cap ≥ KRW 300bn, 3M ADV ≥ KRW 1.67bn.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  <w:rFonts w:ascii="Arial" w:hAnsi="Arial" w:eastAsia="Malgun Gothic" w:cs="Arial"/>
        </w:rPr>
        <w:t xml:space="preserve">데이터로 산출된 평균(참고): </w:t>
      </w:r>
      <w:r>
        <w:rPr>
          <w:sz w:val="19"/>
          <w:szCs w:val="19"/>
          <w:rFonts w:ascii="Arial" w:hAnsi="Arial" w:eastAsia="Malgun Gothic" w:cs="Arial"/>
        </w:rPr>
        <w:t xml:space="preserve">A1 60D 변동성 중위 87.5%, B 94.1% — 개별주 vol 80-95%는 1D 99% VaR -1% 룰 하에서 6% 포지션 자체가 VaR 예산(대략 1D 1σ 5-6% × 6% ≈ 0.3-0.4%p)의 1/3을 소비. 룰상 사이징보다 VaR 사이징이 먼저 binding.</w:t>
      </w:r>
    </w:p>
    <w:p>
      <w:pPr>
        <w:pStyle w:val="Heading1"/>
        <w:spacing w:before="240" w:after="100"/>
      </w:pPr>
      <w:r>
        <w:rPr>
          <w:b/>
          <w:bCs/>
          <w:color w:val="1F3864"/>
          <w:sz w:val="26"/>
          <w:szCs w:val="26"/>
          <w:rFonts w:ascii="Arial" w:hAnsi="Arial" w:eastAsia="Malgun Gothic" w:cs="Arial"/>
        </w:rPr>
        <w:t xml:space="preserve">6. 투자 아이디어 (룰 내 실행 가능성 기준)</w:t>
      </w:r>
    </w:p>
    <w:p>
      <w:pPr>
        <w:spacing w:after="120" w:before="0"/>
      </w:pPr>
      <w:r>
        <w:rPr>
          <w:i/>
          <w:iCs/>
          <w:color w:val="595959"/>
          <w:sz w:val="16"/>
          <w:szCs w:val="16"/>
          <w:rFonts w:ascii="Arial" w:hAnsi="Arial" w:eastAsia="Malgun Gothic" w:cs="Arial"/>
        </w:rPr>
        <w:t xml:space="preserve">업사이드/다운사이드는 괴리율·커버리지 등 관측치 기반 시나리오 가정이며 모델링 결과가 아님. 모든 건은 CIQ 밸류·DART 공시 확인 후 사이징.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500"/>
        <w:gridCol w:w="1200"/>
        <w:gridCol w:w="3300"/>
        <w:gridCol w:w="1500"/>
        <w:gridCol w:w="1700"/>
      </w:tblGrid>
      <w:tr>
        <w:trPr>
          <w:tblHeader/>
        </w:trP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3"/>
                <w:szCs w:val="13"/>
                <w:rFonts w:ascii="Arial" w:hAnsi="Arial" w:eastAsia="Malgun Gothic" w:cs="Arial"/>
              </w:rPr>
              <w:t xml:space="preserve">#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3"/>
                <w:szCs w:val="13"/>
                <w:rFonts w:ascii="Arial" w:hAnsi="Arial" w:eastAsia="Malgun Gothic" w:cs="Arial"/>
              </w:rPr>
              <w:t xml:space="preserve">아이디어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3"/>
                <w:szCs w:val="13"/>
                <w:rFonts w:ascii="Arial" w:hAnsi="Arial" w:eastAsia="Malgun Gothic" w:cs="Arial"/>
              </w:rPr>
              <w:t xml:space="preserve">방향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3"/>
                <w:szCs w:val="13"/>
                <w:rFonts w:ascii="Arial" w:hAnsi="Arial" w:eastAsia="Malgun Gothic" w:cs="Arial"/>
              </w:rPr>
              <w:t xml:space="preserve">근거 (데이터)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3"/>
                <w:szCs w:val="13"/>
                <w:rFonts w:ascii="Arial" w:hAnsi="Arial" w:eastAsia="Malgun Gothic" w:cs="Arial"/>
              </w:rPr>
              <w:t xml:space="preserve">Upside / Downside (가정)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3"/>
                <w:szCs w:val="13"/>
                <w:rFonts w:ascii="Arial" w:hAnsi="Arial" w:eastAsia="Malgun Gothic" w:cs="Arial"/>
              </w:rPr>
              <w:t xml:space="preserve">Devil's advocate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삼성전기우 / 삼성전기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Long pref / Short common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괴리율 -63%. 양 leg A1(우 ADV 181억). 보통주 YTD +429%로 과열 → 보통주 short leg가 hedge+alpha. 자사주 소각 의무화·배당 확대가 촉매.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-63%→-50% 수렴 시 +35% / -70% 확대 시 -19%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괴리율 수년간 -50~-65% 박스. 촉매 부재 시 carry만. 대차 비용.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현대차2우B / 현대차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Long pref / Short common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괴리율 -52%, 2우B ADV 217억으로 1,000억 Book 6%도 3일 청산. TSR 35% 밸류업·자사주 소각은 우선주에 동일 적용.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-52%→-40% +25% / -58% -13%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2021년 이후 이미 좁혀짐. 추가 수렴 촉매 제한.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SK스퀘어 / SK하이닉스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Long holdco / Short sub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하이닉스 20.1% 지분가치가 스퀘어 시총의 1.81x (내재 디스카운트 45%). 자사주 소각·비핵심 매각 촉매. 스퀘어 ±15%일 4회 → Short cap -4% 유의.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디스카운트 45→35%: +18% / 55%: -18%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지주 디스카운트 구조적. 하이닉스 랠리 시 스퀘어 lag(저베타).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삼성물산 / 삼성 basket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Long holdco / Short subs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상장지분 커버리지 2.0x(추정). 지배구조 개편·보험업법·자사주 소각 모두 촉매. YTD +55%로 일부 반영.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디스카운트 10%p 축소 +15~20% / 개편 지연 -10~15%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2015년 이후 구조적 디스카운트. '논의'만 반복.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삼성에피스홀딩스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Long (or vs 삼성바이오)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2025-11 분할 신설. YTD -52%, 52wH 대비 -52%. A1(ADV 354억). post-spin 수급 정상화 6-12개월 패턴.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peer 멀티플 시 +20~30% / 가격경쟁 -20%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대형 spin에서 post-spin 아노말리 약함. 이미 10개월 경과.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한화 분할 재상장 / 한화머시너리앤서비스홀딩스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Monitor → Event Play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재상장 8영업일. 신설법인 시총 5,232억, ADV 517억(B tier). 지수 강제매도 구간. Event Play(10%/40거래일) 대상.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강제매도 해소 +15~25% / 승계용 저평가 유지 -15%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분할 목적이 승계 최적화 → 소액주주 가치와 이해상충.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롯데렌탈 잔여지분 이벤트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Event arb (조건부)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PE 인수 후 YTD +60%, 거래대금 2.9x. A3(ADV 90억, 6% DTL 3.2일). 공개매수 공고 전까지 monitor.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프리미엄 10~20% / 무산 시 -20~30%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이미 +60% 반영. 잔여 upside는 협상 의존.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HD건설기계 post-merger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Long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합병 2026-01 완료. A1(ADV 316억), YTD +38%. 시너지가 실적으로 확인되는 2-3분기 구간.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+20~30% / downcycle -20%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사이클 산업. 시너지보다 신흥국 수요가 결정.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저PBR 지주·금융 basket vs K200 선물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Long basket / Short futures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2차 상법개정·자사주 소각 의무화·분리과세 수혜. 전 종목 A1. 선물 hedge로 Net 15%·3일 Gross-cut 대응.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PBR 0.5→0.65x +25~30% / 입법 지연 -10%(hedged)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3년째 테마. 삼성물산 +55%·SK +113% 이미 반영. 팩터 crowding.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과열 테마 Short screen (건설·전선)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Short candidates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금호건설 YTD +314%(±15%일 7회), 대우건설 +339%, 대원전선·가온전선 ±15%일 5회. Short cap -4%. 변동성 감소 후 진입.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-30~50% 되돌림 / 테마 연장 -30%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3"/>
                <w:szCs w:val="13"/>
                <w:rFonts w:ascii="Arial" w:hAnsi="Arial" w:eastAsia="Malgun Gothic" w:cs="Arial"/>
              </w:rPr>
              <w:t xml:space="preserve">타이밍 실패 시 Book-cut(-6% DD) 주범. 섹터 ETF/선물 hedge가 룰 친화적.</w:t>
            </w:r>
          </w:p>
        </w:tc>
      </w:tr>
    </w:tbl>
    <w:p>
      <w:pPr>
        <w:pStyle w:val="Heading2"/>
        <w:spacing w:before="160" w:after="60"/>
      </w:pPr>
      <w:r>
        <w:rPr>
          <w:b/>
          <w:bCs/>
          <w:color w:val="1F3864"/>
          <w:sz w:val="21"/>
          <w:szCs w:val="21"/>
          <w:rFonts w:ascii="Arial" w:hAnsi="Arial" w:eastAsia="Malgun Gothic" w:cs="Arial"/>
        </w:rPr>
        <w:t xml:space="preserve">6-1. 종합 스탠스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  <w:rFonts w:ascii="Arial" w:hAnsi="Arial" w:eastAsia="Malgun Gothic" w:cs="Arial"/>
        </w:rPr>
        <w:t xml:space="preserve">Long bias: </w:t>
      </w:r>
      <w:r>
        <w:rPr>
          <w:sz w:val="19"/>
          <w:szCs w:val="19"/>
          <w:rFonts w:ascii="Arial" w:hAnsi="Arial" w:eastAsia="Malgun Gothic" w:cs="Arial"/>
        </w:rPr>
        <w:t xml:space="preserve">우선주 pair(1,2), 지주 NAV pair(3,4) — 시장 중립 구조라 Net 15% 한도·VaR 예산 소모가 적고 3일 청산 가능. 우선순위 1순위.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  <w:rFonts w:ascii="Arial" w:hAnsi="Arial" w:eastAsia="Malgun Gothic" w:cs="Arial"/>
        </w:rPr>
        <w:t xml:space="preserve">Neutral/Monitor: </w:t>
      </w:r>
      <w:r>
        <w:rPr>
          <w:sz w:val="19"/>
          <w:szCs w:val="19"/>
          <w:rFonts w:ascii="Arial" w:hAnsi="Arial" w:eastAsia="Malgun Gothic" w:cs="Arial"/>
        </w:rPr>
        <w:t xml:space="preserve">spin/merger(5,6,8), PE 이벤트(7) — 밸류·공시 확인 전까지 사이징 보류. Event Play 승인 프로세스 확정이 선행.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  <w:rFonts w:ascii="Arial" w:hAnsi="Arial" w:eastAsia="Malgun Gothic" w:cs="Arial"/>
        </w:rPr>
        <w:t xml:space="preserve">Short: </w:t>
      </w:r>
      <w:r>
        <w:rPr>
          <w:sz w:val="19"/>
          <w:szCs w:val="19"/>
          <w:rFonts w:ascii="Arial" w:hAnsi="Arial" w:eastAsia="Malgun Gothic" w:cs="Arial"/>
        </w:rPr>
        <w:t xml:space="preserve">10번은 단독 short보다 pair의 short leg 또는 섹터 hedge로만. 급등주 단독 short은 BBAS VaR 2회 이탈(Gross 30% cut) 리스크가 기대수익 대비 큼.</w:t>
      </w:r>
    </w:p>
    <w:p>
      <w:pPr>
        <w:pStyle w:val="Heading1"/>
        <w:spacing w:before="240" w:after="100"/>
      </w:pPr>
      <w:r>
        <w:rPr>
          <w:b/>
          <w:bCs/>
          <w:color w:val="1F3864"/>
          <w:sz w:val="26"/>
          <w:szCs w:val="26"/>
          <w:rFonts w:ascii="Arial" w:hAnsi="Arial" w:eastAsia="Malgun Gothic" w:cs="Arial"/>
        </w:rPr>
        <w:t xml:space="preserve">7. 반대 관점 · 리스크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  <w:rFonts w:ascii="Arial" w:hAnsi="Arial" w:eastAsia="Malgun Gothic" w:cs="Arial"/>
        </w:rPr>
        <w:t xml:space="preserve">유니버스가 넓어 보이는 착시: </w:t>
      </w:r>
      <w:r>
        <w:rPr>
          <w:sz w:val="19"/>
          <w:szCs w:val="19"/>
          <w:rFonts w:ascii="Arial" w:hAnsi="Arial" w:eastAsia="Malgun Gothic" w:cs="Arial"/>
        </w:rPr>
        <w:t xml:space="preserve">492종목 중 실제 Special-Sit alpha가 나오는 B/A3 tier(210종목)는 합산 7% bucket과 2-6% 사이징 제약으로 포트 기여도가 낮음. A1은 사실상 KOSPI 대형주 = 팩터/베타 노출.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  <w:rFonts w:ascii="Arial" w:hAnsi="Arial" w:eastAsia="Malgun Gothic" w:cs="Arial"/>
        </w:rPr>
        <w:t xml:space="preserve">ADV 룰 해석 리스크: </w:t>
      </w:r>
      <w:r>
        <w:rPr>
          <w:sz w:val="19"/>
          <w:szCs w:val="19"/>
          <w:rFonts w:ascii="Arial" w:hAnsi="Arial" w:eastAsia="Malgun Gothic" w:cs="Arial"/>
        </w:rPr>
        <w:t xml:space="preserve">20% 참여율·3일이 '주문' 기준인지 '보유' 기준인지, 매수·매도 모두인지 미확정. 보유 기준으로 해석되면 (총 보유 ≤ ADV 20%) A2·A3·B의 대부분이 탈락 → 유니버스가 A1 중심 220종목으로 축소.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  <w:rFonts w:ascii="Arial" w:hAnsi="Arial" w:eastAsia="Malgun Gothic" w:cs="Arial"/>
        </w:rPr>
        <w:t xml:space="preserve">데이터 regime: </w:t>
      </w:r>
      <w:r>
        <w:rPr>
          <w:sz w:val="19"/>
          <w:szCs w:val="19"/>
          <w:rFonts w:ascii="Arial" w:hAnsi="Arial" w:eastAsia="Malgun Gothic" w:cs="Arial"/>
        </w:rPr>
        <w:t xml:space="preserve">시총가중 YTD 86%에 다수 대형주가 52주 고점 대비 -40~50%. 최근 60일 ADV는 급등락 국면의 과대추정 가능성 → 정상화 시 ADV 30-50% 감소가 base case. Stress 열(ADV -50%)을 실질 기준으로 볼 것.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  <w:rFonts w:ascii="Arial" w:hAnsi="Arial" w:eastAsia="Malgun Gothic" w:cs="Arial"/>
        </w:rPr>
        <w:t xml:space="preserve">이벤트 태그 신뢰도: </w:t>
      </w:r>
      <w:r>
        <w:rPr>
          <w:sz w:val="19"/>
          <w:szCs w:val="19"/>
          <w:rFonts w:ascii="Arial" w:hAnsi="Arial" w:eastAsia="Malgun Gothic" w:cs="Arial"/>
        </w:rPr>
        <w:t xml:space="preserve">모델 지식 기반이므로 2026년 중반 이후 완료·무산된 이벤트가 포함될 수 있음. 정량 시그널(거래정지 이력, 주식수 급변, 거래대금 급증)이 데이터로 확인되는 이벤트를 우선 검증.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  <w:rFonts w:ascii="Arial" w:hAnsi="Arial" w:eastAsia="Malgun Gothic" w:cs="Arial"/>
        </w:rPr>
        <w:t xml:space="preserve">우선주 pair 반론: </w:t>
      </w:r>
      <w:r>
        <w:rPr>
          <w:sz w:val="19"/>
          <w:szCs w:val="19"/>
          <w:rFonts w:ascii="Arial" w:hAnsi="Arial" w:eastAsia="Malgun Gothic" w:cs="Arial"/>
        </w:rPr>
        <w:t xml:space="preserve">괴리율은 2020-26년 대부분 -50~-65%에서 정체. 상법개정에도 우선주 의결권 부재는 불변 → 수렴 촉매는 '자사주 소각 대상에 우선주 포함' 같은 개별 공시에 의존.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  <w:rFonts w:ascii="Arial" w:hAnsi="Arial" w:eastAsia="Malgun Gothic" w:cs="Arial"/>
        </w:rPr>
        <w:t xml:space="preserve">지주 NAV 반론: </w:t>
      </w:r>
      <w:r>
        <w:rPr>
          <w:sz w:val="19"/>
          <w:szCs w:val="19"/>
          <w:rFonts w:ascii="Arial" w:hAnsi="Arial" w:eastAsia="Malgun Gothic" w:cs="Arial"/>
        </w:rPr>
        <w:t xml:space="preserve">커버리지 1.5-2.0x는 한국 지주에서 정상 범위. 디스카운트 축소보다 자회사 하락이 pair P&amp;L을 지배할 수 있음(hedge ratio 오차).</w:t>
      </w:r>
    </w:p>
    <w:p>
      <w:pPr>
        <w:pStyle w:val="Heading1"/>
        <w:spacing w:before="240" w:after="100"/>
      </w:pPr>
      <w:r>
        <w:rPr>
          <w:b/>
          <w:bCs/>
          <w:color w:val="1F3864"/>
          <w:sz w:val="26"/>
          <w:szCs w:val="26"/>
          <w:rFonts w:ascii="Arial" w:hAnsi="Arial" w:eastAsia="Malgun Gothic" w:cs="Arial"/>
        </w:rPr>
        <w:t xml:space="preserve">8. 다음 단계 · BBAS 미팅 확인사항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  <w:rFonts w:ascii="Arial" w:hAnsi="Arial" w:eastAsia="Malgun Gothic" w:cs="Arial"/>
        </w:rPr>
        <w:t xml:space="preserve">CIQ 연결 Excel에서 첨부 파일 Refresh → Tier별 평균 P/E·P/BV·ROE·ROIC·성장률 확정, 아이디어 1-9 밸류 검증.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  <w:rFonts w:ascii="Arial" w:hAnsi="Arial" w:eastAsia="Malgun Gothic" w:cs="Arial"/>
        </w:rPr>
        <w:t xml:space="preserve">ADV 20% 룰 lookback(20D/60D), 주문 vs 보유 기준, 매수/매도 적용 범위 확정 → Params 시트 반영.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  <w:rFonts w:ascii="Arial" w:hAnsi="Arial" w:eastAsia="Malgun Gothic" w:cs="Arial"/>
        </w:rPr>
        <w:t xml:space="preserve">Event Play bucket 합산 한도(5-10% 제안)와 승인 SLA 확정 → C tier 후보 316종목 중 우선 검토 리스트 작성.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  <w:rFonts w:ascii="Arial" w:hAnsi="Arial" w:eastAsia="Malgun Gothic" w:cs="Arial"/>
        </w:rPr>
        <w:t xml:space="preserve">이벤트 태그 63종목 DART 공시 대조(공개매수·합병·분할·자사주 소각 진행 여부).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  <w:rFonts w:ascii="Arial" w:hAnsi="Arial" w:eastAsia="Malgun Gothic" w:cs="Arial"/>
        </w:rPr>
        <w:t xml:space="preserve">대차 가능 종목·비용 확인(pair short leg, 아이디어 1-4, 10).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  <w:rFonts w:ascii="Arial" w:hAnsi="Arial" w:eastAsia="Malgun Gothic" w:cs="Arial"/>
        </w:rPr>
        <w:t xml:space="preserve">데이터 갱신: build_universe.py → build_xlsx.py 재실행(일별 marcap 갱신 반영). 스크립트는 repo output/ 에 포함.</w:t>
      </w:r>
    </w:p>
    <w:sectPr>
      <w:headerReference w:type="default" r:id="rId6"/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4"/>
        <w:szCs w:val="14"/>
        <w:rFonts w:ascii="Arial" w:hAnsi="Arial" w:eastAsia="Malgun Gothic" w:cs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  <w:jc w:val="right"/>
    </w:pPr>
    <w:r>
      <w:rPr>
        <w:color w:val="808080"/>
        <w:sz w:val="14"/>
        <w:szCs w:val="14"/>
        <w:rFonts w:ascii="Arial" w:hAnsi="Arial" w:eastAsia="Malgun Gothic" w:cs="Arial"/>
      </w:rPr>
      <w:t xml:space="preserve">Billionfold — Korea L/S Universe (BBAS) — 2026-09-03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40"/>
      </w:pPr>
    </w:lvl>
    <w:lvl w:ilvl="1" w15:tentative="1">
      <w:start w:val="1"/>
      <w:numFmt w:val="bullet"/>
      <w:lvlText w:val="·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9"/>
        <w:szCs w:val="19"/>
        <w:rFonts w:ascii="Arial" w:hAnsi="Arial" w:eastAsia="Malgun Gothic" w:cs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Korea Universe under BBAS Liquidity Limits</dc:title>
  <dc:creator>Billionfold Analyst</dc:creator>
  <cp:lastModifiedBy>Un-named</cp:lastModifiedBy>
  <cp:revision>1</cp:revision>
  <dcterms:created xsi:type="dcterms:W3CDTF">2026-09-05T04:25:05.994Z</dcterms:created>
  <dcterms:modified xsi:type="dcterms:W3CDTF">2026-09-05T04:25:05.994Z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