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6679" w14:textId="3E165185" w:rsidR="000751C3" w:rsidRDefault="00A9037E">
      <w:r w:rsidRPr="00A9037E">
        <w:t>(references Property (Digital Assets) Act 2025)</w:t>
      </w:r>
    </w:p>
    <w:sectPr w:rsidR="0007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7E"/>
    <w:rsid w:val="000751C3"/>
    <w:rsid w:val="002E45D5"/>
    <w:rsid w:val="009E5B1C"/>
    <w:rsid w:val="00A9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572F"/>
  <w15:chartTrackingRefBased/>
  <w15:docId w15:val="{1EBFBDED-3BDC-42DF-8762-42A94A6E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2026-04-19T14:04:00Z</cp:lastPrinted>
  <dcterms:created xsi:type="dcterms:W3CDTF">2026-04-19T14:03:00Z</dcterms:created>
  <dcterms:modified xsi:type="dcterms:W3CDTF">2026-04-19T14:06:00Z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972eabc4-6986-4819-9cb8-6084e3b4359b</vt:lpwstr>
  </property>
</Properties>
</file>