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spacing w:after="60"/>
      </w:pPr>
      <w:r>
        <w:rPr>
          <w:b/>
          <w:sz w:val="18"/>
          <w:szCs w:val="18"/>
        </w:rPr>
        <w:t xml:space="preserve">CONFIDENTIAL — PROJECT PROPOSAL</w:t>
      </w:r>
    </w:p>
    <w:p>
      <w:pPr>
        <w:spacing w:after="120"/>
      </w:pPr>
      <w:r>
        <w:rPr>
          <w:sz w:val="22"/>
          <w:szCs w:val="22"/>
        </w:rPr>
        <w:t xml:space="preserve"/>
      </w:r>
    </w:p>
    <w:p>
      <w:pPr>
        <w:spacing w:before="240" w:after="120"/>
      </w:pPr>
      <w:r>
        <w:rPr>
          <w:b/>
          <w:sz w:val="32"/>
          <w:szCs w:val="32"/>
          <w:color w:val="0F2744"/>
        </w:rPr>
        <w:t>RandJuris</w:t>
      </w:r>
    </w:p>
    <w:p>
      <w:pPr>
        <w:spacing w:after="200"/>
      </w:pPr>
      <w:r>
        <w:rPr>
          <w:sz w:val="24"/>
          <w:szCs w:val="24"/>
        </w:rPr>
        <w:t xml:space="preserve">A modern, secure, and integrated platform to streamline legal practice operations — from client intake to case closure, billing, and compliance.</w:t>
      </w:r>
    </w:p>
    <w:p>
      <w:pPr>
        <w:spacing w:after="120"/>
      </w:pPr>
      <w:r>
        <w:rPr>
          <w:sz w:val="22"/>
          <w:szCs w:val="22"/>
        </w:rPr>
        <w:t xml:space="preserve"/>
      </w:r>
    </w:p>
    <w:tbl>
      <w:tblPr>
        <w:tblW w:w="5000" w:type="pct"/>
        <w:tblBorders>
          <w:top w:val="single" w:sz="4"/>
          <w:left w:val="single" w:sz="4"/>
          <w:bottom w:val="single" w:sz="4"/>
          <w:right w:val="single" w:sz="4"/>
          <w:insideH w:val="single" w:sz="4"/>
          <w:insideV w:val="single" w:sz="4"/>
        </w:tblBorders>
      </w:tblPr>
      <w:tr>
        <w:tc>
          <w:tcPr>
            <w:shd w:val="clear" w:color="auto" w:fill="0F2744"/>
          </w:tcPr>
          <w:p>
            <w:r>
              <w:rPr>
                <w:b/>
                <w:color w:val="FFFFFF"/>
                <w:sz w:val="20"/>
              </w:rPr>
              <w:t>Prepared By</w:t>
            </w:r>
          </w:p>
        </w:tc>
        <w:tc>
          <w:tcPr>
            <w:shd w:val="clear" w:color="auto" w:fill="0F2744"/>
          </w:tcPr>
          <w:p>
            <w:r>
              <w:rPr>
                <w:b/>
                <w:color w:val="FFFFFF"/>
                <w:sz w:val="20"/>
              </w:rPr>
              <w:t>RANDTEK IT Solution</w:t>
            </w:r>
          </w:p>
        </w:tc>
        <w:tc>
          <w:tcPr>
            <w:shd w:val="clear" w:color="auto" w:fill="0F2744"/>
          </w:tcPr>
          <w:p>
            <w:r>
              <w:rPr>
                <w:b/>
                <w:color w:val="FFFFFF"/>
                <w:sz w:val="20"/>
              </w:rPr>
              <w:t>Version</w:t>
            </w:r>
          </w:p>
        </w:tc>
        <w:tc>
          <w:tcPr>
            <w:shd w:val="clear" w:color="auto" w:fill="0F2744"/>
          </w:tcPr>
          <w:p>
            <w:r>
              <w:rPr>
                <w:b/>
                <w:color w:val="FFFFFF"/>
                <w:sz w:val="20"/>
              </w:rPr>
              <w:t>1.0</w:t>
            </w:r>
          </w:p>
        </w:tc>
      </w:tr>
      <w:tr>
        <w:tc>
          <w:p>
            <w:r>
              <w:rPr>
                <w:sz w:val="20"/>
              </w:rPr>
              <w:t>Date</w:t>
            </w:r>
          </w:p>
        </w:tc>
        <w:tc>
          <w:p>
            <w:r>
              <w:rPr>
                <w:sz w:val="20"/>
              </w:rPr>
              <w:t>June 2025</w:t>
            </w:r>
          </w:p>
        </w:tc>
        <w:tc>
          <w:p>
            <w:r>
              <w:rPr>
                <w:sz w:val="20"/>
              </w:rPr>
              <w:t>Status</w:t>
            </w:r>
          </w:p>
        </w:tc>
        <w:tc>
          <w:p>
            <w:r>
              <w:rPr>
                <w:sz w:val="20"/>
              </w:rPr>
              <w:t>Phase 1 Delivered</w:t>
            </w:r>
          </w:p>
        </w:tc>
      </w:tr>
      <w:tr>
        <w:tc>
          <w:p>
            <w:r>
              <w:rPr>
                <w:sz w:val="20"/>
              </w:rPr>
              <w:t>Prepared For</w:t>
            </w:r>
          </w:p>
        </w:tc>
        <w:tc>
          <w:p>
            <w:r>
              <w:rPr>
                <w:sz w:val="20"/>
              </w:rPr>
              <w:t>Law Firm Stakeholders</w:t>
            </w:r>
          </w:p>
        </w:tc>
        <w:tc>
          <w:p>
            <w:r>
              <w:rPr>
                <w:sz w:val="20"/>
              </w:rPr>
              <w:t>Project Code</w:t>
            </w:r>
          </w:p>
        </w:tc>
        <w:tc>
          <w:p>
            <w:r>
              <w:rPr>
                <w:sz w:val="20"/>
              </w:rPr>
              <w:t>randjuris</w:t>
            </w:r>
          </w:p>
        </w:tc>
      </w:tr>
    </w:tbl>
    <w:p>
      <w:pPr>
        <w:spacing w:after="120"/>
      </w:pPr>
      <w:r>
        <w:rPr>
          <w:sz w:val="22"/>
          <w:szCs w:val="22"/>
        </w:rPr>
        <w:t xml:space="preserve"/>
      </w:r>
    </w:p>
    <w:p>
      <w:pPr>
        <w:spacing w:before="240" w:after="120"/>
      </w:pPr>
      <w:r>
        <w:rPr>
          <w:b/>
          <w:sz w:val="32"/>
          <w:szCs w:val="32"/>
          <w:color w:val="0F2744"/>
        </w:rPr>
        <w:t>1. Executive Summary</w:t>
      </w:r>
    </w:p>
    <w:p>
      <w:pPr>
        <w:spacing w:after="120"/>
      </w:pPr>
      <w:r>
        <w:rPr>
          <w:sz w:val="22"/>
          <w:szCs w:val="22"/>
        </w:rPr>
        <w:t xml:space="preserve">RANDTEK IT Solution proposes RandJuris — a comprehensive web-based platform designed specifically for law firms operating in the Philippines and similar jurisdictions. The system centralizes client management, case tracking, document storage, task coordination, calendar scheduling, billing in Philippine Peso (₱), and audit logging into a single secure environment.</w:t>
      </w:r>
    </w:p>
    <w:p>
      <w:pPr>
        <w:spacing w:after="120"/>
      </w:pPr>
      <w:r>
        <w:rPr>
          <w:b/>
          <w:sz w:val="22"/>
          <w:szCs w:val="22"/>
        </w:rPr>
        <w:t xml:space="preserve">Key Value Proposition: Replace fragmented spreadsheets, email threads, and paper-based workflows with a unified digital platform that improves productivity, reduces errors, strengthens client service, and provides full visibility into firm operations.</w:t>
      </w:r>
    </w:p>
    <w:p>
      <w:pPr>
        <w:spacing w:after="120"/>
      </w:pPr>
      <w:r>
        <w:rPr>
          <w:sz w:val="22"/>
          <w:szCs w:val="22"/>
        </w:rPr>
        <w:t xml:space="preserve">Phase 1 of the platform has been developed and is operational, delivering ten core modules with enterprise-grade authentication, seven distinct user roles, and a modern responsive interface.</w:t>
      </w:r>
    </w:p>
    <w:p>
      <w:pPr>
        <w:spacing w:before="240" w:after="120"/>
      </w:pPr>
      <w:r>
        <w:rPr>
          <w:b/>
          <w:sz w:val="32"/>
          <w:szCs w:val="32"/>
          <w:color w:val="0F2744"/>
        </w:rPr>
        <w:t>2. Background &amp; Problem Statement</w:t>
      </w:r>
    </w:p>
    <w:p>
      <w:pPr>
        <w:spacing w:before="240" w:after="120"/>
      </w:pPr>
      <w:r>
        <w:rPr>
          <w:b/>
          <w:sz w:val="26"/>
          <w:szCs w:val="26"/>
          <w:color w:val="0F2744"/>
        </w:rPr>
        <w:t>Industry Challenges</w:t>
      </w:r>
    </w:p>
    <w:p>
      <w:pPr>
        <w:pStyle w:val="ListParagraph"/>
        <w:numPr>
          <w:ilvl w:val="0"/>
          <w:numId w:val="1"/>
        </w:numPr>
        <w:spacing w:after="80"/>
      </w:pPr>
      <w:r>
        <w:rPr>
          <w:sz w:val="22"/>
          <w:szCs w:val="22"/>
        </w:rPr>
        <w:t xml:space="preserve">Disconnected data across multiple tools with no single source of truth</w:t>
      </w:r>
    </w:p>
    <w:p>
      <w:pPr>
        <w:pStyle w:val="ListParagraph"/>
        <w:numPr>
          <w:ilvl w:val="0"/>
          <w:numId w:val="1"/>
        </w:numPr>
        <w:spacing w:after="80"/>
      </w:pPr>
      <w:r>
        <w:rPr>
          <w:sz w:val="22"/>
          <w:szCs w:val="22"/>
        </w:rPr>
        <w:t xml:space="preserve">Manual billing inefficiency leading to revenue leakage</w:t>
      </w:r>
    </w:p>
    <w:p>
      <w:pPr>
        <w:pStyle w:val="ListParagraph"/>
        <w:numPr>
          <w:ilvl w:val="0"/>
          <w:numId w:val="1"/>
        </w:numPr>
        <w:spacing w:after="80"/>
      </w:pPr>
      <w:r>
        <w:rPr>
          <w:sz w:val="22"/>
          <w:szCs w:val="22"/>
        </w:rPr>
        <w:t xml:space="preserve">Document management risk without version control or access logs</w:t>
      </w:r>
    </w:p>
    <w:p>
      <w:pPr>
        <w:pStyle w:val="ListParagraph"/>
        <w:numPr>
          <w:ilvl w:val="0"/>
          <w:numId w:val="1"/>
        </w:numPr>
        <w:spacing w:after="80"/>
      </w:pPr>
      <w:r>
        <w:rPr>
          <w:sz w:val="22"/>
          <w:szCs w:val="22"/>
        </w:rPr>
        <w:t xml:space="preserve">Poor team coordination on tasks, deadlines, and court appearances</w:t>
      </w:r>
    </w:p>
    <w:p>
      <w:pPr>
        <w:pStyle w:val="ListParagraph"/>
        <w:numPr>
          <w:ilvl w:val="0"/>
          <w:numId w:val="1"/>
        </w:numPr>
        <w:spacing w:after="80"/>
      </w:pPr>
      <w:r>
        <w:rPr>
          <w:sz w:val="22"/>
          <w:szCs w:val="22"/>
        </w:rPr>
        <w:t xml:space="preserve">Compliance gaps with limited audit trails</w:t>
      </w:r>
    </w:p>
    <w:p>
      <w:pPr>
        <w:pStyle w:val="ListParagraph"/>
        <w:numPr>
          <w:ilvl w:val="0"/>
          <w:numId w:val="1"/>
        </w:numPr>
        <w:spacing w:after="80"/>
      </w:pPr>
      <w:r>
        <w:rPr>
          <w:sz w:val="22"/>
          <w:szCs w:val="22"/>
        </w:rPr>
        <w:t xml:space="preserve">Scalability limits as informal processes break down</w:t>
      </w:r>
    </w:p>
    <w:p>
      <w:pPr>
        <w:spacing w:before="240" w:after="120"/>
      </w:pPr>
      <w:r>
        <w:rPr>
          <w:b/>
          <w:sz w:val="32"/>
          <w:szCs w:val="32"/>
          <w:color w:val="0F2744"/>
        </w:rPr>
        <w:t>3. Proposed Solution</w:t>
      </w:r>
    </w:p>
    <w:p>
      <w:pPr>
        <w:pStyle w:val="ListParagraph"/>
        <w:numPr>
          <w:ilvl w:val="0"/>
          <w:numId w:val="1"/>
        </w:numPr>
        <w:spacing w:after="80"/>
      </w:pPr>
      <w:r>
        <w:rPr>
          <w:sz w:val="22"/>
          <w:szCs w:val="22"/>
        </w:rPr>
        <w:t xml:space="preserve">Cloud-ready web application accessible from any modern browser</w:t>
      </w:r>
    </w:p>
    <w:p>
      <w:pPr>
        <w:pStyle w:val="ListParagraph"/>
        <w:numPr>
          <w:ilvl w:val="0"/>
          <w:numId w:val="1"/>
        </w:numPr>
        <w:spacing w:after="80"/>
      </w:pPr>
      <w:r>
        <w:rPr>
          <w:sz w:val="22"/>
          <w:szCs w:val="22"/>
        </w:rPr>
        <w:t xml:space="preserve">Role-based access control (RBAC) with seven predefined user roles</w:t>
      </w:r>
    </w:p>
    <w:p>
      <w:pPr>
        <w:pStyle w:val="ListParagraph"/>
        <w:numPr>
          <w:ilvl w:val="0"/>
          <w:numId w:val="1"/>
        </w:numPr>
        <w:spacing w:after="80"/>
      </w:pPr>
      <w:r>
        <w:rPr>
          <w:sz w:val="22"/>
          <w:szCs w:val="22"/>
        </w:rPr>
        <w:t xml:space="preserve">End-to-end case lifecycle management from intake to closure</w:t>
      </w:r>
    </w:p>
    <w:p>
      <w:pPr>
        <w:pStyle w:val="ListParagraph"/>
        <w:numPr>
          <w:ilvl w:val="0"/>
          <w:numId w:val="1"/>
        </w:numPr>
        <w:spacing w:after="80"/>
      </w:pPr>
      <w:r>
        <w:rPr>
          <w:sz w:val="22"/>
          <w:szCs w:val="22"/>
        </w:rPr>
        <w:t xml:space="preserve">Integrated time tracking and invoicing in Philippine Peso (₱)</w:t>
      </w:r>
    </w:p>
    <w:p>
      <w:pPr>
        <w:pStyle w:val="ListParagraph"/>
        <w:numPr>
          <w:ilvl w:val="0"/>
          <w:numId w:val="1"/>
        </w:numPr>
        <w:spacing w:after="80"/>
      </w:pPr>
      <w:r>
        <w:rPr>
          <w:sz w:val="22"/>
          <w:szCs w:val="22"/>
        </w:rPr>
        <w:t xml:space="preserve">Secure document upload, preview, and download per case</w:t>
      </w:r>
    </w:p>
    <w:p>
      <w:pPr>
        <w:pStyle w:val="ListParagraph"/>
        <w:numPr>
          <w:ilvl w:val="0"/>
          <w:numId w:val="1"/>
        </w:numPr>
        <w:spacing w:after="80"/>
      </w:pPr>
      <w:r>
        <w:rPr>
          <w:sz w:val="22"/>
          <w:szCs w:val="22"/>
        </w:rPr>
        <w:t xml:space="preserve">Shared calendar for hearings, meetings, and deadlines</w:t>
      </w:r>
    </w:p>
    <w:p>
      <w:pPr>
        <w:pStyle w:val="ListParagraph"/>
        <w:numPr>
          <w:ilvl w:val="0"/>
          <w:numId w:val="1"/>
        </w:numPr>
        <w:spacing w:after="80"/>
      </w:pPr>
      <w:r>
        <w:rPr>
          <w:sz w:val="22"/>
          <w:szCs w:val="22"/>
        </w:rPr>
        <w:t xml:space="preserve">Real-time in-app notifications and activity audit logs</w:t>
      </w:r>
    </w:p>
    <w:p>
      <w:pPr>
        <w:pStyle w:val="ListParagraph"/>
        <w:numPr>
          <w:ilvl w:val="0"/>
          <w:numId w:val="1"/>
        </w:numPr>
        <w:spacing w:after="80"/>
      </w:pPr>
      <w:r>
        <w:rPr>
          <w:sz w:val="22"/>
          <w:szCs w:val="22"/>
        </w:rPr>
        <w:t xml:space="preserve">Server-side pagination across all data listings</w:t>
      </w:r>
    </w:p>
    <w:p>
      <w:pPr>
        <w:pStyle w:val="ListParagraph"/>
        <w:numPr>
          <w:ilvl w:val="0"/>
          <w:numId w:val="1"/>
        </w:numPr>
        <w:spacing w:after="80"/>
      </w:pPr>
      <w:r>
        <w:rPr>
          <w:sz w:val="22"/>
          <w:szCs w:val="22"/>
        </w:rPr>
        <w:t xml:space="preserve">Modern, professional UI designed for legal professionals</w:t>
      </w:r>
    </w:p>
    <w:p>
      <w:pPr>
        <w:spacing w:before="240" w:after="120"/>
      </w:pPr>
      <w:r>
        <w:rPr>
          <w:b/>
          <w:sz w:val="32"/>
          <w:szCs w:val="32"/>
          <w:color w:val="0F2744"/>
        </w:rPr>
        <w:t>4. Core Features &amp; Modules</w:t>
      </w:r>
    </w:p>
    <w:p>
      <w:pPr>
        <w:pStyle w:val="ListParagraph"/>
        <w:numPr>
          <w:ilvl w:val="0"/>
          <w:numId w:val="1"/>
        </w:numPr>
        <w:spacing w:after="80"/>
      </w:pPr>
      <w:r>
        <w:rPr>
          <w:sz w:val="22"/>
          <w:szCs w:val="22"/>
        </w:rPr>
        <w:t xml:space="preserve">Dashboard — KPIs, charts, recent activity feed</w:t>
      </w:r>
    </w:p>
    <w:p>
      <w:pPr>
        <w:pStyle w:val="ListParagraph"/>
        <w:numPr>
          <w:ilvl w:val="0"/>
          <w:numId w:val="1"/>
        </w:numPr>
        <w:spacing w:after="80"/>
      </w:pPr>
      <w:r>
        <w:rPr>
          <w:sz w:val="22"/>
          <w:szCs w:val="22"/>
        </w:rPr>
        <w:t xml:space="preserve">Client Management — Individual/corporate clients, search, profiles</w:t>
      </w:r>
    </w:p>
    <w:p>
      <w:pPr>
        <w:pStyle w:val="ListParagraph"/>
        <w:numPr>
          <w:ilvl w:val="0"/>
          <w:numId w:val="1"/>
        </w:numPr>
        <w:spacing w:after="80"/>
      </w:pPr>
      <w:r>
        <w:rPr>
          <w:sz w:val="22"/>
          <w:szCs w:val="22"/>
        </w:rPr>
        <w:t xml:space="preserve">Case Management — Categories, status, assignments, notes, timeline</w:t>
      </w:r>
    </w:p>
    <w:p>
      <w:pPr>
        <w:pStyle w:val="ListParagraph"/>
        <w:numPr>
          <w:ilvl w:val="0"/>
          <w:numId w:val="1"/>
        </w:numPr>
        <w:spacing w:after="80"/>
      </w:pPr>
      <w:r>
        <w:rPr>
          <w:sz w:val="22"/>
          <w:szCs w:val="22"/>
        </w:rPr>
        <w:t xml:space="preserve">Document Management — Upload, categorize, preview, download</w:t>
      </w:r>
    </w:p>
    <w:p>
      <w:pPr>
        <w:pStyle w:val="ListParagraph"/>
        <w:numPr>
          <w:ilvl w:val="0"/>
          <w:numId w:val="1"/>
        </w:numPr>
        <w:spacing w:after="80"/>
      </w:pPr>
      <w:r>
        <w:rPr>
          <w:sz w:val="22"/>
          <w:szCs w:val="22"/>
        </w:rPr>
        <w:t xml:space="preserve">Task Management — Priorities, due dates, list and Kanban views</w:t>
      </w:r>
    </w:p>
    <w:p>
      <w:pPr>
        <w:pStyle w:val="ListParagraph"/>
        <w:numPr>
          <w:ilvl w:val="0"/>
          <w:numId w:val="1"/>
        </w:numPr>
        <w:spacing w:after="80"/>
      </w:pPr>
      <w:r>
        <w:rPr>
          <w:sz w:val="22"/>
          <w:szCs w:val="22"/>
        </w:rPr>
        <w:t xml:space="preserve">Calendar &amp; Events — Hearings, meetings, deadlines, reminders</w:t>
      </w:r>
    </w:p>
    <w:p>
      <w:pPr>
        <w:pStyle w:val="ListParagraph"/>
        <w:numPr>
          <w:ilvl w:val="0"/>
          <w:numId w:val="1"/>
        </w:numPr>
        <w:spacing w:after="80"/>
      </w:pPr>
      <w:r>
        <w:rPr>
          <w:sz w:val="22"/>
          <w:szCs w:val="22"/>
        </w:rPr>
        <w:t xml:space="preserve">Billing &amp; Invoicing — Time entries, invoices in ₱, payment recording</w:t>
      </w:r>
    </w:p>
    <w:p>
      <w:pPr>
        <w:pStyle w:val="ListParagraph"/>
        <w:numPr>
          <w:ilvl w:val="0"/>
          <w:numId w:val="1"/>
        </w:numPr>
        <w:spacing w:after="80"/>
      </w:pPr>
      <w:r>
        <w:rPr>
          <w:sz w:val="22"/>
          <w:szCs w:val="22"/>
        </w:rPr>
        <w:t xml:space="preserve">Notifications — In-app alerts with read/unread tracking</w:t>
      </w:r>
    </w:p>
    <w:p>
      <w:pPr>
        <w:pStyle w:val="ListParagraph"/>
        <w:numPr>
          <w:ilvl w:val="0"/>
          <w:numId w:val="1"/>
        </w:numPr>
        <w:spacing w:after="80"/>
      </w:pPr>
      <w:r>
        <w:rPr>
          <w:sz w:val="22"/>
          <w:szCs w:val="22"/>
        </w:rPr>
        <w:t xml:space="preserve">Activity Logs — Full audit trail with pagination</w:t>
      </w:r>
    </w:p>
    <w:p>
      <w:pPr>
        <w:pStyle w:val="ListParagraph"/>
        <w:numPr>
          <w:ilvl w:val="0"/>
          <w:numId w:val="1"/>
        </w:numPr>
        <w:spacing w:after="80"/>
      </w:pPr>
      <w:r>
        <w:rPr>
          <w:sz w:val="22"/>
          <w:szCs w:val="22"/>
        </w:rPr>
        <w:t xml:space="preserve">Authentication — Secure login, password reset flows</w:t>
      </w:r>
    </w:p>
    <w:p>
      <w:pPr>
        <w:spacing w:before="240" w:after="120"/>
      </w:pPr>
      <w:r>
        <w:rPr>
          <w:b/>
          <w:sz w:val="32"/>
          <w:szCs w:val="32"/>
          <w:color w:val="0F2744"/>
        </w:rPr>
        <w:t>5. User Roles &amp; Access Control</w:t>
      </w:r>
    </w:p>
    <w:tbl>
      <w:tblPr>
        <w:tblW w:w="5000" w:type="pct"/>
        <w:tblBorders>
          <w:top w:val="single" w:sz="4"/>
          <w:left w:val="single" w:sz="4"/>
          <w:bottom w:val="single" w:sz="4"/>
          <w:right w:val="single" w:sz="4"/>
          <w:insideH w:val="single" w:sz="4"/>
          <w:insideV w:val="single" w:sz="4"/>
        </w:tblBorders>
      </w:tblPr>
      <w:tr>
        <w:tc>
          <w:tcPr>
            <w:shd w:val="clear" w:color="auto" w:fill="0F2744"/>
          </w:tcPr>
          <w:p>
            <w:r>
              <w:rPr>
                <w:b/>
                <w:color w:val="FFFFFF"/>
                <w:sz w:val="20"/>
              </w:rPr>
              <w:t>Role</w:t>
            </w:r>
          </w:p>
        </w:tc>
        <w:tc>
          <w:tcPr>
            <w:shd w:val="clear" w:color="auto" w:fill="0F2744"/>
          </w:tcPr>
          <w:p>
            <w:r>
              <w:rPr>
                <w:b/>
                <w:color w:val="FFFFFF"/>
                <w:sz w:val="20"/>
              </w:rPr>
              <w:t>Description</w:t>
            </w:r>
          </w:p>
        </w:tc>
        <w:tc>
          <w:tcPr>
            <w:shd w:val="clear" w:color="auto" w:fill="0F2744"/>
          </w:tcPr>
          <w:p>
            <w:r>
              <w:rPr>
                <w:b/>
                <w:color w:val="FFFFFF"/>
                <w:sz w:val="20"/>
              </w:rPr>
              <w:t>Key Permissions</w:t>
            </w:r>
          </w:p>
        </w:tc>
      </w:tr>
      <w:tr>
        <w:tc>
          <w:p>
            <w:r>
              <w:rPr>
                <w:sz w:val="20"/>
              </w:rPr>
              <w:t>Super Admin</w:t>
            </w:r>
          </w:p>
        </w:tc>
        <w:tc>
          <w:p>
            <w:r>
              <w:rPr>
                <w:sz w:val="20"/>
              </w:rPr>
              <w:t>System administrator</w:t>
            </w:r>
          </w:p>
        </w:tc>
        <w:tc>
          <w:p>
            <w:r>
              <w:rPr>
                <w:sz w:val="20"/>
              </w:rPr>
              <w:t>Full access to all modules</w:t>
            </w:r>
          </w:p>
        </w:tc>
      </w:tr>
      <w:tr>
        <w:tc>
          <w:p>
            <w:r>
              <w:rPr>
                <w:sz w:val="20"/>
              </w:rPr>
              <w:t>Managing Partner</w:t>
            </w:r>
          </w:p>
        </w:tc>
        <w:tc>
          <w:p>
            <w:r>
              <w:rPr>
                <w:sz w:val="20"/>
              </w:rPr>
              <w:t>Firm leadership</w:t>
            </w:r>
          </w:p>
        </w:tc>
        <w:tc>
          <w:p>
            <w:r>
              <w:rPr>
                <w:sz w:val="20"/>
              </w:rPr>
              <w:t>All modules; user read; activity logs</w:t>
            </w:r>
          </w:p>
        </w:tc>
      </w:tr>
      <w:tr>
        <w:tc>
          <w:p>
            <w:r>
              <w:rPr>
                <w:sz w:val="20"/>
              </w:rPr>
              <w:t>Lawyer</w:t>
            </w:r>
          </w:p>
        </w:tc>
        <w:tc>
          <w:p>
            <w:r>
              <w:rPr>
                <w:sz w:val="20"/>
              </w:rPr>
              <w:t>Attorney / counsel</w:t>
            </w:r>
          </w:p>
        </w:tc>
        <w:tc>
          <w:p>
            <w:r>
              <w:rPr>
                <w:sz w:val="20"/>
              </w:rPr>
              <w:t>Clients, cases, documents, tasks, calendar, billing</w:t>
            </w:r>
          </w:p>
        </w:tc>
      </w:tr>
      <w:tr>
        <w:tc>
          <w:p>
            <w:r>
              <w:rPr>
                <w:sz w:val="20"/>
              </w:rPr>
              <w:t>Paralegal</w:t>
            </w:r>
          </w:p>
        </w:tc>
        <w:tc>
          <w:p>
            <w:r>
              <w:rPr>
                <w:sz w:val="20"/>
              </w:rPr>
              <w:t>Legal support</w:t>
            </w:r>
          </w:p>
        </w:tc>
        <w:tc>
          <w:p>
            <w:r>
              <w:rPr>
                <w:sz w:val="20"/>
              </w:rPr>
              <w:t>Cases, documents, tasks, calendar</w:t>
            </w:r>
          </w:p>
        </w:tc>
      </w:tr>
      <w:tr>
        <w:tc>
          <w:p>
            <w:r>
              <w:rPr>
                <w:sz w:val="20"/>
              </w:rPr>
              <w:t>Secretary</w:t>
            </w:r>
          </w:p>
        </w:tc>
        <w:tc>
          <w:p>
            <w:r>
              <w:rPr>
                <w:sz w:val="20"/>
              </w:rPr>
              <w:t>Administrative staff</w:t>
            </w:r>
          </w:p>
        </w:tc>
        <w:tc>
          <w:p>
            <w:r>
              <w:rPr>
                <w:sz w:val="20"/>
              </w:rPr>
              <w:t>Clients, calendar, tasks</w:t>
            </w:r>
          </w:p>
        </w:tc>
      </w:tr>
      <w:tr>
        <w:tc>
          <w:p>
            <w:r>
              <w:rPr>
                <w:sz w:val="20"/>
              </w:rPr>
              <w:t>Accountant</w:t>
            </w:r>
          </w:p>
        </w:tc>
        <w:tc>
          <w:p>
            <w:r>
              <w:rPr>
                <w:sz w:val="20"/>
              </w:rPr>
              <w:t>Finance / billing</w:t>
            </w:r>
          </w:p>
        </w:tc>
        <w:tc>
          <w:p>
            <w:r>
              <w:rPr>
                <w:sz w:val="20"/>
              </w:rPr>
              <w:t>Billing full access; read-only clients/cases</w:t>
            </w:r>
          </w:p>
        </w:tc>
      </w:tr>
      <w:tr>
        <w:tc>
          <w:p>
            <w:r>
              <w:rPr>
                <w:sz w:val="20"/>
              </w:rPr>
              <w:t>Client</w:t>
            </w:r>
          </w:p>
        </w:tc>
        <w:tc>
          <w:p>
            <w:r>
              <w:rPr>
                <w:sz w:val="20"/>
              </w:rPr>
              <w:t>External portal</w:t>
            </w:r>
          </w:p>
        </w:tc>
        <w:tc>
          <w:p>
            <w:r>
              <w:rPr>
                <w:sz w:val="20"/>
              </w:rPr>
              <w:t>Limited read access to own cases and invoices</w:t>
            </w:r>
          </w:p>
        </w:tc>
      </w:tr>
    </w:tbl>
    <w:p>
      <w:pPr>
        <w:spacing w:before="240" w:after="120"/>
      </w:pPr>
      <w:r>
        <w:rPr>
          <w:b/>
          <w:sz w:val="32"/>
          <w:szCs w:val="32"/>
          <w:color w:val="0F2744"/>
        </w:rPr>
        <w:t>6. Security &amp; Compliance</w:t>
      </w:r>
    </w:p>
    <w:p>
      <w:pPr>
        <w:pStyle w:val="ListParagraph"/>
        <w:numPr>
          <w:ilvl w:val="0"/>
          <w:numId w:val="1"/>
        </w:numPr>
        <w:spacing w:after="80"/>
      </w:pPr>
      <w:r>
        <w:rPr>
          <w:sz w:val="22"/>
          <w:szCs w:val="22"/>
        </w:rPr>
        <w:t xml:space="preserve">Bcrypt password hashing with complexity enforcement</w:t>
      </w:r>
    </w:p>
    <w:p>
      <w:pPr>
        <w:pStyle w:val="ListParagraph"/>
        <w:numPr>
          <w:ilvl w:val="0"/>
          <w:numId w:val="1"/>
        </w:numPr>
        <w:spacing w:after="80"/>
      </w:pPr>
      <w:r>
        <w:rPr>
          <w:sz w:val="22"/>
          <w:szCs w:val="22"/>
        </w:rPr>
        <w:t xml:space="preserve">Secure server-side sessions via NextAuth v5</w:t>
      </w:r>
    </w:p>
    <w:p>
      <w:pPr>
        <w:pStyle w:val="ListParagraph"/>
        <w:numPr>
          <w:ilvl w:val="0"/>
          <w:numId w:val="1"/>
        </w:numPr>
        <w:spacing w:after="80"/>
      </w:pPr>
      <w:r>
        <w:rPr>
          <w:sz w:val="22"/>
          <w:szCs w:val="22"/>
        </w:rPr>
        <w:t xml:space="preserve">Permission validation on every server action</w:t>
      </w:r>
    </w:p>
    <w:p>
      <w:pPr>
        <w:pStyle w:val="ListParagraph"/>
        <w:numPr>
          <w:ilvl w:val="0"/>
          <w:numId w:val="1"/>
        </w:numPr>
        <w:spacing w:after="80"/>
      </w:pPr>
      <w:r>
        <w:rPr>
          <w:sz w:val="22"/>
          <w:szCs w:val="22"/>
        </w:rPr>
        <w:t xml:space="preserve">Comprehensive activity auditing</w:t>
      </w:r>
    </w:p>
    <w:p>
      <w:pPr>
        <w:pStyle w:val="ListParagraph"/>
        <w:numPr>
          <w:ilvl w:val="0"/>
          <w:numId w:val="1"/>
        </w:numPr>
        <w:spacing w:after="80"/>
      </w:pPr>
      <w:r>
        <w:rPr>
          <w:sz w:val="22"/>
          <w:szCs w:val="22"/>
        </w:rPr>
        <w:t xml:space="preserve">Zod schema validation on all inputs</w:t>
      </w:r>
    </w:p>
    <w:p>
      <w:pPr>
        <w:pStyle w:val="ListParagraph"/>
        <w:numPr>
          <w:ilvl w:val="0"/>
          <w:numId w:val="1"/>
        </w:numPr>
        <w:spacing w:after="80"/>
      </w:pPr>
      <w:r>
        <w:rPr>
          <w:sz w:val="22"/>
          <w:szCs w:val="22"/>
        </w:rPr>
        <w:t xml:space="preserve">Authenticated document API routes</w:t>
      </w:r>
    </w:p>
    <w:p>
      <w:pPr>
        <w:pStyle w:val="ListParagraph"/>
        <w:numPr>
          <w:ilvl w:val="0"/>
          <w:numId w:val="1"/>
        </w:numPr>
        <w:spacing w:after="80"/>
      </w:pPr>
      <w:r>
        <w:rPr>
          <w:sz w:val="22"/>
          <w:szCs w:val="22"/>
        </w:rPr>
        <w:t xml:space="preserve">Role-based data isolation</w:t>
      </w:r>
    </w:p>
    <w:p>
      <w:pPr>
        <w:spacing w:before="240" w:after="120"/>
      </w:pPr>
      <w:r>
        <w:rPr>
          <w:b/>
          <w:sz w:val="32"/>
          <w:szCs w:val="32"/>
          <w:color w:val="0F2744"/>
        </w:rPr>
        <w:t>7. Technology Architecture</w:t>
      </w:r>
    </w:p>
    <w:p>
      <w:pPr>
        <w:spacing w:after="120"/>
      </w:pPr>
      <w:r>
        <w:rPr>
          <w:sz w:val="22"/>
          <w:szCs w:val="22"/>
        </w:rPr>
        <w:t xml:space="preserve">Stack: Next.js 15, React 19, TypeScript, MySQL, Prisma ORM, NextAuth v5, Tailwind CSS, shadcn/ui, TanStack Table, React Hook Form, Zod, Recharts</w:t>
      </w:r>
    </w:p>
    <w:tbl>
      <w:tblPr>
        <w:tblW w:w="5000" w:type="pct"/>
        <w:tblBorders>
          <w:top w:val="single" w:sz="4"/>
          <w:left w:val="single" w:sz="4"/>
          <w:bottom w:val="single" w:sz="4"/>
          <w:right w:val="single" w:sz="4"/>
          <w:insideH w:val="single" w:sz="4"/>
          <w:insideV w:val="single" w:sz="4"/>
        </w:tblBorders>
      </w:tblPr>
      <w:tr>
        <w:tc>
          <w:tcPr>
            <w:shd w:val="clear" w:color="auto" w:fill="0F2744"/>
          </w:tcPr>
          <w:p>
            <w:r>
              <w:rPr>
                <w:b/>
                <w:color w:val="FFFFFF"/>
                <w:sz w:val="20"/>
              </w:rPr>
              <w:t>Layer</w:t>
            </w:r>
          </w:p>
        </w:tc>
        <w:tc>
          <w:tcPr>
            <w:shd w:val="clear" w:color="auto" w:fill="0F2744"/>
          </w:tcPr>
          <w:p>
            <w:r>
              <w:rPr>
                <w:b/>
                <w:color w:val="FFFFFF"/>
                <w:sz w:val="20"/>
              </w:rPr>
              <w:t>Technology</w:t>
            </w:r>
          </w:p>
        </w:tc>
        <w:tc>
          <w:tcPr>
            <w:shd w:val="clear" w:color="auto" w:fill="0F2744"/>
          </w:tcPr>
          <w:p>
            <w:r>
              <w:rPr>
                <w:b/>
                <w:color w:val="FFFFFF"/>
                <w:sz w:val="20"/>
              </w:rPr>
              <w:t>Purpose</w:t>
            </w:r>
          </w:p>
        </w:tc>
      </w:tr>
      <w:tr>
        <w:tc>
          <w:p>
            <w:r>
              <w:rPr>
                <w:sz w:val="20"/>
              </w:rPr>
              <w:t>Frontend</w:t>
            </w:r>
          </w:p>
        </w:tc>
        <w:tc>
          <w:p>
            <w:r>
              <w:rPr>
                <w:sz w:val="20"/>
              </w:rPr>
              <w:t>Next.js App Router, React 19</w:t>
            </w:r>
          </w:p>
        </w:tc>
        <w:tc>
          <w:p>
            <w:r>
              <w:rPr>
                <w:sz w:val="20"/>
              </w:rPr>
              <w:t>Responsive UI</w:t>
            </w:r>
          </w:p>
        </w:tc>
      </w:tr>
      <w:tr>
        <w:tc>
          <w:p>
            <w:r>
              <w:rPr>
                <w:sz w:val="20"/>
              </w:rPr>
              <w:t>Backend</w:t>
            </w:r>
          </w:p>
        </w:tc>
        <w:tc>
          <w:p>
            <w:r>
              <w:rPr>
                <w:sz w:val="20"/>
              </w:rPr>
              <w:t>Server Actions, API Routes</w:t>
            </w:r>
          </w:p>
        </w:tc>
        <w:tc>
          <w:p>
            <w:r>
              <w:rPr>
                <w:sz w:val="20"/>
              </w:rPr>
              <w:t>Business logic</w:t>
            </w:r>
          </w:p>
        </w:tc>
      </w:tr>
      <w:tr>
        <w:tc>
          <w:p>
            <w:r>
              <w:rPr>
                <w:sz w:val="20"/>
              </w:rPr>
              <w:t>Database</w:t>
            </w:r>
          </w:p>
        </w:tc>
        <w:tc>
          <w:p>
            <w:r>
              <w:rPr>
                <w:sz w:val="20"/>
              </w:rPr>
              <w:t>MySQL + Prisma ORM</w:t>
            </w:r>
          </w:p>
        </w:tc>
        <w:tc>
          <w:p>
            <w:r>
              <w:rPr>
                <w:sz w:val="20"/>
              </w:rPr>
              <w:t>Relational data with migrations</w:t>
            </w:r>
          </w:p>
        </w:tc>
      </w:tr>
      <w:tr>
        <w:tc>
          <w:p>
            <w:r>
              <w:rPr>
                <w:sz w:val="20"/>
              </w:rPr>
              <w:t>Authentication</w:t>
            </w:r>
          </w:p>
        </w:tc>
        <w:tc>
          <w:p>
            <w:r>
              <w:rPr>
                <w:sz w:val="20"/>
              </w:rPr>
              <w:t>NextAuth v5, bcryptjs</w:t>
            </w:r>
          </w:p>
        </w:tc>
        <w:tc>
          <w:p>
            <w:r>
              <w:rPr>
                <w:sz w:val="20"/>
              </w:rPr>
              <w:t>Secure sessions</w:t>
            </w:r>
          </w:p>
        </w:tc>
      </w:tr>
      <w:tr>
        <w:tc>
          <w:p>
            <w:r>
              <w:rPr>
                <w:sz w:val="20"/>
              </w:rPr>
              <w:t>Deployment</w:t>
            </w:r>
          </w:p>
        </w:tc>
        <w:tc>
          <w:p>
            <w:r>
              <w:rPr>
                <w:sz w:val="20"/>
              </w:rPr>
              <w:t>Node.js 18+</w:t>
            </w:r>
          </w:p>
        </w:tc>
        <w:tc>
          <w:p>
            <w:r>
              <w:rPr>
                <w:sz w:val="20"/>
              </w:rPr>
              <w:t>Vercel / VPS ready</w:t>
            </w:r>
          </w:p>
        </w:tc>
      </w:tr>
    </w:tbl>
    <w:p>
      <w:pPr>
        <w:spacing w:before="240" w:after="120"/>
      </w:pPr>
      <w:r>
        <w:rPr>
          <w:b/>
          <w:sz w:val="32"/>
          <w:szCs w:val="32"/>
          <w:color w:val="0F2744"/>
        </w:rPr>
        <w:t>8. User Interface &amp; Experience</w:t>
      </w:r>
    </w:p>
    <w:p>
      <w:pPr>
        <w:pStyle w:val="ListParagraph"/>
        <w:numPr>
          <w:ilvl w:val="0"/>
          <w:numId w:val="1"/>
        </w:numPr>
        <w:spacing w:after="80"/>
      </w:pPr>
      <w:r>
        <w:rPr>
          <w:sz w:val="22"/>
          <w:szCs w:val="22"/>
        </w:rPr>
        <w:t xml:space="preserve">Professional navy and gold theme</w:t>
      </w:r>
    </w:p>
    <w:p>
      <w:pPr>
        <w:pStyle w:val="ListParagraph"/>
        <w:numPr>
          <w:ilvl w:val="0"/>
          <w:numId w:val="1"/>
        </w:numPr>
        <w:spacing w:after="80"/>
      </w:pPr>
      <w:r>
        <w:rPr>
          <w:sz w:val="22"/>
          <w:szCs w:val="22"/>
        </w:rPr>
        <w:t xml:space="preserve">Plus Jakarta Sans typography</w:t>
      </w:r>
    </w:p>
    <w:p>
      <w:pPr>
        <w:pStyle w:val="ListParagraph"/>
        <w:numPr>
          <w:ilvl w:val="0"/>
          <w:numId w:val="1"/>
        </w:numPr>
        <w:spacing w:after="80"/>
      </w:pPr>
      <w:r>
        <w:rPr>
          <w:sz w:val="22"/>
          <w:szCs w:val="22"/>
        </w:rPr>
        <w:t xml:space="preserve">Responsive sidebar navigation</w:t>
      </w:r>
    </w:p>
    <w:p>
      <w:pPr>
        <w:pStyle w:val="ListParagraph"/>
        <w:numPr>
          <w:ilvl w:val="0"/>
          <w:numId w:val="1"/>
        </w:numPr>
        <w:spacing w:after="80"/>
      </w:pPr>
      <w:r>
        <w:rPr>
          <w:sz w:val="22"/>
          <w:szCs w:val="22"/>
        </w:rPr>
        <w:t xml:space="preserve">Searchable tables with server-side pagination</w:t>
      </w:r>
    </w:p>
    <w:p>
      <w:pPr>
        <w:pStyle w:val="ListParagraph"/>
        <w:numPr>
          <w:ilvl w:val="0"/>
          <w:numId w:val="1"/>
        </w:numPr>
        <w:spacing w:after="80"/>
      </w:pPr>
      <w:r>
        <w:rPr>
          <w:sz w:val="22"/>
          <w:szCs w:val="22"/>
        </w:rPr>
        <w:t xml:space="preserve">Dashboard charts and status badges</w:t>
      </w:r>
    </w:p>
    <w:p>
      <w:pPr>
        <w:pStyle w:val="ListParagraph"/>
        <w:numPr>
          <w:ilvl w:val="0"/>
          <w:numId w:val="1"/>
        </w:numPr>
        <w:spacing w:after="80"/>
      </w:pPr>
      <w:r>
        <w:rPr>
          <w:sz w:val="22"/>
          <w:szCs w:val="22"/>
        </w:rPr>
        <w:t xml:space="preserve">Philippine Peso (₱) formatting throughout</w:t>
      </w:r>
    </w:p>
    <w:p>
      <w:pPr>
        <w:spacing w:before="240" w:after="120"/>
      </w:pPr>
      <w:r>
        <w:rPr>
          <w:b/>
          <w:sz w:val="32"/>
          <w:szCs w:val="32"/>
          <w:color w:val="0F2744"/>
        </w:rPr>
        <w:t>9. Deliverables &amp; Current Status</w:t>
      </w:r>
    </w:p>
    <w:p>
      <w:pPr>
        <w:spacing w:after="120"/>
      </w:pPr>
      <w:r>
        <w:rPr>
          <w:sz w:val="22"/>
          <w:szCs w:val="22"/>
        </w:rPr>
        <w:t xml:space="preserve">Phase 1 development is complete and delivered:</w:t>
      </w:r>
    </w:p>
    <w:tbl>
      <w:tblPr>
        <w:tblW w:w="5000" w:type="pct"/>
        <w:tblBorders>
          <w:top w:val="single" w:sz="4"/>
          <w:left w:val="single" w:sz="4"/>
          <w:bottom w:val="single" w:sz="4"/>
          <w:right w:val="single" w:sz="4"/>
          <w:insideH w:val="single" w:sz="4"/>
          <w:insideV w:val="single" w:sz="4"/>
        </w:tblBorders>
      </w:tblPr>
      <w:tr>
        <w:tc>
          <w:tcPr>
            <w:shd w:val="clear" w:color="auto" w:fill="0F2744"/>
          </w:tcPr>
          <w:p>
            <w:r>
              <w:rPr>
                <w:b/>
                <w:color w:val="FFFFFF"/>
                <w:sz w:val="20"/>
              </w:rPr>
              <w:t>Deliverable</w:t>
            </w:r>
          </w:p>
        </w:tc>
        <w:tc>
          <w:tcPr>
            <w:shd w:val="clear" w:color="auto" w:fill="0F2744"/>
          </w:tcPr>
          <w:p>
            <w:r>
              <w:rPr>
                <w:b/>
                <w:color w:val="FFFFFF"/>
                <w:sz w:val="20"/>
              </w:rPr>
              <w:t>Status</w:t>
            </w:r>
          </w:p>
        </w:tc>
      </w:tr>
      <w:tr>
        <w:tc>
          <w:p>
            <w:r>
              <w:rPr>
                <w:sz w:val="20"/>
              </w:rPr>
              <w:t>Authentication &amp; RBAC (7 roles)</w:t>
            </w:r>
          </w:p>
        </w:tc>
        <w:tc>
          <w:p>
            <w:r>
              <w:rPr>
                <w:sz w:val="20"/>
              </w:rPr>
              <w:t>Complete</w:t>
            </w:r>
          </w:p>
        </w:tc>
      </w:tr>
      <w:tr>
        <w:tc>
          <w:p>
            <w:r>
              <w:rPr>
                <w:sz w:val="20"/>
              </w:rPr>
              <w:t>Dashboard, Clients, Cases, Documents</w:t>
            </w:r>
          </w:p>
        </w:tc>
        <w:tc>
          <w:p>
            <w:r>
              <w:rPr>
                <w:sz w:val="20"/>
              </w:rPr>
              <w:t>Complete</w:t>
            </w:r>
          </w:p>
        </w:tc>
      </w:tr>
      <w:tr>
        <w:tc>
          <w:p>
            <w:r>
              <w:rPr>
                <w:sz w:val="20"/>
              </w:rPr>
              <w:t>Tasks (List + Kanban), Calendar</w:t>
            </w:r>
          </w:p>
        </w:tc>
        <w:tc>
          <w:p>
            <w:r>
              <w:rPr>
                <w:sz w:val="20"/>
              </w:rPr>
              <w:t>Complete</w:t>
            </w:r>
          </w:p>
        </w:tc>
      </w:tr>
      <w:tr>
        <w:tc>
          <w:p>
            <w:r>
              <w:rPr>
                <w:sz w:val="20"/>
              </w:rPr>
              <w:t>Billing (₱), Notifications, Activity Logs</w:t>
            </w:r>
          </w:p>
        </w:tc>
        <w:tc>
          <w:p>
            <w:r>
              <w:rPr>
                <w:sz w:val="20"/>
              </w:rPr>
              <w:t>Complete</w:t>
            </w:r>
          </w:p>
        </w:tc>
      </w:tr>
      <w:tr>
        <w:tc>
          <w:p>
            <w:r>
              <w:rPr>
                <w:sz w:val="20"/>
              </w:rPr>
              <w:t>Server-side pagination on all listings</w:t>
            </w:r>
          </w:p>
        </w:tc>
        <w:tc>
          <w:p>
            <w:r>
              <w:rPr>
                <w:sz w:val="20"/>
              </w:rPr>
              <w:t>Complete</w:t>
            </w:r>
          </w:p>
        </w:tc>
      </w:tr>
      <w:tr>
        <w:tc>
          <w:p>
            <w:r>
              <w:rPr>
                <w:sz w:val="20"/>
              </w:rPr>
              <w:t>Demo data &amp; admin account</w:t>
            </w:r>
          </w:p>
        </w:tc>
        <w:tc>
          <w:p>
            <w:r>
              <w:rPr>
                <w:sz w:val="20"/>
              </w:rPr>
              <w:t>Complete</w:t>
            </w:r>
          </w:p>
        </w:tc>
      </w:tr>
    </w:tbl>
    <w:p>
      <w:pPr>
        <w:spacing w:before="240" w:after="120"/>
      </w:pPr>
      <w:r>
        <w:rPr>
          <w:b/>
          <w:sz w:val="32"/>
          <w:szCs w:val="32"/>
          <w:color w:val="0F2744"/>
        </w:rPr>
        <w:t>10. Implementation Roadmap</w:t>
      </w:r>
    </w:p>
    <w:p>
      <w:pPr>
        <w:spacing w:after="120"/>
      </w:pPr>
      <w:r>
        <w:rPr>
          <w:b/>
          <w:sz w:val="22"/>
          <w:szCs w:val="22"/>
        </w:rPr>
        <w:t xml:space="preserve">Phase 1 — Core Platform (Delivered): All ten modules, RBAC, UI, database, pagination.</w:t>
      </w:r>
    </w:p>
    <w:p>
      <w:pPr>
        <w:spacing w:after="120"/>
      </w:pPr>
      <w:r>
        <w:rPr>
          <w:sz w:val="22"/>
          <w:szCs w:val="22"/>
        </w:rPr>
        <w:t xml:space="preserve">Phase 2 — Production Deployment: Cloud hosting, SSL, domain, training, backups.</w:t>
      </w:r>
    </w:p>
    <w:p>
      <w:pPr>
        <w:spacing w:after="120"/>
      </w:pPr>
      <w:r>
        <w:rPr>
          <w:sz w:val="22"/>
          <w:szCs w:val="22"/>
        </w:rPr>
        <w:t xml:space="preserve">Phase 3 — Enhanced Features: User management, email notifications, PDF invoices, reporting.</w:t>
      </w:r>
    </w:p>
    <w:p>
      <w:pPr>
        <w:spacing w:after="120"/>
      </w:pPr>
      <w:r>
        <w:rPr>
          <w:sz w:val="22"/>
          <w:szCs w:val="22"/>
        </w:rPr>
        <w:t xml:space="preserve">Phase 4 — Integrations: Payment gateway, SMS, calendar sync, multi-branch support.</w:t>
      </w:r>
    </w:p>
    <w:p>
      <w:pPr>
        <w:spacing w:before="240" w:after="120"/>
      </w:pPr>
      <w:r>
        <w:rPr>
          <w:b/>
          <w:sz w:val="32"/>
          <w:szCs w:val="32"/>
          <w:color w:val="0F2744"/>
        </w:rPr>
        <w:t>11. Investment Overview</w:t>
      </w:r>
    </w:p>
    <w:p>
      <w:pPr>
        <w:spacing w:after="120"/>
      </w:pPr>
      <w:r>
        <w:rPr>
          <w:sz w:val="22"/>
          <w:szCs w:val="22"/>
        </w:rPr>
        <w:t xml:space="preserve">Investment based on Philippine market rates for custom enterprise web applications of comparable scope. Pricing may adjust for multi-branch deployment or additional integrations.</w:t>
      </w:r>
    </w:p>
    <w:tbl>
      <w:tblPr>
        <w:tblW w:w="5000" w:type="pct"/>
        <w:tblBorders>
          <w:top w:val="single" w:sz="4"/>
          <w:left w:val="single" w:sz="4"/>
          <w:bottom w:val="single" w:sz="4"/>
          <w:right w:val="single" w:sz="4"/>
          <w:insideH w:val="single" w:sz="4"/>
          <w:insideV w:val="single" w:sz="4"/>
        </w:tblBorders>
      </w:tblPr>
      <w:tr>
        <w:tc>
          <w:tcPr>
            <w:shd w:val="clear" w:color="auto" w:fill="0F2744"/>
          </w:tcPr>
          <w:p>
            <w:r>
              <w:rPr>
                <w:b/>
                <w:color w:val="FFFFFF"/>
                <w:sz w:val="20"/>
              </w:rPr>
              <w:t>Item</w:t>
            </w:r>
          </w:p>
        </w:tc>
        <w:tc>
          <w:tcPr>
            <w:shd w:val="clear" w:color="auto" w:fill="0F2744"/>
          </w:tcPr>
          <w:p>
            <w:r>
              <w:rPr>
                <w:b/>
                <w:color w:val="FFFFFF"/>
                <w:sz w:val="20"/>
              </w:rPr>
              <w:t>Description</w:t>
            </w:r>
          </w:p>
        </w:tc>
        <w:tc>
          <w:tcPr>
            <w:shd w:val="clear" w:color="auto" w:fill="0F2744"/>
          </w:tcPr>
          <w:p>
            <w:r>
              <w:rPr>
                <w:b/>
                <w:color w:val="FFFFFF"/>
                <w:sz w:val="20"/>
              </w:rPr>
              <w:t>Amount (PHP)</w:t>
            </w:r>
          </w:p>
        </w:tc>
      </w:tr>
      <w:tr>
        <w:tc>
          <w:p>
            <w:r>
              <w:rPr>
                <w:sz w:val="20"/>
              </w:rPr>
              <w:t>Phase 1 — Development</w:t>
            </w:r>
          </w:p>
        </w:tc>
        <w:tc>
          <w:p>
            <w:r>
              <w:rPr>
                <w:sz w:val="20"/>
              </w:rPr>
              <w:t>Full platform as delivered (10 modules, RBAC, UI)</w:t>
            </w:r>
          </w:p>
        </w:tc>
        <w:tc>
          <w:p>
            <w:r>
              <w:rPr>
                <w:sz w:val="20"/>
              </w:rPr>
              <w:t>1,250,000.00</w:t>
            </w:r>
          </w:p>
        </w:tc>
      </w:tr>
      <w:tr>
        <w:tc>
          <w:p>
            <w:r>
              <w:rPr>
                <w:sz w:val="20"/>
              </w:rPr>
              <w:t>Phase 2 — Deployment</w:t>
            </w:r>
          </w:p>
        </w:tc>
        <w:tc>
          <w:p>
            <w:r>
              <w:rPr>
                <w:sz w:val="20"/>
              </w:rPr>
              <w:t>Production setup, SSL, domain, training (1 session)</w:t>
            </w:r>
          </w:p>
        </w:tc>
        <w:tc>
          <w:p>
            <w:r>
              <w:rPr>
                <w:sz w:val="20"/>
              </w:rPr>
              <w:t>125,000.00</w:t>
            </w:r>
          </w:p>
        </w:tc>
      </w:tr>
      <w:tr>
        <w:tc>
          <w:p>
            <w:r>
              <w:rPr>
                <w:sz w:val="20"/>
              </w:rPr>
              <w:t>Annual Maintenance</w:t>
            </w:r>
          </w:p>
        </w:tc>
        <w:tc>
          <w:p>
            <w:r>
              <w:rPr>
                <w:sz w:val="20"/>
              </w:rPr>
              <w:t>Updates, bug fixes, security patches, support</w:t>
            </w:r>
          </w:p>
        </w:tc>
        <w:tc>
          <w:p>
            <w:r>
              <w:rPr>
                <w:sz w:val="20"/>
              </w:rPr>
              <w:t>187,500.00 / year</w:t>
            </w:r>
          </w:p>
        </w:tc>
      </w:tr>
      <w:tr>
        <w:tc>
          <w:p>
            <w:r>
              <w:rPr>
                <w:sz w:val="20"/>
              </w:rPr>
              <w:t>Phase 3 Enhancements</w:t>
            </w:r>
          </w:p>
        </w:tc>
        <w:tc>
          <w:p>
            <w:r>
              <w:rPr>
                <w:sz w:val="20"/>
              </w:rPr>
              <w:t>Email alerts, PDF invoices, user mgmt, reporting</w:t>
            </w:r>
          </w:p>
        </w:tc>
        <w:tc>
          <w:p>
            <w:r>
              <w:rPr>
                <w:sz w:val="20"/>
              </w:rPr>
              <w:t>350,000.00 – 750,000.00</w:t>
            </w:r>
          </w:p>
        </w:tc>
      </w:tr>
    </w:tbl>
    <w:p>
      <w:pPr>
        <w:spacing w:before="240" w:after="120"/>
      </w:pPr>
      <w:r>
        <w:rPr>
          <w:b/>
          <w:sz w:val="26"/>
          <w:szCs w:val="26"/>
          <w:color w:val="0F2744"/>
        </w:rPr>
        <w:t>Phase 1 — Development Payment Schedule</w:t>
      </w:r>
    </w:p>
    <w:p>
      <w:pPr>
        <w:spacing w:after="120"/>
      </w:pPr>
      <w:r>
        <w:rPr>
          <w:sz w:val="22"/>
          <w:szCs w:val="22"/>
        </w:rPr>
        <w:t xml:space="preserve">Total Phase 1 investment of PHP 1,250,000.00 is payable in four (4) terms:</w:t>
      </w:r>
    </w:p>
    <w:tbl>
      <w:tblPr>
        <w:tblW w:w="5000" w:type="pct"/>
        <w:tblBorders>
          <w:top w:val="single" w:sz="4"/>
          <w:left w:val="single" w:sz="4"/>
          <w:bottom w:val="single" w:sz="4"/>
          <w:right w:val="single" w:sz="4"/>
          <w:insideH w:val="single" w:sz="4"/>
          <w:insideV w:val="single" w:sz="4"/>
        </w:tblBorders>
      </w:tblPr>
      <w:tr>
        <w:tc>
          <w:tcPr>
            <w:shd w:val="clear" w:color="auto" w:fill="0F2744"/>
          </w:tcPr>
          <w:p>
            <w:r>
              <w:rPr>
                <w:b/>
                <w:color w:val="FFFFFF"/>
                <w:sz w:val="20"/>
              </w:rPr>
              <w:t>Term</w:t>
            </w:r>
          </w:p>
        </w:tc>
        <w:tc>
          <w:tcPr>
            <w:shd w:val="clear" w:color="auto" w:fill="0F2744"/>
          </w:tcPr>
          <w:p>
            <w:r>
              <w:rPr>
                <w:b/>
                <w:color w:val="FFFFFF"/>
                <w:sz w:val="20"/>
              </w:rPr>
              <w:t>Milestone</w:t>
            </w:r>
          </w:p>
        </w:tc>
        <w:tc>
          <w:tcPr>
            <w:shd w:val="clear" w:color="auto" w:fill="0F2744"/>
          </w:tcPr>
          <w:p>
            <w:r>
              <w:rPr>
                <w:b/>
                <w:color w:val="FFFFFF"/>
                <w:sz w:val="20"/>
              </w:rPr>
              <w:t>%</w:t>
            </w:r>
          </w:p>
        </w:tc>
        <w:tc>
          <w:tcPr>
            <w:shd w:val="clear" w:color="auto" w:fill="0F2744"/>
          </w:tcPr>
          <w:p>
            <w:r>
              <w:rPr>
                <w:b/>
                <w:color w:val="FFFFFF"/>
                <w:sz w:val="20"/>
              </w:rPr>
              <w:t>Amount (PHP)</w:t>
            </w:r>
          </w:p>
        </w:tc>
      </w:tr>
      <w:tr>
        <w:tc>
          <w:p>
            <w:r>
              <w:rPr>
                <w:sz w:val="20"/>
              </w:rPr>
              <w:t>1st Payment</w:t>
            </w:r>
          </w:p>
        </w:tc>
        <w:tc>
          <w:p>
            <w:r>
              <w:rPr>
                <w:sz w:val="20"/>
              </w:rPr>
              <w:t>Upon contract signing and project kickoff</w:t>
            </w:r>
          </w:p>
        </w:tc>
        <w:tc>
          <w:p>
            <w:r>
              <w:rPr>
                <w:sz w:val="20"/>
              </w:rPr>
              <w:t>15%</w:t>
            </w:r>
          </w:p>
        </w:tc>
        <w:tc>
          <w:p>
            <w:r>
              <w:rPr>
                <w:sz w:val="20"/>
              </w:rPr>
              <w:t>187,500.00</w:t>
            </w:r>
          </w:p>
        </w:tc>
      </w:tr>
      <w:tr>
        <w:tc>
          <w:p>
            <w:r>
              <w:rPr>
                <w:sz w:val="20"/>
              </w:rPr>
              <w:t>2nd Payment</w:t>
            </w:r>
          </w:p>
        </w:tc>
        <w:tc>
          <w:p>
            <w:r>
              <w:rPr>
                <w:sz w:val="20"/>
              </w:rPr>
              <w:t>Upon delivery of core modules (Auth, Clients, Cases, Dashboard)</w:t>
            </w:r>
          </w:p>
        </w:tc>
        <w:tc>
          <w:p>
            <w:r>
              <w:rPr>
                <w:sz w:val="20"/>
              </w:rPr>
              <w:t>15%</w:t>
            </w:r>
          </w:p>
        </w:tc>
        <w:tc>
          <w:p>
            <w:r>
              <w:rPr>
                <w:sz w:val="20"/>
              </w:rPr>
              <w:t>187,500.00</w:t>
            </w:r>
          </w:p>
        </w:tc>
      </w:tr>
      <w:tr>
        <w:tc>
          <w:p>
            <w:r>
              <w:rPr>
                <w:sz w:val="20"/>
              </w:rPr>
              <w:t>3rd Payment</w:t>
            </w:r>
          </w:p>
        </w:tc>
        <w:tc>
          <w:p>
            <w:r>
              <w:rPr>
                <w:sz w:val="20"/>
              </w:rPr>
              <w:t>Upon delivery of remaining modules (Documents, Tasks, Calendar, Billing)</w:t>
            </w:r>
          </w:p>
        </w:tc>
        <w:tc>
          <w:p>
            <w:r>
              <w:rPr>
                <w:sz w:val="20"/>
              </w:rPr>
              <w:t>30%</w:t>
            </w:r>
          </w:p>
        </w:tc>
        <w:tc>
          <w:p>
            <w:r>
              <w:rPr>
                <w:sz w:val="20"/>
              </w:rPr>
              <w:t>375,000.00</w:t>
            </w:r>
          </w:p>
        </w:tc>
      </w:tr>
      <w:tr>
        <w:tc>
          <w:p>
            <w:r>
              <w:rPr>
                <w:sz w:val="20"/>
              </w:rPr>
              <w:t>4th Payment</w:t>
            </w:r>
          </w:p>
        </w:tc>
        <w:tc>
          <w:p>
            <w:r>
              <w:rPr>
                <w:sz w:val="20"/>
              </w:rPr>
              <w:t>Upon Phase 1 final acceptance and handover</w:t>
            </w:r>
          </w:p>
        </w:tc>
        <w:tc>
          <w:p>
            <w:r>
              <w:rPr>
                <w:sz w:val="20"/>
              </w:rPr>
              <w:t>40%</w:t>
            </w:r>
          </w:p>
        </w:tc>
        <w:tc>
          <w:p>
            <w:r>
              <w:rPr>
                <w:sz w:val="20"/>
              </w:rPr>
              <w:t>500,000.00</w:t>
            </w:r>
          </w:p>
        </w:tc>
      </w:tr>
      <w:tr>
        <w:tc>
          <w:p>
            <w:r>
              <w:rPr>
                <w:sz w:val="20"/>
              </w:rPr>
              <w:t>Total Phase 1</w:t>
            </w:r>
          </w:p>
        </w:tc>
        <w:tc>
          <w:p>
            <w:r>
              <w:rPr>
                <w:sz w:val="20"/>
              </w:rPr>
              <w:t/>
            </w:r>
          </w:p>
        </w:tc>
        <w:tc>
          <w:p>
            <w:r>
              <w:rPr>
                <w:sz w:val="20"/>
              </w:rPr>
              <w:t>100%</w:t>
            </w:r>
          </w:p>
        </w:tc>
        <w:tc>
          <w:p>
            <w:r>
              <w:rPr>
                <w:sz w:val="20"/>
              </w:rPr>
              <w:t>1,250,000.00</w:t>
            </w:r>
          </w:p>
        </w:tc>
      </w:tr>
    </w:tbl>
    <w:p>
      <w:pPr>
        <w:spacing w:after="120"/>
      </w:pPr>
      <w:r>
        <w:rPr>
          <w:sz w:val="20"/>
          <w:szCs w:val="20"/>
        </w:rPr>
        <w:t xml:space="preserve">Phase 2 is invoiced in full (PHP 125,000.00) upon production deployment. Annual maintenance (PHP 187,500.00) is billed annually in advance.</w:t>
      </w:r>
    </w:p>
    <w:p>
      <w:pPr>
        <w:spacing w:before="240" w:after="120"/>
      </w:pPr>
      <w:r>
        <w:rPr>
          <w:b/>
          <w:sz w:val="32"/>
          <w:szCs w:val="32"/>
          <w:color w:val="0F2744"/>
        </w:rPr>
        <w:t>12. Support &amp; Maintenance</w:t>
      </w:r>
    </w:p>
    <w:p>
      <w:pPr>
        <w:pStyle w:val="ListParagraph"/>
        <w:numPr>
          <w:ilvl w:val="0"/>
          <w:numId w:val="1"/>
        </w:numPr>
        <w:spacing w:after="80"/>
      </w:pPr>
      <w:r>
        <w:rPr>
          <w:sz w:val="22"/>
          <w:szCs w:val="22"/>
        </w:rPr>
        <w:t xml:space="preserve">Priority bug fixes for core workflows</w:t>
      </w:r>
    </w:p>
    <w:p>
      <w:pPr>
        <w:pStyle w:val="ListParagraph"/>
        <w:numPr>
          <w:ilvl w:val="0"/>
          <w:numId w:val="1"/>
        </w:numPr>
        <w:spacing w:after="80"/>
      </w:pPr>
      <w:r>
        <w:rPr>
          <w:sz w:val="22"/>
          <w:szCs w:val="22"/>
        </w:rPr>
        <w:t xml:space="preserve">Security and dependency updates</w:t>
      </w:r>
    </w:p>
    <w:p>
      <w:pPr>
        <w:pStyle w:val="ListParagraph"/>
        <w:numPr>
          <w:ilvl w:val="0"/>
          <w:numId w:val="1"/>
        </w:numPr>
        <w:spacing w:after="80"/>
      </w:pPr>
      <w:r>
        <w:rPr>
          <w:sz w:val="22"/>
          <w:szCs w:val="22"/>
        </w:rPr>
        <w:t xml:space="preserve">Automated daily database backups</w:t>
      </w:r>
    </w:p>
    <w:p>
      <w:pPr>
        <w:pStyle w:val="ListParagraph"/>
        <w:numPr>
          <w:ilvl w:val="0"/>
          <w:numId w:val="1"/>
        </w:numPr>
        <w:spacing w:after="80"/>
      </w:pPr>
      <w:r>
        <w:rPr>
          <w:sz w:val="22"/>
          <w:szCs w:val="22"/>
        </w:rPr>
        <w:t xml:space="preserve">Email/ticket support during business hours</w:t>
      </w:r>
    </w:p>
    <w:p>
      <w:pPr>
        <w:pStyle w:val="ListParagraph"/>
        <w:numPr>
          <w:ilvl w:val="0"/>
          <w:numId w:val="1"/>
        </w:numPr>
        <w:spacing w:after="80"/>
      </w:pPr>
      <w:r>
        <w:rPr>
          <w:sz w:val="22"/>
          <w:szCs w:val="22"/>
        </w:rPr>
        <w:t xml:space="preserve">Database schema and deployment documentation</w:t>
      </w:r>
    </w:p>
    <w:p>
      <w:pPr>
        <w:spacing w:before="240" w:after="120"/>
      </w:pPr>
      <w:r>
        <w:rPr>
          <w:b/>
          <w:sz w:val="32"/>
          <w:szCs w:val="32"/>
          <w:color w:val="0F2744"/>
        </w:rPr>
        <w:t>13. Conclusion</w:t>
      </w:r>
    </w:p>
    <w:p>
      <w:pPr>
        <w:spacing w:after="120"/>
      </w:pPr>
      <w:r>
        <w:rPr>
          <w:sz w:val="22"/>
          <w:szCs w:val="22"/>
        </w:rPr>
        <w:t xml:space="preserve">RandJuris delivers a production-ready foundation for digitizing legal practice operations. RANDTEK IT Solution is prepared to proceed with deployment, training, and phased enhancements.</w:t>
      </w:r>
    </w:p>
    <w:p>
      <w:pPr>
        <w:spacing w:before="240" w:after="120"/>
      </w:pPr>
      <w:r>
        <w:rPr>
          <w:b/>
          <w:sz w:val="32"/>
          <w:szCs w:val="32"/>
          <w:color w:val="0F2744"/>
        </w:rPr>
        <w:t>14. Acceptance &amp; Sign-Off</w:t>
      </w:r>
    </w:p>
    <w:p>
      <w:pPr>
        <w:spacing w:after="120"/>
      </w:pPr>
      <w:r>
        <w:rPr>
          <w:sz w:val="22"/>
          <w:szCs w:val="22"/>
        </w:rPr>
        <w:t xml:space="preserve">By signing below, both parties acknowledge review of this proposal and agreement to proceed.</w:t>
      </w:r>
    </w:p>
    <w:p>
      <w:pPr>
        <w:spacing w:after="120"/>
      </w:pPr>
      <w:r>
        <w:rPr>
          <w:sz w:val="22"/>
          <w:szCs w:val="22"/>
        </w:rPr>
        <w:t xml:space="preserve"/>
      </w:r>
    </w:p>
    <w:tbl>
      <w:tblPr>
        <w:tblW w:w="5000" w:type="pct"/>
        <w:tblBorders>
          <w:top w:val="single" w:sz="4"/>
          <w:left w:val="single" w:sz="4"/>
          <w:bottom w:val="single" w:sz="4"/>
          <w:right w:val="single" w:sz="4"/>
          <w:insideH w:val="single" w:sz="4"/>
          <w:insideV w:val="single" w:sz="4"/>
        </w:tblBorders>
      </w:tblPr>
      <w:tr>
        <w:tc>
          <w:tcPr>
            <w:shd w:val="clear" w:color="auto" w:fill="0F2744"/>
          </w:tcPr>
          <w:p>
            <w:r>
              <w:rPr>
                <w:b/>
                <w:color w:val="FFFFFF"/>
                <w:sz w:val="20"/>
              </w:rPr>
              <w:t>For RANDTEK IT Solution</w:t>
            </w:r>
          </w:p>
        </w:tc>
        <w:tc>
          <w:tcPr>
            <w:shd w:val="clear" w:color="auto" w:fill="0F2744"/>
          </w:tcPr>
          <w:p>
            <w:r>
              <w:rPr>
                <w:b/>
                <w:color w:val="FFFFFF"/>
                <w:sz w:val="20"/>
              </w:rPr>
              <w:t>For the Client / Law Firm</w:t>
            </w:r>
          </w:p>
        </w:tc>
      </w:tr>
      <w:tr>
        <w:tc>
          <w:p>
            <w:r>
              <w:rPr>
                <w:sz w:val="20"/>
              </w:rPr>
              <w:t>Authorized Signature &amp; Date</w:t>
            </w:r>
          </w:p>
        </w:tc>
        <w:tc>
          <w:p>
            <w:r>
              <w:rPr>
                <w:sz w:val="20"/>
              </w:rPr>
              <w:t>Authorized Signature &amp; Date</w:t>
            </w:r>
          </w:p>
        </w:tc>
      </w:tr>
      <w:tr>
        <w:tc>
          <w:p>
            <w:r>
              <w:rPr>
                <w:sz w:val="20"/>
              </w:rPr>
              <w:t>Name: _______________________</w:t>
            </w:r>
          </w:p>
        </w:tc>
        <w:tc>
          <w:p>
            <w:r>
              <w:rPr>
                <w:sz w:val="20"/>
              </w:rPr>
              <w:t>Name: _______________________</w:t>
            </w:r>
          </w:p>
        </w:tc>
      </w:tr>
      <w:tr>
        <w:tc>
          <w:p>
            <w:r>
              <w:rPr>
                <w:sz w:val="20"/>
              </w:rPr>
              <w:t>Title: Project Lead</w:t>
            </w:r>
          </w:p>
        </w:tc>
        <w:tc>
          <w:p>
            <w:r>
              <w:rPr>
                <w:sz w:val="20"/>
              </w:rPr>
              <w:t>Title: _______________________</w:t>
            </w:r>
          </w:p>
        </w:tc>
      </w:tr>
    </w:tbl>
    <w:p>
      <w:pPr>
        <w:spacing w:after="120"/>
      </w:pPr>
      <w:r>
        <w:rPr>
          <w:sz w:val="22"/>
          <w:szCs w:val="22"/>
        </w:rPr>
        <w:t xml:space="preserve"/>
      </w:r>
    </w:p>
    <w:p>
      <w:pPr>
        <w:jc w:val="center"/>
        <w:spacing w:after="0"/>
      </w:pPr>
      <w:r>
        <w:rPr>
          <w:sz w:val="18"/>
          <w:szCs w:val="18"/>
        </w:rPr>
        <w:t xml:space="preserve">RANDTEK IT Solution | RandJuris | Proposal v1.0 | June 2025</w:t>
      </w:r>
    </w:p>
    <w:sectPr>
      <w:pgSz w:w="12240" w:h="15840"/>
      <w:pgMar w:top="1440" w:right="1260" w:bottom="1440" w:left="1260"/>
    </w:sectPr>
  </w:body>
</w:document>
</file>

<file path=word/numbering.xml><?xml version="1.0" encoding="utf-8"?>
<w:numbering xmlns:w="http://schemas.openxmlformats.org/wordprocessingml/2006/main">
  <w:abstractNum w:abstractNumId="0">
    <w:lvl w:ilvl="0">
      <w:start w:val="1"/>
      <w:numFmt w:val="bullet"/>
      <w:lvlText w:val="•"/>
      <w:lvlJc w:val="left"/>
    </w:lvl>
  </w:abstractNum>
  <w:num w:numId="1">
    <w:abstractNumId w:val="0"/>
  </w:num>
</w:numbering>
</file>

<file path=word/styles.xml><?xml version="1.0" encoding="utf-8"?>
<w:styles xmlns:w="http://schemas.openxmlformats.org/wordprocessingml/2006/main">
  <w:style w:type="paragraph" w:styleId="Normal" w:default="1">
    <w:name w:val="Normal"/>
    <w:qFormat/>
    <w:rPr>
      <w:sz w:val="22"/>
      <w:szCs w:val="22"/>
      <w:lang w:val="en-US"/>
    </w:rPr>
  </w:style>
  <w:style w:type="paragraph" w:styleId="ListParagraph">
    <w:name w:val="List Paragraph"/>
    <w:basedOn w:val="Normal"/>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