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60"/>
          <w:szCs w:val="60"/>
        </w:rPr>
      </w:pPr>
      <w:bookmarkStart w:colFirst="0" w:colLast="0" w:name="_z9w0123zydfg" w:id="0"/>
      <w:bookmarkEnd w:id="0"/>
      <w:r w:rsidDel="00000000" w:rsidR="00000000" w:rsidRPr="00000000">
        <w:rPr>
          <w:rFonts w:ascii="Times New Roman" w:cs="Times New Roman" w:eastAsia="Times New Roman" w:hAnsi="Times New Roman"/>
          <w:sz w:val="60"/>
          <w:szCs w:val="60"/>
          <w:rtl w:val="0"/>
        </w:rPr>
        <w:t xml:space="preserve">MaestrAI: Vision-based Handwritten Assessment Grading and Feedback for Programming Subjects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w:t>
      </w:r>
    </w:p>
    <w:p w:rsidR="00000000" w:rsidDel="00000000" w:rsidP="00000000" w:rsidRDefault="00000000" w:rsidRPr="00000000" w14:paraId="00000027">
      <w:pPr>
        <w:spacing w:after="120" w:before="12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Handwritten code assessment is a method where instructors evaluate programming code written by students on paper, commonly used in educational settings for languages such as C and Java. This process is essential in programming education because it measures students’ understanding of coding concepts and their ability to solve problems without relying on digital tools. The topic is important not only for assigning grades but also for shaping how students learn and how instructors teach, as effective assessment provides motivation and opportunities for improvement through timely feedback. The main components of handwritten code assessment include recognizing and interpreting handwritten code, checking its correctness, and delivering constructive feedback. Despite its benefits, the traditional manual approach can be slow, inconsistent, and burdensome for instructors, which can negatively affect student learning. Therefore, investigating automated solutions for handwritten code assessment is worthwhile, as it promises to make the process more efficient, consistent, and impactful for both teachers and students. </w:t>
      </w:r>
    </w:p>
    <w:p w:rsidR="00000000" w:rsidDel="00000000" w:rsidP="00000000" w:rsidRDefault="00000000" w:rsidRPr="00000000" w14:paraId="00000028">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computer science instructors face three critical challenges in handwritten code assessment: (1) Instructor workload—manually grading handwritten C and Java code is labor-intensive, consuming an average of 5 hours weekly (140 hours per 28-week term), limiting assignment volume and feedback quality (Codio, 2025). (2) Feedback delays—manual assessment postpones feedback delivery by days or weeks, disrupting the learning cycle; research shows student motivation drops significantly when feedback exceeds 10 days, while optimal impact occurs within 24-48 hours (SchoolAI, 2026). (3) Grading inconsistency—human graders show significant variation in self-consistency and inter-grader consistency, resulting in arbitrary grade differences that undermine student trust and motivation (ACM Transactions on Computing Education, 2025; Wiley Education Services, 2025). These interconnected issues prevent timely, consistent, personalized feedback delivery essential to effective programming education (Frontiers in Education, 2025).</w:t>
      </w:r>
    </w:p>
    <w:p w:rsidR="00000000" w:rsidDel="00000000" w:rsidP="00000000" w:rsidRDefault="00000000" w:rsidRPr="00000000" w14:paraId="0000002A">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technological approaches address individual challenges: automated grading platforms (Codio) use unit testing to reduce instructor workload (Codio, 2025); LLM-based systems provide richer feedback through error explanation and code improvement suggestions (ACM International Conference on AI-enabled Education, 2025); code execution sandboxes (E2B, Modal, Beam) enable secure code testing (Modal, 2026; Northflank, 2026); and multimodal LLMs (GPT-4 Vision, Claude 3 Sonnet, Gemini 2.5 Pro, GLM-4.5V, Qwen2.5-VL) support image-to-text conversion and code extraction (Vellum AI, 2026; BentoML, 2026; LlamaIndex, 2026). However, these solutions operate in isolation: automated graders cannot process handwritten submissions; traditional OCR tools struggle with handwritten code, achieving only 50-63% accuracy on cursive or semi-cursive text due to variations in writing style, pen pressure, and document quality (AIMultiple, 2026; Extend, 2026; Lido, 2026); vision models cannot execute code; sandboxes require pre-formatted digital input; and LLM feedback systems target student learning rather than instructor assessment. No integrated solution combines handwritten image capture, code recognition, execution validation, and assessment-focused feedback into a single university-accessible platform.</w:t>
      </w:r>
    </w:p>
    <w:p w:rsidR="00000000" w:rsidDel="00000000" w:rsidP="00000000" w:rsidRDefault="00000000" w:rsidRPr="00000000" w14:paraId="0000002D">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integrated platform currently combines handwritten code image capture, accurate code recognition, execution validation, and assessment-focused feedback into a unified system for educational use. This gap perpetuates the problems in paragraph 2: manual grading, delayed feedback, and inconsistent assessment. Timely, high-quality feedback is a principal driver of academic achievement in CS education; without an automated handwritten code assessment system, institutions cannot simultaneously address instructor workload, feedback timeliness, and grading fairness. This study proposes MaestrAI, a mobile-based platform designed to bridge this gap. The study will design and implement a mobile application for capturing handwritten code images, integrate a vision-based recognition module for extracting handwritten C and Java code with error correction, and implement an automated code execution and validation engine to test extracted code against correctness criteria. The study will develop an intelligent feedback generation system that produces meaningful explanations beyond simple pass/fail results, evaluate system performance across recognition accuracy, grading accuracy, feedback quality, and time efficiency, and validate pedagogical impact by measuring improvement in feedback timeliness and learning outcomes. Through these objectives, MaestrAI will accelerate assessment from days to minutes while improving consistency and enabling scalable feedback delivery.</w:t>
      </w:r>
    </w:p>
    <w:p w:rsidR="00000000" w:rsidDel="00000000" w:rsidP="00000000" w:rsidRDefault="00000000" w:rsidRPr="00000000" w14:paraId="0000002F">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MaestrAI contributes to CS education through three innovations: (1) Technological—the first integrated mobile platform combining vision-based code recognition, execution validation, and intelligent feedback for handwritten programming assessment; (2) Instructional—enabling instructors to scale assessment capacity while improving consistency and fairness through automated evaluation; and (3) Pedagogical—enabling timely feedback delivery (days to minutes) that supports student motivation and learning outcomes. Collectively, MaestrAI addresses a documented gap in CS education assessment practices, improving both instructional efficiency and student achievement.</w:t>
      </w:r>
    </w:p>
    <w:p w:rsidR="00000000" w:rsidDel="00000000" w:rsidP="00000000" w:rsidRDefault="00000000" w:rsidRPr="00000000" w14:paraId="00000031">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OBJECTIVES</w:t>
      </w:r>
    </w:p>
    <w:p w:rsidR="00000000" w:rsidDel="00000000" w:rsidP="00000000" w:rsidRDefault="00000000" w:rsidRPr="00000000" w14:paraId="00000033">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1q6dsvcoski8" w:id="1"/>
      <w:bookmarkEnd w:id="1"/>
      <w:r w:rsidDel="00000000" w:rsidR="00000000" w:rsidRPr="00000000">
        <w:rPr>
          <w:rFonts w:ascii="Times New Roman" w:cs="Times New Roman" w:eastAsia="Times New Roman" w:hAnsi="Times New Roman"/>
          <w:b w:val="1"/>
          <w:bCs w:val="1"/>
          <w:color w:val="000000"/>
          <w:sz w:val="26"/>
          <w:szCs w:val="26"/>
          <w:rtl w:val="0"/>
        </w:rPr>
        <w:t xml:space="preserve">General Objective:</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 intelligent mobile-based application that automates the assessment, grading, and feedback generation for handwritten programming code in C and Java, enabling rapid, accurate, and constructive evaluation while reducing instructor workload and accelerating feedback delivery to students.</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Objectives: </w:t>
      </w:r>
    </w:p>
    <w:p w:rsidR="00000000" w:rsidDel="00000000" w:rsidP="00000000" w:rsidRDefault="00000000" w:rsidRPr="00000000" w14:paraId="00000036">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implement a mobile application with an intuitive camera interface that captures high-quality images of handwritten code on paper, ensuring compatibility with typical examination and assignment scenarios in university settings.</w:t>
      </w:r>
    </w:p>
    <w:p w:rsidR="00000000" w:rsidDel="00000000" w:rsidP="00000000" w:rsidRDefault="00000000" w:rsidRPr="00000000" w14:paraId="00000037">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integrate a vision-based code recognition module utilizing large language models (LLMs) to accurately extract and reconstruct handwritten C and Java code from paper images, with error correction mechanisms to handle OCR-induced transcription errors such as missing operators, capitalization issues, and spacing errors.</w:t>
      </w:r>
    </w:p>
    <w:p w:rsidR="00000000" w:rsidDel="00000000" w:rsidP="00000000" w:rsidRDefault="00000000" w:rsidRPr="00000000" w14:paraId="00000038">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an automated code execution and validation engine that compiles and runs extracted C and Java code against predefined test cases, determining correctness and identifying runtime errors, logical flaws, and edge case failures.</w:t>
      </w:r>
    </w:p>
    <w:p w:rsidR="00000000" w:rsidDel="00000000" w:rsidP="00000000" w:rsidRDefault="00000000" w:rsidRPr="00000000" w14:paraId="00000039">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 intelligent feedback generation system that produces meaningful, student-facing explanations of code errors, suggestions for improvement, and identification of concepts or syntax requiring reinforcement, going beyond simple pass/fail verdicts.</w:t>
      </w:r>
    </w:p>
    <w:p w:rsidR="00000000" w:rsidDel="00000000" w:rsidP="00000000" w:rsidRDefault="00000000" w:rsidRPr="00000000" w14:paraId="0000003A">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system performance by measuring (a) code recognition accuracy compared to manual transcription, (b) grading accuracy compared to instructor assessment, (c) feedback quality ratings from student and instructor perspectives, and (d) time savings in assessment workflow relative to manual grading.</w:t>
      </w:r>
    </w:p>
    <w:p w:rsidR="00000000" w:rsidDel="00000000" w:rsidP="00000000" w:rsidRDefault="00000000" w:rsidRPr="00000000" w14:paraId="0000003B">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validate the pedagogical impact by assessing whether timely MaestrAI feedback improves student engagement, supports iterative learning on subsequent assignments, and reduces the assessment-to-feedback turnaround time from days to minutes.</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Codio (2025). "Automated Grading &amp; Instant Learner Feedback." Retrieved from </w:t>
      </w:r>
      <w:hyperlink r:id="rId6">
        <w:r w:rsidDel="00000000" w:rsidR="00000000" w:rsidRPr="00000000">
          <w:rPr>
            <w:rFonts w:ascii="Times New Roman" w:cs="Times New Roman" w:eastAsia="Times New Roman" w:hAnsi="Times New Roman"/>
            <w:color w:val="1155cc"/>
            <w:sz w:val="24"/>
            <w:szCs w:val="24"/>
            <w:u w:val="single"/>
            <w:rtl w:val="0"/>
          </w:rPr>
          <w:t xml:space="preserve">https://www.codio.com/features/auto-grading</w:t>
        </w:r>
      </w:hyperlink>
      <w:r w:rsidDel="00000000" w:rsidR="00000000" w:rsidRPr="00000000">
        <w:rPr>
          <w:rtl w:val="0"/>
        </w:rPr>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Center for Teaching and Learning / Wiley Education Services (2025). "Grading and Providing Feedback: Consistency, Effectiveness, and Fairness." Retrieved from </w:t>
      </w:r>
      <w:hyperlink r:id="rId7">
        <w:r w:rsidDel="00000000" w:rsidR="00000000" w:rsidRPr="00000000">
          <w:rPr>
            <w:rFonts w:ascii="Times New Roman" w:cs="Times New Roman" w:eastAsia="Times New Roman" w:hAnsi="Times New Roman"/>
            <w:color w:val="1155cc"/>
            <w:sz w:val="24"/>
            <w:szCs w:val="24"/>
            <w:u w:val="single"/>
            <w:rtl w:val="0"/>
          </w:rPr>
          <w:t xml:space="preserve">https://ctl.wiley.com/grading-and-providing-feedback-consistency-effectiveness-and-fairness/</w:t>
        </w:r>
      </w:hyperlink>
      <w:r w:rsidDel="00000000" w:rsidR="00000000" w:rsidRPr="00000000">
        <w:rPr>
          <w:rtl w:val="0"/>
        </w:rPr>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SchoolAI (2026). "How timely feedback shapes student outcomes and boosts learning." Retrieved from </w:t>
      </w:r>
      <w:hyperlink r:id="rId8">
        <w:r w:rsidDel="00000000" w:rsidR="00000000" w:rsidRPr="00000000">
          <w:rPr>
            <w:rFonts w:ascii="Times New Roman" w:cs="Times New Roman" w:eastAsia="Times New Roman" w:hAnsi="Times New Roman"/>
            <w:color w:val="1155cc"/>
            <w:sz w:val="24"/>
            <w:szCs w:val="24"/>
            <w:u w:val="single"/>
            <w:rtl w:val="0"/>
          </w:rPr>
          <w:t xml:space="preserve">https://schoolai.com/blog/how-timely-feedback-shapes-student-outcomes-and-boosts-learning</w:t>
        </w:r>
      </w:hyperlink>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ACM Transactions on Computing Education (2025). "How Consistent Are Humans When Grading Programming Assignments?" Retrieved from </w:t>
      </w:r>
      <w:hyperlink r:id="rId9">
        <w:r w:rsidDel="00000000" w:rsidR="00000000" w:rsidRPr="00000000">
          <w:rPr>
            <w:rFonts w:ascii="Times New Roman" w:cs="Times New Roman" w:eastAsia="Times New Roman" w:hAnsi="Times New Roman"/>
            <w:color w:val="1155cc"/>
            <w:sz w:val="24"/>
            <w:szCs w:val="24"/>
            <w:u w:val="single"/>
            <w:rtl w:val="0"/>
          </w:rPr>
          <w:t xml:space="preserve">https://dl.acm.org/doi/10.1145/3759256</w:t>
        </w:r>
      </w:hyperlink>
      <w:r w:rsidDel="00000000" w:rsidR="00000000" w:rsidRPr="00000000">
        <w:rPr>
          <w:rtl w:val="0"/>
        </w:rPr>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Frontiers in Education (2025). "Success factors of E-assessment in computer science for higher education: perspectives from instructors." Retrieved from </w:t>
      </w:r>
      <w:hyperlink r:id="rId10">
        <w:r w:rsidDel="00000000" w:rsidR="00000000" w:rsidRPr="00000000">
          <w:rPr>
            <w:rFonts w:ascii="Times New Roman" w:cs="Times New Roman" w:eastAsia="Times New Roman" w:hAnsi="Times New Roman"/>
            <w:color w:val="1155cc"/>
            <w:sz w:val="24"/>
            <w:szCs w:val="24"/>
            <w:u w:val="single"/>
            <w:rtl w:val="0"/>
          </w:rPr>
          <w:t xml:space="preserve">https://www.frontiersin.org/journals/education/articles/10.3389/feduc.2025.1595171/full</w:t>
        </w:r>
      </w:hyperlink>
      <w:r w:rsidDel="00000000" w:rsidR="00000000" w:rsidRPr="00000000">
        <w:rPr>
          <w:rtl w:val="0"/>
        </w:rPr>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ACM International Conference on AI-enabled Education (2025). "Generative Feedback for Code Learning: A Study on LLM-Driven Formative Assessment." Retrieved from </w:t>
      </w:r>
      <w:hyperlink r:id="rId11">
        <w:r w:rsidDel="00000000" w:rsidR="00000000" w:rsidRPr="00000000">
          <w:rPr>
            <w:rFonts w:ascii="Times New Roman" w:cs="Times New Roman" w:eastAsia="Times New Roman" w:hAnsi="Times New Roman"/>
            <w:color w:val="1155cc"/>
            <w:sz w:val="24"/>
            <w:szCs w:val="24"/>
            <w:u w:val="single"/>
            <w:rtl w:val="0"/>
          </w:rPr>
          <w:t xml:space="preserve">https://dl.acm.org/doi/10.1145/3768421.3768464</w:t>
        </w:r>
      </w:hyperlink>
      <w:r w:rsidDel="00000000" w:rsidR="00000000" w:rsidRPr="00000000">
        <w:rPr>
          <w:rtl w:val="0"/>
        </w:rPr>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Modal (2026). "Best Code Execution Sandboxes for Coding Agents in 2026." Retrieved from </w:t>
      </w:r>
      <w:hyperlink r:id="rId12">
        <w:r w:rsidDel="00000000" w:rsidR="00000000" w:rsidRPr="00000000">
          <w:rPr>
            <w:rFonts w:ascii="Times New Roman" w:cs="Times New Roman" w:eastAsia="Times New Roman" w:hAnsi="Times New Roman"/>
            <w:color w:val="1155cc"/>
            <w:sz w:val="24"/>
            <w:szCs w:val="24"/>
            <w:u w:val="single"/>
            <w:rtl w:val="0"/>
          </w:rPr>
          <w:t xml:space="preserve">https://modal.com/resources/best-code-execution-sandboxes-coding-agents</w:t>
        </w:r>
      </w:hyperlink>
      <w:r w:rsidDel="00000000" w:rsidR="00000000" w:rsidRPr="00000000">
        <w:rPr>
          <w:rtl w:val="0"/>
        </w:rPr>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Northflank (2026). "E2B vs Modal: comparing AI code execution sandboxes in 2026." Retrieved from </w:t>
      </w:r>
      <w:hyperlink r:id="rId13">
        <w:r w:rsidDel="00000000" w:rsidR="00000000" w:rsidRPr="00000000">
          <w:rPr>
            <w:rFonts w:ascii="Times New Roman" w:cs="Times New Roman" w:eastAsia="Times New Roman" w:hAnsi="Times New Roman"/>
            <w:color w:val="1155cc"/>
            <w:sz w:val="24"/>
            <w:szCs w:val="24"/>
            <w:u w:val="single"/>
            <w:rtl w:val="0"/>
          </w:rPr>
          <w:t xml:space="preserve">https://northflank.com/blog/e2b-vs-modal</w:t>
        </w:r>
      </w:hyperlink>
      <w:r w:rsidDel="00000000" w:rsidR="00000000" w:rsidRPr="00000000">
        <w:rPr>
          <w:rtl w:val="0"/>
        </w:rPr>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Vellum AI (2026). "Document Data Extraction in 2026: LLMs vs OCRs." Retrieved from </w:t>
      </w:r>
      <w:hyperlink r:id="rId14">
        <w:r w:rsidDel="00000000" w:rsidR="00000000" w:rsidRPr="00000000">
          <w:rPr>
            <w:rFonts w:ascii="Times New Roman" w:cs="Times New Roman" w:eastAsia="Times New Roman" w:hAnsi="Times New Roman"/>
            <w:color w:val="1155cc"/>
            <w:sz w:val="24"/>
            <w:szCs w:val="24"/>
            <w:u w:val="single"/>
            <w:rtl w:val="0"/>
          </w:rPr>
          <w:t xml:space="preserve">https://www.vellum.ai/blog/document-data-extraction-llms-vs-ocrs</w:t>
        </w:r>
      </w:hyperlink>
      <w:r w:rsidDel="00000000" w:rsidR="00000000" w:rsidRPr="00000000">
        <w:rPr>
          <w:rtl w:val="0"/>
        </w:rPr>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BentoML (2026). "Multimodal AI: The Best Open-Source Vision Language Models in 2026." Retrieved from </w:t>
      </w:r>
      <w:hyperlink r:id="rId15">
        <w:r w:rsidDel="00000000" w:rsidR="00000000" w:rsidRPr="00000000">
          <w:rPr>
            <w:rFonts w:ascii="Times New Roman" w:cs="Times New Roman" w:eastAsia="Times New Roman" w:hAnsi="Times New Roman"/>
            <w:color w:val="1155cc"/>
            <w:sz w:val="24"/>
            <w:szCs w:val="24"/>
            <w:u w:val="single"/>
            <w:rtl w:val="0"/>
          </w:rPr>
          <w:t xml:space="preserve">https://www.bentoml.com/blog/multimodal-ai-a-guide-to-open-source-vision-language-models</w:t>
        </w:r>
      </w:hyperlink>
      <w:r w:rsidDel="00000000" w:rsidR="00000000" w:rsidRPr="00000000">
        <w:rPr>
          <w:rtl w:val="0"/>
        </w:rPr>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LlamaIndex (2026). "Best Vision Language Models &amp; Agentic OCR Tools for Developers." Retrieved from </w:t>
      </w:r>
      <w:hyperlink r:id="rId16">
        <w:r w:rsidDel="00000000" w:rsidR="00000000" w:rsidRPr="00000000">
          <w:rPr>
            <w:rFonts w:ascii="Times New Roman" w:cs="Times New Roman" w:eastAsia="Times New Roman" w:hAnsi="Times New Roman"/>
            <w:color w:val="1155cc"/>
            <w:sz w:val="24"/>
            <w:szCs w:val="24"/>
            <w:u w:val="single"/>
            <w:rtl w:val="0"/>
          </w:rPr>
          <w:t xml:space="preserve">https://www.llamaindex.ai/insights/best-vision-language-models</w:t>
        </w:r>
      </w:hyperlink>
      <w:r w:rsidDel="00000000" w:rsidR="00000000" w:rsidRPr="00000000">
        <w:rPr>
          <w:rtl w:val="0"/>
        </w:rPr>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AIMultiple (2026). "State of OCR technology in 2026: Is it dead or a solved problem?" Retrieved from </w:t>
      </w:r>
      <w:hyperlink r:id="rId17">
        <w:r w:rsidDel="00000000" w:rsidR="00000000" w:rsidRPr="00000000">
          <w:rPr>
            <w:rFonts w:ascii="Times New Roman" w:cs="Times New Roman" w:eastAsia="Times New Roman" w:hAnsi="Times New Roman"/>
            <w:color w:val="1155cc"/>
            <w:sz w:val="24"/>
            <w:szCs w:val="24"/>
            <w:u w:val="single"/>
            <w:rtl w:val="0"/>
          </w:rPr>
          <w:t xml:space="preserve">https://research.aimultiple.com/ocr-technology/</w:t>
        </w:r>
      </w:hyperlink>
      <w:r w:rsidDel="00000000" w:rsidR="00000000" w:rsidRPr="00000000">
        <w:rPr>
          <w:rtl w:val="0"/>
        </w:rPr>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Extend (2026). "Best Handwriting OCR Tools March 2026." Retrieved from </w:t>
      </w:r>
      <w:hyperlink r:id="rId18">
        <w:r w:rsidDel="00000000" w:rsidR="00000000" w:rsidRPr="00000000">
          <w:rPr>
            <w:rFonts w:ascii="Times New Roman" w:cs="Times New Roman" w:eastAsia="Times New Roman" w:hAnsi="Times New Roman"/>
            <w:color w:val="1155cc"/>
            <w:sz w:val="24"/>
            <w:szCs w:val="24"/>
            <w:u w:val="single"/>
            <w:rtl w:val="0"/>
          </w:rPr>
          <w:t xml:space="preserve">https://www.extend.ai/resources/best-handwriting-ocr-tools-business</w:t>
        </w:r>
      </w:hyperlink>
      <w:r w:rsidDel="00000000" w:rsidR="00000000" w:rsidRPr="00000000">
        <w:rPr>
          <w:rtl w:val="0"/>
        </w:rPr>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Lido (2026). "Best OCR Software for Handwritten Documents in 2026." Retrieved from </w:t>
      </w:r>
      <w:hyperlink r:id="rId19">
        <w:r w:rsidDel="00000000" w:rsidR="00000000" w:rsidRPr="00000000">
          <w:rPr>
            <w:rFonts w:ascii="Times New Roman" w:cs="Times New Roman" w:eastAsia="Times New Roman" w:hAnsi="Times New Roman"/>
            <w:color w:val="1155cc"/>
            <w:sz w:val="24"/>
            <w:szCs w:val="24"/>
            <w:u w:val="single"/>
            <w:rtl w:val="0"/>
          </w:rPr>
          <w:t xml:space="preserve">https://www.lido.app/blog/best-ocr-for-handwritten-documents</w:t>
        </w:r>
      </w:hyperlink>
      <w:r w:rsidDel="00000000" w:rsidR="00000000" w:rsidRPr="00000000">
        <w:rPr>
          <w:rtl w:val="0"/>
        </w:rPr>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l.acm.org/doi/10.1145/3768421.3768464" TargetMode="External"/><Relationship Id="rId10" Type="http://schemas.openxmlformats.org/officeDocument/2006/relationships/hyperlink" Target="https://www.frontiersin.org/journals/education/articles/10.3389/feduc.2025.1595171/full" TargetMode="External"/><Relationship Id="rId13" Type="http://schemas.openxmlformats.org/officeDocument/2006/relationships/hyperlink" Target="https://northflank.com/blog/e2b-vs-modal" TargetMode="External"/><Relationship Id="rId12" Type="http://schemas.openxmlformats.org/officeDocument/2006/relationships/hyperlink" Target="https://modal.com/resources/best-code-execution-sandboxes-coding-ag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l.acm.org/doi/10.1145/3759256" TargetMode="External"/><Relationship Id="rId15" Type="http://schemas.openxmlformats.org/officeDocument/2006/relationships/hyperlink" Target="https://www.bentoml.com/blog/multimodal-ai-a-guide-to-open-source-vision-language-models" TargetMode="External"/><Relationship Id="rId14" Type="http://schemas.openxmlformats.org/officeDocument/2006/relationships/hyperlink" Target="https://www.vellum.ai/blog/document-data-extraction-llms-vs-ocrs" TargetMode="External"/><Relationship Id="rId17" Type="http://schemas.openxmlformats.org/officeDocument/2006/relationships/hyperlink" Target="https://research.aimultiple.com/ocr-technology/" TargetMode="External"/><Relationship Id="rId16" Type="http://schemas.openxmlformats.org/officeDocument/2006/relationships/hyperlink" Target="https://www.llamaindex.ai/insights/best-vision-language-models" TargetMode="External"/><Relationship Id="rId5" Type="http://schemas.openxmlformats.org/officeDocument/2006/relationships/styles" Target="styles.xml"/><Relationship Id="rId19" Type="http://schemas.openxmlformats.org/officeDocument/2006/relationships/hyperlink" Target="https://www.lido.app/blog/best-ocr-for-handwritten-documents" TargetMode="External"/><Relationship Id="rId6" Type="http://schemas.openxmlformats.org/officeDocument/2006/relationships/hyperlink" Target="https://www.codio.com/features/auto-grading" TargetMode="External"/><Relationship Id="rId18" Type="http://schemas.openxmlformats.org/officeDocument/2006/relationships/hyperlink" Target="https://www.extend.ai/resources/best-handwriting-ocr-tools-business" TargetMode="External"/><Relationship Id="rId7" Type="http://schemas.openxmlformats.org/officeDocument/2006/relationships/hyperlink" Target="https://ctl.wiley.com/grading-and-providing-feedback-consistency-effectiveness-and-fairness/" TargetMode="External"/><Relationship Id="rId8" Type="http://schemas.openxmlformats.org/officeDocument/2006/relationships/hyperlink" Target="https://schoolai.com/blog/how-timely-feedback-shapes-student-outcomes-and-boosts-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