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C2BE0" w14:textId="64CC4012" w:rsidR="003C3483" w:rsidRPr="009574C1" w:rsidRDefault="003C3483" w:rsidP="003C3483">
      <w:pPr>
        <w:spacing w:before="120" w:line="300" w:lineRule="auto"/>
        <w:rPr>
          <w:rFonts w:ascii="Verdana" w:eastAsia="Times New Roman" w:hAnsi="Verdana" w:cs="Times New Roman"/>
          <w:b/>
          <w:bCs/>
          <w:kern w:val="0"/>
          <w:lang w:eastAsia="en-IN"/>
          <w14:ligatures w14:val="none"/>
        </w:rPr>
      </w:pPr>
      <w:r w:rsidRPr="009574C1">
        <w:rPr>
          <w:rFonts w:ascii="Verdana" w:eastAsia="Times New Roman" w:hAnsi="Verdana" w:cs="Times New Roman"/>
          <w:b/>
          <w:bCs/>
          <w:kern w:val="0"/>
          <w:lang w:eastAsia="en-IN"/>
          <w14:ligatures w14:val="none"/>
        </w:rPr>
        <w:t xml:space="preserve">Technical Synthesis of Modern Positional Trading: Advancing the Weinstein Framework through Volatility Contraction and Institutional </w:t>
      </w:r>
      <w:r w:rsidR="009574C1" w:rsidRPr="009574C1">
        <w:rPr>
          <w:rFonts w:ascii="Verdana" w:eastAsia="Times New Roman" w:hAnsi="Verdana" w:cs="Times New Roman"/>
          <w:b/>
          <w:bCs/>
          <w:kern w:val="0"/>
          <w:lang w:eastAsia="en-IN"/>
          <w14:ligatures w14:val="none"/>
        </w:rPr>
        <w:t>Foot printing</w:t>
      </w:r>
    </w:p>
    <w:p w14:paraId="74EC1B98" w14:textId="3ADD8A3E"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The pursuit of </w:t>
      </w:r>
      <w:r w:rsidR="009574C1" w:rsidRPr="009574C1">
        <w:rPr>
          <w:rFonts w:ascii="Verdana" w:eastAsia="Times New Roman" w:hAnsi="Verdana" w:cs="Times New Roman"/>
          <w:kern w:val="0"/>
          <w:lang w:eastAsia="en-IN"/>
          <w14:ligatures w14:val="none"/>
        </w:rPr>
        <w:t>super performance</w:t>
      </w:r>
      <w:r w:rsidRPr="009574C1">
        <w:rPr>
          <w:rFonts w:ascii="Verdana" w:eastAsia="Times New Roman" w:hAnsi="Verdana" w:cs="Times New Roman"/>
          <w:kern w:val="0"/>
          <w:lang w:eastAsia="en-IN"/>
          <w14:ligatures w14:val="none"/>
        </w:rPr>
        <w:t xml:space="preserve"> in equity markets requires a multifaceted understanding of market structure, institutional </w:t>
      </w:r>
      <w:r w:rsidR="009574C1" w:rsidRPr="009574C1">
        <w:rPr>
          <w:rFonts w:ascii="Verdana" w:eastAsia="Times New Roman" w:hAnsi="Verdana" w:cs="Times New Roman"/>
          <w:kern w:val="0"/>
          <w:lang w:eastAsia="en-IN"/>
          <w14:ligatures w14:val="none"/>
        </w:rPr>
        <w:t>behaviour</w:t>
      </w:r>
      <w:r w:rsidRPr="009574C1">
        <w:rPr>
          <w:rFonts w:ascii="Verdana" w:eastAsia="Times New Roman" w:hAnsi="Verdana" w:cs="Times New Roman"/>
          <w:kern w:val="0"/>
          <w:lang w:eastAsia="en-IN"/>
          <w14:ligatures w14:val="none"/>
        </w:rPr>
        <w:t>, and the psychological cycles that drive price discovery. While the fundamental principles of trend following were famously codified by Stan Weinstein in the late 1980s, the modern trading environment demands a more granular synthesis of technical tools to navigate increased volatility and algorithmic participation.[1, 2, 3] The evolution of positional trading has transitioned from the broad application of long-term moving averages to a sophisticated integration of Stage Analysis, Volatility Contraction Patterns (VCP), institutional volume signatures, and the precision of Anchored Volume Weighted Average Price (AVWAP).[4, 5, 6, 7] This report provides an exhaustive analysis of these advanced strategies, illustrating how they refine the original Weinstein framework to identify high-probability pullback entries within dominant uptrends.</w:t>
      </w:r>
    </w:p>
    <w:p w14:paraId="20EB93A7"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Macro Framework: Stan Weinstein’s Stage Analysis and Regime Identification</w:t>
      </w:r>
    </w:p>
    <w:p w14:paraId="088C23D8"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foundational architecture of positional trading remains the four-stage lifecycle of a security. This model serves as the primary filter for capital allocation, ensuring that trades are executed only when the probabilities of a sustained advance are at their highest.[1, 8] Stage Analysis posits that every stock moves through a cycle of accumulation, advancement, distribution, and decline, governed by the institutional absorption and liquidation of shares.[1, 8, 9]</w:t>
      </w:r>
    </w:p>
    <w:p w14:paraId="0347D576"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Stage 1: The Accumulation Phase and the Genesis of Trend</w:t>
      </w:r>
    </w:p>
    <w:p w14:paraId="75D4C7FC" w14:textId="3F91822F"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Stage 1, or the Basing Phase, typically emerges after a prolonged decline in Stage 4. During this period, the price action moves sideways, reflecting a state of equilibrium where selling pressure is neutralized by early institutional </w:t>
      </w:r>
      <w:r w:rsidR="009574C1" w:rsidRPr="009574C1">
        <w:rPr>
          <w:rFonts w:ascii="Verdana" w:eastAsia="Times New Roman" w:hAnsi="Verdana" w:cs="Times New Roman"/>
          <w:kern w:val="0"/>
          <w:lang w:eastAsia="en-IN"/>
          <w14:ligatures w14:val="none"/>
        </w:rPr>
        <w:t>accumulation. [</w:t>
      </w:r>
      <w:r w:rsidRPr="009574C1">
        <w:rPr>
          <w:rFonts w:ascii="Verdana" w:eastAsia="Times New Roman" w:hAnsi="Verdana" w:cs="Times New Roman"/>
          <w:kern w:val="0"/>
          <w:lang w:eastAsia="en-IN"/>
          <w14:ligatures w14:val="none"/>
        </w:rPr>
        <w:t>1, 9] A critical indicator of this transition is the flattening of the 30-week simple moving average (SMA). As the stock oscillates around this average, the price volatility begins to contract, forming a base that serves as the platform for the sub</w:t>
      </w:r>
      <w:r w:rsidR="009574C1" w:rsidRPr="009574C1">
        <w:rPr>
          <w:rFonts w:ascii="Verdana" w:eastAsia="Times New Roman" w:hAnsi="Verdana" w:cs="Times New Roman"/>
          <w:kern w:val="0"/>
          <w:lang w:eastAsia="en-IN"/>
          <w14:ligatures w14:val="none"/>
        </w:rPr>
        <w:t>points. [</w:t>
      </w:r>
      <w:proofErr w:type="gramStart"/>
      <w:r w:rsidRPr="009574C1">
        <w:rPr>
          <w:rFonts w:ascii="Verdana" w:eastAsia="Times New Roman" w:hAnsi="Verdana" w:cs="Times New Roman"/>
          <w:kern w:val="0"/>
          <w:lang w:eastAsia="en-IN"/>
          <w14:ligatures w14:val="none"/>
        </w:rPr>
        <w:t>move.[</w:t>
      </w:r>
      <w:proofErr w:type="gramEnd"/>
      <w:r w:rsidRPr="009574C1">
        <w:rPr>
          <w:rFonts w:ascii="Verdana" w:eastAsia="Times New Roman" w:hAnsi="Verdana" w:cs="Times New Roman"/>
          <w:kern w:val="0"/>
          <w:lang w:eastAsia="en-IN"/>
          <w14:ligatures w14:val="none"/>
        </w:rPr>
        <w:t xml:space="preserve">1, 9, 10] In the modern context, traders often look for this base to last at least </w:t>
      </w:r>
      <w:r w:rsidRPr="009574C1">
        <w:rPr>
          <w:rFonts w:ascii="Verdana" w:eastAsia="Times New Roman" w:hAnsi="Verdana" w:cs="Times New Roman"/>
          <w:kern w:val="0"/>
          <w:lang w:eastAsia="en-IN"/>
          <w14:ligatures w14:val="none"/>
        </w:rPr>
        <w:lastRenderedPageBreak/>
        <w:t xml:space="preserve">30 weeks to ensure a significant cleanup of overhead supply, often referred to as "bag holders" who are looking to sell at break-even </w:t>
      </w:r>
      <w:proofErr w:type="gramStart"/>
      <w:r w:rsidRPr="009574C1">
        <w:rPr>
          <w:rFonts w:ascii="Verdana" w:eastAsia="Times New Roman" w:hAnsi="Verdana" w:cs="Times New Roman"/>
          <w:kern w:val="0"/>
          <w:lang w:eastAsia="en-IN"/>
          <w14:ligatures w14:val="none"/>
        </w:rPr>
        <w:t>points.[</w:t>
      </w:r>
      <w:proofErr w:type="gramEnd"/>
      <w:r w:rsidRPr="009574C1">
        <w:rPr>
          <w:rFonts w:ascii="Verdana" w:eastAsia="Times New Roman" w:hAnsi="Verdana" w:cs="Times New Roman"/>
          <w:kern w:val="0"/>
          <w:lang w:eastAsia="en-IN"/>
          <w14:ligatures w14:val="none"/>
        </w:rPr>
        <w:t>5, 11, 12]</w:t>
      </w:r>
    </w:p>
    <w:p w14:paraId="7F09109F"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Stage 2: The Advancing Phase and the Ideal Trading Environment</w:t>
      </w:r>
    </w:p>
    <w:p w14:paraId="19CFA145" w14:textId="7C00430C"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The transition from Stage 1 to Stage 2 is the most critical event for a positional trader. This breakout occurs when the price moves above the resistance level of the Stage 1 </w:t>
      </w:r>
      <w:proofErr w:type="gramStart"/>
      <w:r w:rsidRPr="009574C1">
        <w:rPr>
          <w:rFonts w:ascii="Verdana" w:eastAsia="Times New Roman" w:hAnsi="Verdana" w:cs="Times New Roman"/>
          <w:kern w:val="0"/>
          <w:lang w:eastAsia="en-IN"/>
          <w14:ligatures w14:val="none"/>
        </w:rPr>
        <w:t>base</w:t>
      </w:r>
      <w:proofErr w:type="gramEnd"/>
      <w:r w:rsidRPr="009574C1">
        <w:rPr>
          <w:rFonts w:ascii="Verdana" w:eastAsia="Times New Roman" w:hAnsi="Verdana" w:cs="Times New Roman"/>
          <w:kern w:val="0"/>
          <w:lang w:eastAsia="en-IN"/>
          <w14:ligatures w14:val="none"/>
        </w:rPr>
        <w:t xml:space="preserve"> on volume that is ideally two to three times the daily </w:t>
      </w:r>
      <w:r w:rsidR="009574C1" w:rsidRPr="009574C1">
        <w:rPr>
          <w:rFonts w:ascii="Verdana" w:eastAsia="Times New Roman" w:hAnsi="Verdana" w:cs="Times New Roman"/>
          <w:kern w:val="0"/>
          <w:lang w:eastAsia="en-IN"/>
          <w14:ligatures w14:val="none"/>
        </w:rPr>
        <w:t>average. [</w:t>
      </w:r>
      <w:r w:rsidRPr="009574C1">
        <w:rPr>
          <w:rFonts w:ascii="Verdana" w:eastAsia="Times New Roman" w:hAnsi="Verdana" w:cs="Times New Roman"/>
          <w:kern w:val="0"/>
          <w:lang w:eastAsia="en-IN"/>
          <w14:ligatures w14:val="none"/>
        </w:rPr>
        <w:t xml:space="preserve">1, 9] In Stage 2, the security enters a sustained uptrend characterized by a sequence of higher highs and higher lows. The 30-week (or 40-week/200-day) moving average must be sloping upward, providing a dynamic floor for the price </w:t>
      </w:r>
      <w:r w:rsidR="009574C1" w:rsidRPr="009574C1">
        <w:rPr>
          <w:rFonts w:ascii="Verdana" w:eastAsia="Times New Roman" w:hAnsi="Verdana" w:cs="Times New Roman"/>
          <w:kern w:val="0"/>
          <w:lang w:eastAsia="en-IN"/>
          <w14:ligatures w14:val="none"/>
        </w:rPr>
        <w:t>action. [</w:t>
      </w:r>
      <w:r w:rsidRPr="009574C1">
        <w:rPr>
          <w:rFonts w:ascii="Verdana" w:eastAsia="Times New Roman" w:hAnsi="Verdana" w:cs="Times New Roman"/>
          <w:kern w:val="0"/>
          <w:lang w:eastAsia="en-IN"/>
          <w14:ligatures w14:val="none"/>
        </w:rPr>
        <w:t>1, 8] Advanced positional strategies focus exclusively on this stage, as it represents the period of maximum institutional "markup</w:t>
      </w:r>
      <w:proofErr w:type="gramStart"/>
      <w:r w:rsidRPr="009574C1">
        <w:rPr>
          <w:rFonts w:ascii="Verdana" w:eastAsia="Times New Roman" w:hAnsi="Verdana" w:cs="Times New Roman"/>
          <w:kern w:val="0"/>
          <w:lang w:eastAsia="en-IN"/>
          <w14:ligatures w14:val="none"/>
        </w:rPr>
        <w:t>".[</w:t>
      </w:r>
      <w:proofErr w:type="gramEnd"/>
      <w:r w:rsidRPr="009574C1">
        <w:rPr>
          <w:rFonts w:ascii="Verdana" w:eastAsia="Times New Roman" w:hAnsi="Verdana" w:cs="Times New Roman"/>
          <w:kern w:val="0"/>
          <w:lang w:eastAsia="en-IN"/>
          <w14:ligatures w14:val="none"/>
        </w:rPr>
        <w:t>8, 13]</w:t>
      </w:r>
    </w:p>
    <w:tbl>
      <w:tblPr>
        <w:tblW w:w="0" w:type="auto"/>
        <w:tblCellMar>
          <w:top w:w="15" w:type="dxa"/>
          <w:left w:w="15" w:type="dxa"/>
          <w:bottom w:w="15" w:type="dxa"/>
          <w:right w:w="15" w:type="dxa"/>
        </w:tblCellMar>
        <w:tblLook w:val="04A0" w:firstRow="1" w:lastRow="0" w:firstColumn="1" w:lastColumn="0" w:noHBand="0" w:noVBand="1"/>
      </w:tblPr>
      <w:tblGrid>
        <w:gridCol w:w="1376"/>
        <w:gridCol w:w="1954"/>
        <w:gridCol w:w="1857"/>
        <w:gridCol w:w="1733"/>
        <w:gridCol w:w="2106"/>
      </w:tblGrid>
      <w:tr w:rsidR="003C3483" w:rsidRPr="009574C1" w14:paraId="6320F8C9" w14:textId="77777777">
        <w:tc>
          <w:tcPr>
            <w:tcW w:w="0" w:type="auto"/>
            <w:vAlign w:val="center"/>
            <w:hideMark/>
          </w:tcPr>
          <w:p w14:paraId="4D6A9122"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Parameter</w:t>
            </w:r>
          </w:p>
        </w:tc>
        <w:tc>
          <w:tcPr>
            <w:tcW w:w="0" w:type="auto"/>
            <w:vAlign w:val="center"/>
            <w:hideMark/>
          </w:tcPr>
          <w:p w14:paraId="0C4EA09E"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Stage 1 (Accumulation)</w:t>
            </w:r>
          </w:p>
        </w:tc>
        <w:tc>
          <w:tcPr>
            <w:tcW w:w="0" w:type="auto"/>
            <w:vAlign w:val="center"/>
            <w:hideMark/>
          </w:tcPr>
          <w:p w14:paraId="3F748A04"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Stage 2 (Advancing)</w:t>
            </w:r>
          </w:p>
        </w:tc>
        <w:tc>
          <w:tcPr>
            <w:tcW w:w="0" w:type="auto"/>
            <w:vAlign w:val="center"/>
            <w:hideMark/>
          </w:tcPr>
          <w:p w14:paraId="74DF9344"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Stage 3 (Distribution)</w:t>
            </w:r>
          </w:p>
        </w:tc>
        <w:tc>
          <w:tcPr>
            <w:tcW w:w="0" w:type="auto"/>
            <w:vAlign w:val="center"/>
            <w:hideMark/>
          </w:tcPr>
          <w:p w14:paraId="40219369"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Stage 4 (Declining)</w:t>
            </w:r>
          </w:p>
        </w:tc>
      </w:tr>
      <w:tr w:rsidR="003C3483" w:rsidRPr="009574C1" w14:paraId="386B70A4" w14:textId="77777777">
        <w:tc>
          <w:tcPr>
            <w:tcW w:w="0" w:type="auto"/>
            <w:vAlign w:val="center"/>
            <w:hideMark/>
          </w:tcPr>
          <w:p w14:paraId="02F52877"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Price Action</w:t>
            </w:r>
          </w:p>
        </w:tc>
        <w:tc>
          <w:tcPr>
            <w:tcW w:w="0" w:type="auto"/>
            <w:vAlign w:val="center"/>
            <w:hideMark/>
          </w:tcPr>
          <w:p w14:paraId="121E10DC"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Sideways, choppy</w:t>
            </w:r>
          </w:p>
        </w:tc>
        <w:tc>
          <w:tcPr>
            <w:tcW w:w="0" w:type="auto"/>
            <w:vAlign w:val="center"/>
            <w:hideMark/>
          </w:tcPr>
          <w:p w14:paraId="2679812C"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Higher highs/lows</w:t>
            </w:r>
          </w:p>
        </w:tc>
        <w:tc>
          <w:tcPr>
            <w:tcW w:w="0" w:type="auto"/>
            <w:vAlign w:val="center"/>
            <w:hideMark/>
          </w:tcPr>
          <w:p w14:paraId="1E5D36C6"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Flattening, volatile</w:t>
            </w:r>
          </w:p>
        </w:tc>
        <w:tc>
          <w:tcPr>
            <w:tcW w:w="0" w:type="auto"/>
            <w:vAlign w:val="center"/>
            <w:hideMark/>
          </w:tcPr>
          <w:p w14:paraId="790B0FD6"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Lower highs/lows</w:t>
            </w:r>
          </w:p>
        </w:tc>
      </w:tr>
      <w:tr w:rsidR="003C3483" w:rsidRPr="009574C1" w14:paraId="291A3A06" w14:textId="77777777">
        <w:tc>
          <w:tcPr>
            <w:tcW w:w="0" w:type="auto"/>
            <w:vAlign w:val="center"/>
            <w:hideMark/>
          </w:tcPr>
          <w:p w14:paraId="0CCD0CA3"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30-Week SMA</w:t>
            </w:r>
          </w:p>
        </w:tc>
        <w:tc>
          <w:tcPr>
            <w:tcW w:w="0" w:type="auto"/>
            <w:vAlign w:val="center"/>
            <w:hideMark/>
          </w:tcPr>
          <w:p w14:paraId="316A8083"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Flat or bottoming</w:t>
            </w:r>
          </w:p>
        </w:tc>
        <w:tc>
          <w:tcPr>
            <w:tcW w:w="0" w:type="auto"/>
            <w:vAlign w:val="center"/>
            <w:hideMark/>
          </w:tcPr>
          <w:p w14:paraId="5DD0FD60"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Rising sharply</w:t>
            </w:r>
          </w:p>
        </w:tc>
        <w:tc>
          <w:tcPr>
            <w:tcW w:w="0" w:type="auto"/>
            <w:vAlign w:val="center"/>
            <w:hideMark/>
          </w:tcPr>
          <w:p w14:paraId="35953945"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Leveling off</w:t>
            </w:r>
          </w:p>
        </w:tc>
        <w:tc>
          <w:tcPr>
            <w:tcW w:w="0" w:type="auto"/>
            <w:vAlign w:val="center"/>
            <w:hideMark/>
          </w:tcPr>
          <w:p w14:paraId="38C2ED66"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Sloping downward</w:t>
            </w:r>
          </w:p>
        </w:tc>
      </w:tr>
      <w:tr w:rsidR="003C3483" w:rsidRPr="009574C1" w14:paraId="14FF2DD3" w14:textId="77777777">
        <w:tc>
          <w:tcPr>
            <w:tcW w:w="0" w:type="auto"/>
            <w:vAlign w:val="center"/>
            <w:hideMark/>
          </w:tcPr>
          <w:p w14:paraId="6E30B518"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Volume Bias</w:t>
            </w:r>
          </w:p>
        </w:tc>
        <w:tc>
          <w:tcPr>
            <w:tcW w:w="0" w:type="auto"/>
            <w:vAlign w:val="center"/>
            <w:hideMark/>
          </w:tcPr>
          <w:p w14:paraId="5DA04D68"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Low, erratic</w:t>
            </w:r>
          </w:p>
        </w:tc>
        <w:tc>
          <w:tcPr>
            <w:tcW w:w="0" w:type="auto"/>
            <w:vAlign w:val="center"/>
            <w:hideMark/>
          </w:tcPr>
          <w:p w14:paraId="69C67A00"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High on up-days</w:t>
            </w:r>
          </w:p>
        </w:tc>
        <w:tc>
          <w:tcPr>
            <w:tcW w:w="0" w:type="auto"/>
            <w:vAlign w:val="center"/>
            <w:hideMark/>
          </w:tcPr>
          <w:p w14:paraId="7E434F6D"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High on down-days</w:t>
            </w:r>
          </w:p>
        </w:tc>
        <w:tc>
          <w:tcPr>
            <w:tcW w:w="0" w:type="auto"/>
            <w:vAlign w:val="center"/>
            <w:hideMark/>
          </w:tcPr>
          <w:p w14:paraId="774B0B58"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Heavy on declines</w:t>
            </w:r>
          </w:p>
        </w:tc>
      </w:tr>
      <w:tr w:rsidR="003C3483" w:rsidRPr="009574C1" w14:paraId="41DF23AB" w14:textId="77777777">
        <w:tc>
          <w:tcPr>
            <w:tcW w:w="0" w:type="auto"/>
            <w:vAlign w:val="center"/>
            <w:hideMark/>
          </w:tcPr>
          <w:p w14:paraId="1C8DBF10"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Relative Strength</w:t>
            </w:r>
          </w:p>
        </w:tc>
        <w:tc>
          <w:tcPr>
            <w:tcW w:w="0" w:type="auto"/>
            <w:vAlign w:val="center"/>
            <w:hideMark/>
          </w:tcPr>
          <w:p w14:paraId="04E78043"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Improving</w:t>
            </w:r>
          </w:p>
        </w:tc>
        <w:tc>
          <w:tcPr>
            <w:tcW w:w="0" w:type="auto"/>
            <w:vAlign w:val="center"/>
            <w:hideMark/>
          </w:tcPr>
          <w:p w14:paraId="40304DB3"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Outperforming index</w:t>
            </w:r>
          </w:p>
        </w:tc>
        <w:tc>
          <w:tcPr>
            <w:tcW w:w="0" w:type="auto"/>
            <w:vAlign w:val="center"/>
            <w:hideMark/>
          </w:tcPr>
          <w:p w14:paraId="1821B12F"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Deteriorating</w:t>
            </w:r>
          </w:p>
        </w:tc>
        <w:tc>
          <w:tcPr>
            <w:tcW w:w="0" w:type="auto"/>
            <w:vAlign w:val="center"/>
            <w:hideMark/>
          </w:tcPr>
          <w:p w14:paraId="5F9713CA"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Underperforming</w:t>
            </w:r>
          </w:p>
        </w:tc>
      </w:tr>
      <w:tr w:rsidR="003C3483" w:rsidRPr="009574C1" w14:paraId="6A20F083" w14:textId="77777777">
        <w:tc>
          <w:tcPr>
            <w:tcW w:w="0" w:type="auto"/>
            <w:vAlign w:val="center"/>
            <w:hideMark/>
          </w:tcPr>
          <w:p w14:paraId="2868378E"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Volatility</w:t>
            </w:r>
          </w:p>
        </w:tc>
        <w:tc>
          <w:tcPr>
            <w:tcW w:w="0" w:type="auto"/>
            <w:vAlign w:val="center"/>
            <w:hideMark/>
          </w:tcPr>
          <w:p w14:paraId="412813A9"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Low</w:t>
            </w:r>
          </w:p>
        </w:tc>
        <w:tc>
          <w:tcPr>
            <w:tcW w:w="0" w:type="auto"/>
            <w:vAlign w:val="center"/>
            <w:hideMark/>
          </w:tcPr>
          <w:p w14:paraId="39870267"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Low to Moderate</w:t>
            </w:r>
          </w:p>
        </w:tc>
        <w:tc>
          <w:tcPr>
            <w:tcW w:w="0" w:type="auto"/>
            <w:vAlign w:val="center"/>
            <w:hideMark/>
          </w:tcPr>
          <w:p w14:paraId="0B73F240"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Expanding</w:t>
            </w:r>
          </w:p>
        </w:tc>
        <w:tc>
          <w:tcPr>
            <w:tcW w:w="0" w:type="auto"/>
            <w:vAlign w:val="center"/>
            <w:hideMark/>
          </w:tcPr>
          <w:p w14:paraId="7A214A01"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Extreme</w:t>
            </w:r>
          </w:p>
        </w:tc>
      </w:tr>
    </w:tbl>
    <w:p w14:paraId="0CB7BE04"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The most profitable opportunities within Stage 2 are pullbacks to rising support levels. While many amateur traders attempt to "chase" breakouts, professional positional traders often wait for the "first pullback" after a Stage 2 transition, as this offers a superior reward-to-risk ratio with well-defined stop-loss </w:t>
      </w:r>
      <w:proofErr w:type="gramStart"/>
      <w:r w:rsidRPr="009574C1">
        <w:rPr>
          <w:rFonts w:ascii="Verdana" w:eastAsia="Times New Roman" w:hAnsi="Verdana" w:cs="Times New Roman"/>
          <w:kern w:val="0"/>
          <w:lang w:eastAsia="en-IN"/>
          <w14:ligatures w14:val="none"/>
        </w:rPr>
        <w:t>levels.[</w:t>
      </w:r>
      <w:proofErr w:type="gramEnd"/>
      <w:r w:rsidRPr="009574C1">
        <w:rPr>
          <w:rFonts w:ascii="Verdana" w:eastAsia="Times New Roman" w:hAnsi="Verdana" w:cs="Times New Roman"/>
          <w:kern w:val="0"/>
          <w:lang w:eastAsia="en-IN"/>
          <w14:ligatures w14:val="none"/>
        </w:rPr>
        <w:t>1, 2, 14]</w:t>
      </w:r>
    </w:p>
    <w:p w14:paraId="00014C90"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Stage 3 and Stage 4: Risk Mitigation and Capital Preservation</w:t>
      </w:r>
    </w:p>
    <w:p w14:paraId="4CE2F120"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Stage 3, or the Distribution Phase, occurs when institutional investors begin to liquidate their positions. The price action becomes increasingly volatile, and the 30-week SMA starts to flatten.[1, 8] Every rally attempt is met with selling, leading to a "tug of war" that often results in a head-and-shoulders pattern or a double top.[8, 9, 15] Finally, Stage 4 represents the Markdown Phase, where the stock breaks below its long-</w:t>
      </w:r>
      <w:r w:rsidRPr="009574C1">
        <w:rPr>
          <w:rFonts w:ascii="Verdana" w:eastAsia="Times New Roman" w:hAnsi="Verdana" w:cs="Times New Roman"/>
          <w:kern w:val="0"/>
          <w:lang w:eastAsia="en-IN"/>
          <w14:ligatures w14:val="none"/>
        </w:rPr>
        <w:lastRenderedPageBreak/>
        <w:t xml:space="preserve">term moving average. For a positional trader, the onset of Stage 3 is a signal to aggressively trail stops or exit positions entirely to avoid the catastrophic drawdowns associated with Stage </w:t>
      </w:r>
      <w:proofErr w:type="gramStart"/>
      <w:r w:rsidRPr="009574C1">
        <w:rPr>
          <w:rFonts w:ascii="Verdana" w:eastAsia="Times New Roman" w:hAnsi="Verdana" w:cs="Times New Roman"/>
          <w:kern w:val="0"/>
          <w:lang w:eastAsia="en-IN"/>
          <w14:ligatures w14:val="none"/>
        </w:rPr>
        <w:t>4.[</w:t>
      </w:r>
      <w:proofErr w:type="gramEnd"/>
      <w:r w:rsidRPr="009574C1">
        <w:rPr>
          <w:rFonts w:ascii="Verdana" w:eastAsia="Times New Roman" w:hAnsi="Verdana" w:cs="Times New Roman"/>
          <w:kern w:val="0"/>
          <w:lang w:eastAsia="en-IN"/>
          <w14:ligatures w14:val="none"/>
        </w:rPr>
        <w:t>8, 9, 16]</w:t>
      </w:r>
    </w:p>
    <w:p w14:paraId="39493709"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Structural Analysis: The Volatility Contraction Pattern (VCP)</w:t>
      </w:r>
    </w:p>
    <w:p w14:paraId="48D136E0"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While Stage Analysis provides the macro context, the Volatility Contraction Pattern (VCP), pioneered by Mark Minervini, provides the micro-structure necessary for timing </w:t>
      </w:r>
      <w:proofErr w:type="gramStart"/>
      <w:r w:rsidRPr="009574C1">
        <w:rPr>
          <w:rFonts w:ascii="Verdana" w:eastAsia="Times New Roman" w:hAnsi="Verdana" w:cs="Times New Roman"/>
          <w:kern w:val="0"/>
          <w:lang w:eastAsia="en-IN"/>
          <w14:ligatures w14:val="none"/>
        </w:rPr>
        <w:t>entries.[</w:t>
      </w:r>
      <w:proofErr w:type="gramEnd"/>
      <w:r w:rsidRPr="009574C1">
        <w:rPr>
          <w:rFonts w:ascii="Verdana" w:eastAsia="Times New Roman" w:hAnsi="Verdana" w:cs="Times New Roman"/>
          <w:kern w:val="0"/>
          <w:lang w:eastAsia="en-IN"/>
          <w14:ligatures w14:val="none"/>
        </w:rPr>
        <w:t xml:space="preserve">4, 17] The VCP describes the process of supply absorption within a base or a pullback during Stage </w:t>
      </w:r>
      <w:proofErr w:type="gramStart"/>
      <w:r w:rsidRPr="009574C1">
        <w:rPr>
          <w:rFonts w:ascii="Verdana" w:eastAsia="Times New Roman" w:hAnsi="Verdana" w:cs="Times New Roman"/>
          <w:kern w:val="0"/>
          <w:lang w:eastAsia="en-IN"/>
          <w14:ligatures w14:val="none"/>
        </w:rPr>
        <w:t>2.[</w:t>
      </w:r>
      <w:proofErr w:type="gramEnd"/>
      <w:r w:rsidRPr="009574C1">
        <w:rPr>
          <w:rFonts w:ascii="Verdana" w:eastAsia="Times New Roman" w:hAnsi="Verdana" w:cs="Times New Roman"/>
          <w:kern w:val="0"/>
          <w:lang w:eastAsia="en-IN"/>
          <w14:ligatures w14:val="none"/>
        </w:rPr>
        <w:t>4, 13]</w:t>
      </w:r>
    </w:p>
    <w:p w14:paraId="1D330AB7"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Mechanics of Supply Absorption</w:t>
      </w:r>
    </w:p>
    <w:p w14:paraId="4A2ED211"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The VCP is characterized by the price range narrowing from the left side of a consolidation pattern to the right. As a stock consolidates, each successive pullback is smaller in magnitude than the previous </w:t>
      </w:r>
      <w:proofErr w:type="gramStart"/>
      <w:r w:rsidRPr="009574C1">
        <w:rPr>
          <w:rFonts w:ascii="Verdana" w:eastAsia="Times New Roman" w:hAnsi="Verdana" w:cs="Times New Roman"/>
          <w:kern w:val="0"/>
          <w:lang w:eastAsia="en-IN"/>
          <w14:ligatures w14:val="none"/>
        </w:rPr>
        <w:t>one.[</w:t>
      </w:r>
      <w:proofErr w:type="gramEnd"/>
      <w:r w:rsidRPr="009574C1">
        <w:rPr>
          <w:rFonts w:ascii="Verdana" w:eastAsia="Times New Roman" w:hAnsi="Verdana" w:cs="Times New Roman"/>
          <w:kern w:val="0"/>
          <w:lang w:eastAsia="en-IN"/>
          <w14:ligatures w14:val="none"/>
        </w:rPr>
        <w:t xml:space="preserve">4, 13, 18] This reduction in volatility indicates that there is </w:t>
      </w:r>
      <w:proofErr w:type="gramStart"/>
      <w:r w:rsidRPr="009574C1">
        <w:rPr>
          <w:rFonts w:ascii="Verdana" w:eastAsia="Times New Roman" w:hAnsi="Verdana" w:cs="Times New Roman"/>
          <w:kern w:val="0"/>
          <w:lang w:eastAsia="en-IN"/>
          <w14:ligatures w14:val="none"/>
        </w:rPr>
        <w:t>less and less</w:t>
      </w:r>
      <w:proofErr w:type="gramEnd"/>
      <w:r w:rsidRPr="009574C1">
        <w:rPr>
          <w:rFonts w:ascii="Verdana" w:eastAsia="Times New Roman" w:hAnsi="Verdana" w:cs="Times New Roman"/>
          <w:kern w:val="0"/>
          <w:lang w:eastAsia="en-IN"/>
          <w14:ligatures w14:val="none"/>
        </w:rPr>
        <w:t xml:space="preserve"> supply coming onto the market at each lower price point. When the final contraction reaches a point where the price moves only a few percentage points over several days, the stock is considered "tight" and ready to </w:t>
      </w:r>
      <w:proofErr w:type="gramStart"/>
      <w:r w:rsidRPr="009574C1">
        <w:rPr>
          <w:rFonts w:ascii="Verdana" w:eastAsia="Times New Roman" w:hAnsi="Verdana" w:cs="Times New Roman"/>
          <w:kern w:val="0"/>
          <w:lang w:eastAsia="en-IN"/>
          <w14:ligatures w14:val="none"/>
        </w:rPr>
        <w:t>move.[</w:t>
      </w:r>
      <w:proofErr w:type="gramEnd"/>
      <w:r w:rsidRPr="009574C1">
        <w:rPr>
          <w:rFonts w:ascii="Verdana" w:eastAsia="Times New Roman" w:hAnsi="Verdana" w:cs="Times New Roman"/>
          <w:kern w:val="0"/>
          <w:lang w:eastAsia="en-IN"/>
          <w14:ligatures w14:val="none"/>
        </w:rPr>
        <w:t>4, 13, 18]</w:t>
      </w:r>
    </w:p>
    <w:tbl>
      <w:tblPr>
        <w:tblW w:w="0" w:type="auto"/>
        <w:tblCellMar>
          <w:top w:w="15" w:type="dxa"/>
          <w:left w:w="15" w:type="dxa"/>
          <w:bottom w:w="15" w:type="dxa"/>
          <w:right w:w="15" w:type="dxa"/>
        </w:tblCellMar>
        <w:tblLook w:val="04A0" w:firstRow="1" w:lastRow="0" w:firstColumn="1" w:lastColumn="0" w:noHBand="0" w:noVBand="1"/>
      </w:tblPr>
      <w:tblGrid>
        <w:gridCol w:w="1984"/>
        <w:gridCol w:w="2747"/>
        <w:gridCol w:w="4295"/>
      </w:tblGrid>
      <w:tr w:rsidR="003C3483" w:rsidRPr="009574C1" w14:paraId="42BF2684" w14:textId="77777777">
        <w:tc>
          <w:tcPr>
            <w:tcW w:w="0" w:type="auto"/>
            <w:vAlign w:val="center"/>
            <w:hideMark/>
          </w:tcPr>
          <w:p w14:paraId="013DA9E0"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Characteristic</w:t>
            </w:r>
          </w:p>
        </w:tc>
        <w:tc>
          <w:tcPr>
            <w:tcW w:w="0" w:type="auto"/>
            <w:vAlign w:val="center"/>
            <w:hideMark/>
          </w:tcPr>
          <w:p w14:paraId="35AAA5BB"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VCP Component</w:t>
            </w:r>
          </w:p>
        </w:tc>
        <w:tc>
          <w:tcPr>
            <w:tcW w:w="0" w:type="auto"/>
            <w:vAlign w:val="center"/>
            <w:hideMark/>
          </w:tcPr>
          <w:p w14:paraId="6EA4C8FB"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Implication for the Trader</w:t>
            </w:r>
          </w:p>
        </w:tc>
      </w:tr>
      <w:tr w:rsidR="003C3483" w:rsidRPr="009574C1" w14:paraId="11B87DB4" w14:textId="77777777">
        <w:tc>
          <w:tcPr>
            <w:tcW w:w="0" w:type="auto"/>
            <w:vAlign w:val="center"/>
            <w:hideMark/>
          </w:tcPr>
          <w:p w14:paraId="3A356DFF"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Duration</w:t>
            </w:r>
          </w:p>
        </w:tc>
        <w:tc>
          <w:tcPr>
            <w:tcW w:w="0" w:type="auto"/>
            <w:vAlign w:val="center"/>
            <w:hideMark/>
          </w:tcPr>
          <w:p w14:paraId="2EC99386"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Number of weeks in base</w:t>
            </w:r>
          </w:p>
        </w:tc>
        <w:tc>
          <w:tcPr>
            <w:tcW w:w="0" w:type="auto"/>
            <w:vAlign w:val="center"/>
            <w:hideMark/>
          </w:tcPr>
          <w:p w14:paraId="062D44E3"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Measures the maturity of the setup</w:t>
            </w:r>
          </w:p>
        </w:tc>
      </w:tr>
      <w:tr w:rsidR="003C3483" w:rsidRPr="009574C1" w14:paraId="7CDF87A4" w14:textId="77777777">
        <w:tc>
          <w:tcPr>
            <w:tcW w:w="0" w:type="auto"/>
            <w:vAlign w:val="center"/>
            <w:hideMark/>
          </w:tcPr>
          <w:p w14:paraId="6DBB0F92"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Depth</w:t>
            </w:r>
          </w:p>
        </w:tc>
        <w:tc>
          <w:tcPr>
            <w:tcW w:w="0" w:type="auto"/>
            <w:vAlign w:val="center"/>
            <w:hideMark/>
          </w:tcPr>
          <w:p w14:paraId="3C51422F"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Percentage of correction</w:t>
            </w:r>
          </w:p>
        </w:tc>
        <w:tc>
          <w:tcPr>
            <w:tcW w:w="0" w:type="auto"/>
            <w:vAlign w:val="center"/>
            <w:hideMark/>
          </w:tcPr>
          <w:p w14:paraId="1464DF84"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Identifies the intensity of selling pressure</w:t>
            </w:r>
          </w:p>
        </w:tc>
      </w:tr>
      <w:tr w:rsidR="003C3483" w:rsidRPr="009574C1" w14:paraId="70F6ACC7" w14:textId="77777777">
        <w:tc>
          <w:tcPr>
            <w:tcW w:w="0" w:type="auto"/>
            <w:vAlign w:val="center"/>
            <w:hideMark/>
          </w:tcPr>
          <w:p w14:paraId="2663A3BA"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Contractions</w:t>
            </w:r>
          </w:p>
        </w:tc>
        <w:tc>
          <w:tcPr>
            <w:tcW w:w="0" w:type="auto"/>
            <w:vAlign w:val="center"/>
            <w:hideMark/>
          </w:tcPr>
          <w:p w14:paraId="578CE7DE"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Number of price swings</w:t>
            </w:r>
          </w:p>
        </w:tc>
        <w:tc>
          <w:tcPr>
            <w:tcW w:w="0" w:type="auto"/>
            <w:vAlign w:val="center"/>
            <w:hideMark/>
          </w:tcPr>
          <w:p w14:paraId="53A80C8F"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Tracks the absorption of supply</w:t>
            </w:r>
          </w:p>
        </w:tc>
      </w:tr>
      <w:tr w:rsidR="003C3483" w:rsidRPr="009574C1" w14:paraId="5BC814D2" w14:textId="77777777">
        <w:tc>
          <w:tcPr>
            <w:tcW w:w="0" w:type="auto"/>
            <w:vAlign w:val="center"/>
            <w:hideMark/>
          </w:tcPr>
          <w:p w14:paraId="424F3E89"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Pivot Point</w:t>
            </w:r>
          </w:p>
        </w:tc>
        <w:tc>
          <w:tcPr>
            <w:tcW w:w="0" w:type="auto"/>
            <w:vAlign w:val="center"/>
            <w:hideMark/>
          </w:tcPr>
          <w:p w14:paraId="751EEB80"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Final area of tightness</w:t>
            </w:r>
          </w:p>
        </w:tc>
        <w:tc>
          <w:tcPr>
            <w:tcW w:w="0" w:type="auto"/>
            <w:vAlign w:val="center"/>
            <w:hideMark/>
          </w:tcPr>
          <w:p w14:paraId="3E3D969F"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Defines the exact entry trigger</w:t>
            </w:r>
          </w:p>
        </w:tc>
      </w:tr>
      <w:tr w:rsidR="003C3483" w:rsidRPr="009574C1" w14:paraId="698B1D3F" w14:textId="77777777">
        <w:tc>
          <w:tcPr>
            <w:tcW w:w="0" w:type="auto"/>
            <w:vAlign w:val="center"/>
            <w:hideMark/>
          </w:tcPr>
          <w:p w14:paraId="25D3ABEF"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Volume Dry Up</w:t>
            </w:r>
          </w:p>
        </w:tc>
        <w:tc>
          <w:tcPr>
            <w:tcW w:w="0" w:type="auto"/>
            <w:vAlign w:val="center"/>
            <w:hideMark/>
          </w:tcPr>
          <w:p w14:paraId="4477BC07"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Extreme low volume</w:t>
            </w:r>
          </w:p>
        </w:tc>
        <w:tc>
          <w:tcPr>
            <w:tcW w:w="0" w:type="auto"/>
            <w:vAlign w:val="center"/>
            <w:hideMark/>
          </w:tcPr>
          <w:p w14:paraId="407527F8"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Indicates supply has been exhausted</w:t>
            </w:r>
          </w:p>
        </w:tc>
      </w:tr>
    </w:tbl>
    <w:p w14:paraId="18EDF705"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The "Technical Footprint" of a VCP setup is often expressed as a series of numbers, such </w:t>
      </w:r>
      <w:proofErr w:type="gramStart"/>
      <w:r w:rsidRPr="009574C1">
        <w:rPr>
          <w:rFonts w:ascii="Verdana" w:eastAsia="Times New Roman" w:hAnsi="Verdana" w:cs="Times New Roman"/>
          <w:kern w:val="0"/>
          <w:lang w:eastAsia="en-IN"/>
          <w14:ligatures w14:val="none"/>
        </w:rPr>
        <w:t>as .</w:t>
      </w:r>
      <w:proofErr w:type="gramEnd"/>
      <w:r w:rsidRPr="009574C1">
        <w:rPr>
          <w:rFonts w:ascii="Verdana" w:eastAsia="Times New Roman" w:hAnsi="Verdana" w:cs="Times New Roman"/>
          <w:kern w:val="0"/>
          <w:lang w:eastAsia="en-IN"/>
          <w14:ligatures w14:val="none"/>
        </w:rPr>
        <w:t xml:space="preserve"> This notation describes a pattern lasting 15 weeks, with an initial correction of , followed by a second contraction of , and a final contraction of  over three weeks.[4] The goal is to identify the "Pivot Point," which is the specific price level where the stock is likely to resume its uptrend on heavy volume.[4, 18]</w:t>
      </w:r>
    </w:p>
    <w:p w14:paraId="7C2A3B54"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High-Momentum Variations: The Power Play and the Low Cheat</w:t>
      </w:r>
    </w:p>
    <w:p w14:paraId="7B32EE69"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lastRenderedPageBreak/>
        <w:t xml:space="preserve">Within the structural framework of the VCP, two advanced setups offer significant potential for positional traders. The "Power Play," or High Tight Flag, occurs when a stock gains more </w:t>
      </w:r>
      <w:proofErr w:type="gramStart"/>
      <w:r w:rsidRPr="009574C1">
        <w:rPr>
          <w:rFonts w:ascii="Verdana" w:eastAsia="Times New Roman" w:hAnsi="Verdana" w:cs="Times New Roman"/>
          <w:kern w:val="0"/>
          <w:lang w:eastAsia="en-IN"/>
          <w14:ligatures w14:val="none"/>
        </w:rPr>
        <w:t>than  in</w:t>
      </w:r>
      <w:proofErr w:type="gramEnd"/>
      <w:r w:rsidRPr="009574C1">
        <w:rPr>
          <w:rFonts w:ascii="Verdana" w:eastAsia="Times New Roman" w:hAnsi="Verdana" w:cs="Times New Roman"/>
          <w:kern w:val="0"/>
          <w:lang w:eastAsia="en-IN"/>
          <w14:ligatures w14:val="none"/>
        </w:rPr>
        <w:t xml:space="preserve"> less than eight weeks and then consolidates sideways for two to six weeks with a correction of no more </w:t>
      </w:r>
      <w:proofErr w:type="gramStart"/>
      <w:r w:rsidRPr="009574C1">
        <w:rPr>
          <w:rFonts w:ascii="Verdana" w:eastAsia="Times New Roman" w:hAnsi="Verdana" w:cs="Times New Roman"/>
          <w:kern w:val="0"/>
          <w:lang w:eastAsia="en-IN"/>
          <w14:ligatures w14:val="none"/>
        </w:rPr>
        <w:t>than  to .[</w:t>
      </w:r>
      <w:proofErr w:type="gramEnd"/>
      <w:r w:rsidRPr="009574C1">
        <w:rPr>
          <w:rFonts w:ascii="Verdana" w:eastAsia="Times New Roman" w:hAnsi="Verdana" w:cs="Times New Roman"/>
          <w:kern w:val="0"/>
          <w:lang w:eastAsia="en-IN"/>
          <w14:ligatures w14:val="none"/>
        </w:rPr>
        <w:t>4, 13] This pattern suggests extreme institutional demand and often leads to secondary moves of equal magnitude.</w:t>
      </w:r>
    </w:p>
    <w:p w14:paraId="6BF13DBC"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Conversely, the "Low Cheat" or "Cup Completion Cheat" (3C Pattern) provides an early entry point mid-</w:t>
      </w:r>
      <w:proofErr w:type="gramStart"/>
      <w:r w:rsidRPr="009574C1">
        <w:rPr>
          <w:rFonts w:ascii="Verdana" w:eastAsia="Times New Roman" w:hAnsi="Verdana" w:cs="Times New Roman"/>
          <w:kern w:val="0"/>
          <w:lang w:eastAsia="en-IN"/>
          <w14:ligatures w14:val="none"/>
        </w:rPr>
        <w:t>base.[</w:t>
      </w:r>
      <w:proofErr w:type="gramEnd"/>
      <w:r w:rsidRPr="009574C1">
        <w:rPr>
          <w:rFonts w:ascii="Verdana" w:eastAsia="Times New Roman" w:hAnsi="Verdana" w:cs="Times New Roman"/>
          <w:kern w:val="0"/>
          <w:lang w:eastAsia="en-IN"/>
          <w14:ligatures w14:val="none"/>
        </w:rPr>
        <w:t>4, 19] Instead of waiting for the stock to clear its all-time high, the trader looks for a small VCP or "cheat" area on the right side of a cup-with-handle pattern. This allows for an entry with a tighter stop-loss, improving the overall profit profile of the trade.[4]</w:t>
      </w:r>
    </w:p>
    <w:p w14:paraId="20DA3E6C"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Institutional Footprinting: Volume Analysis and the Voodoo Concept</w:t>
      </w:r>
    </w:p>
    <w:p w14:paraId="6F998914" w14:textId="48044D4B"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In positional trading, price action is the signal, but volume is the confirmation. The </w:t>
      </w:r>
      <w:r w:rsidR="009574C1" w:rsidRPr="009574C1">
        <w:rPr>
          <w:rFonts w:ascii="Verdana" w:eastAsia="Times New Roman" w:hAnsi="Verdana" w:cs="Times New Roman"/>
          <w:kern w:val="0"/>
          <w:lang w:eastAsia="en-IN"/>
          <w14:ligatures w14:val="none"/>
        </w:rPr>
        <w:t>behaviour</w:t>
      </w:r>
      <w:r w:rsidRPr="009574C1">
        <w:rPr>
          <w:rFonts w:ascii="Verdana" w:eastAsia="Times New Roman" w:hAnsi="Verdana" w:cs="Times New Roman"/>
          <w:kern w:val="0"/>
          <w:lang w:eastAsia="en-IN"/>
          <w14:ligatures w14:val="none"/>
        </w:rPr>
        <w:t xml:space="preserve"> of institutional buyers can be tracked through specific volume signatures that occur during consolidation </w:t>
      </w:r>
      <w:proofErr w:type="gramStart"/>
      <w:r w:rsidRPr="009574C1">
        <w:rPr>
          <w:rFonts w:ascii="Verdana" w:eastAsia="Times New Roman" w:hAnsi="Verdana" w:cs="Times New Roman"/>
          <w:kern w:val="0"/>
          <w:lang w:eastAsia="en-IN"/>
          <w14:ligatures w14:val="none"/>
        </w:rPr>
        <w:t>phases.[</w:t>
      </w:r>
      <w:proofErr w:type="gramEnd"/>
      <w:r w:rsidRPr="009574C1">
        <w:rPr>
          <w:rFonts w:ascii="Verdana" w:eastAsia="Times New Roman" w:hAnsi="Verdana" w:cs="Times New Roman"/>
          <w:kern w:val="0"/>
          <w:lang w:eastAsia="en-IN"/>
          <w14:ligatures w14:val="none"/>
        </w:rPr>
        <w:t>5, 12, 20]</w:t>
      </w:r>
    </w:p>
    <w:p w14:paraId="702CA7EB"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Volume Dry Up (VDU): The VooDoo Signature</w:t>
      </w:r>
    </w:p>
    <w:p w14:paraId="7C32D2AF"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Volume Dry Up (VDU), often referred to as "VooDoo" by Dr. Chris Kacher and Gil Morales, is one of the most powerful indicators of an impending </w:t>
      </w:r>
      <w:proofErr w:type="gramStart"/>
      <w:r w:rsidRPr="009574C1">
        <w:rPr>
          <w:rFonts w:ascii="Verdana" w:eastAsia="Times New Roman" w:hAnsi="Verdana" w:cs="Times New Roman"/>
          <w:kern w:val="0"/>
          <w:lang w:eastAsia="en-IN"/>
          <w14:ligatures w14:val="none"/>
        </w:rPr>
        <w:t>move.[</w:t>
      </w:r>
      <w:proofErr w:type="gramEnd"/>
      <w:r w:rsidRPr="009574C1">
        <w:rPr>
          <w:rFonts w:ascii="Verdana" w:eastAsia="Times New Roman" w:hAnsi="Verdana" w:cs="Times New Roman"/>
          <w:kern w:val="0"/>
          <w:lang w:eastAsia="en-IN"/>
          <w14:ligatures w14:val="none"/>
        </w:rPr>
        <w:t xml:space="preserve">5, 12] VDU occurs during a consolidation when the daily volume falls to less </w:t>
      </w:r>
      <w:proofErr w:type="gramStart"/>
      <w:r w:rsidRPr="009574C1">
        <w:rPr>
          <w:rFonts w:ascii="Verdana" w:eastAsia="Times New Roman" w:hAnsi="Verdana" w:cs="Times New Roman"/>
          <w:kern w:val="0"/>
          <w:lang w:eastAsia="en-IN"/>
          <w14:ligatures w14:val="none"/>
        </w:rPr>
        <w:t>than  of</w:t>
      </w:r>
      <w:proofErr w:type="gramEnd"/>
      <w:r w:rsidRPr="009574C1">
        <w:rPr>
          <w:rFonts w:ascii="Verdana" w:eastAsia="Times New Roman" w:hAnsi="Verdana" w:cs="Times New Roman"/>
          <w:kern w:val="0"/>
          <w:lang w:eastAsia="en-IN"/>
          <w14:ligatures w14:val="none"/>
        </w:rPr>
        <w:t xml:space="preserve"> its 50-day average. This indicates that supply has "dried up" and that there is little to no selling pressure remaining in the stock.[5, 12] When a VDU candle is paired with a tight price range, it suggests that any sudden increase in demand will cause the price to explode upward, as there are no sellers to absorb the buying.[4, 5, 12]</w:t>
      </w:r>
    </w:p>
    <w:p w14:paraId="44C98E91"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Pocket Pivot: Confirmation of Institutional Demand</w:t>
      </w:r>
    </w:p>
    <w:p w14:paraId="036F286C"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If the VDU represents the absence of supply, the "Pocket Pivot" represents the re-emergence of institutional demand.[5, 12] A Pocket Pivot is an up-day on volume that is greater than any down-day volume over the previous ten trading days.[5, 12, 20] This signature reveals that institutions are quietly accumulating shares within the base before the stock breaks out to new highs. Positional traders often use Pocket Pivots as early entry signals, particularly when they occur as the price bounces </w:t>
      </w:r>
      <w:r w:rsidRPr="009574C1">
        <w:rPr>
          <w:rFonts w:ascii="Verdana" w:eastAsia="Times New Roman" w:hAnsi="Verdana" w:cs="Times New Roman"/>
          <w:kern w:val="0"/>
          <w:lang w:eastAsia="en-IN"/>
          <w14:ligatures w14:val="none"/>
        </w:rPr>
        <w:lastRenderedPageBreak/>
        <w:t xml:space="preserve">off a key moving average, such as the 10-day EMA or 20-day </w:t>
      </w:r>
      <w:proofErr w:type="gramStart"/>
      <w:r w:rsidRPr="009574C1">
        <w:rPr>
          <w:rFonts w:ascii="Verdana" w:eastAsia="Times New Roman" w:hAnsi="Verdana" w:cs="Times New Roman"/>
          <w:kern w:val="0"/>
          <w:lang w:eastAsia="en-IN"/>
          <w14:ligatures w14:val="none"/>
        </w:rPr>
        <w:t>EMA.[</w:t>
      </w:r>
      <w:proofErr w:type="gramEnd"/>
      <w:r w:rsidRPr="009574C1">
        <w:rPr>
          <w:rFonts w:ascii="Verdana" w:eastAsia="Times New Roman" w:hAnsi="Verdana" w:cs="Times New Roman"/>
          <w:kern w:val="0"/>
          <w:lang w:eastAsia="en-IN"/>
          <w14:ligatures w14:val="none"/>
        </w:rPr>
        <w:t>5, 12, 21]</w:t>
      </w:r>
    </w:p>
    <w:tbl>
      <w:tblPr>
        <w:tblW w:w="0" w:type="auto"/>
        <w:tblCellMar>
          <w:top w:w="15" w:type="dxa"/>
          <w:left w:w="15" w:type="dxa"/>
          <w:bottom w:w="15" w:type="dxa"/>
          <w:right w:w="15" w:type="dxa"/>
        </w:tblCellMar>
        <w:tblLook w:val="04A0" w:firstRow="1" w:lastRow="0" w:firstColumn="1" w:lastColumn="0" w:noHBand="0" w:noVBand="1"/>
      </w:tblPr>
      <w:tblGrid>
        <w:gridCol w:w="2073"/>
        <w:gridCol w:w="1773"/>
        <w:gridCol w:w="3127"/>
        <w:gridCol w:w="2053"/>
      </w:tblGrid>
      <w:tr w:rsidR="003C3483" w:rsidRPr="009574C1" w14:paraId="2D07EFD4" w14:textId="77777777">
        <w:tc>
          <w:tcPr>
            <w:tcW w:w="0" w:type="auto"/>
            <w:vAlign w:val="center"/>
            <w:hideMark/>
          </w:tcPr>
          <w:p w14:paraId="5A6E5F3F"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Volume Signature</w:t>
            </w:r>
          </w:p>
        </w:tc>
        <w:tc>
          <w:tcPr>
            <w:tcW w:w="0" w:type="auto"/>
            <w:vAlign w:val="center"/>
            <w:hideMark/>
          </w:tcPr>
          <w:p w14:paraId="5748CD93"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Description</w:t>
            </w:r>
          </w:p>
        </w:tc>
        <w:tc>
          <w:tcPr>
            <w:tcW w:w="0" w:type="auto"/>
            <w:vAlign w:val="center"/>
            <w:hideMark/>
          </w:tcPr>
          <w:p w14:paraId="1F036A81"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Quantitative Requirement</w:t>
            </w:r>
          </w:p>
        </w:tc>
        <w:tc>
          <w:tcPr>
            <w:tcW w:w="0" w:type="auto"/>
            <w:vAlign w:val="center"/>
            <w:hideMark/>
          </w:tcPr>
          <w:p w14:paraId="61199221"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Psychological Interpretation</w:t>
            </w:r>
          </w:p>
        </w:tc>
      </w:tr>
      <w:tr w:rsidR="003C3483" w:rsidRPr="009574C1" w14:paraId="1B594AF5" w14:textId="77777777">
        <w:tc>
          <w:tcPr>
            <w:tcW w:w="0" w:type="auto"/>
            <w:vAlign w:val="center"/>
            <w:hideMark/>
          </w:tcPr>
          <w:p w14:paraId="24886AD0"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VDU (VooDoo)</w:t>
            </w:r>
          </w:p>
        </w:tc>
        <w:tc>
          <w:tcPr>
            <w:tcW w:w="0" w:type="auto"/>
            <w:vAlign w:val="center"/>
            <w:hideMark/>
          </w:tcPr>
          <w:p w14:paraId="20767C64"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Extreme low volume</w:t>
            </w:r>
          </w:p>
        </w:tc>
        <w:tc>
          <w:tcPr>
            <w:tcW w:w="0" w:type="auto"/>
            <w:vAlign w:val="center"/>
            <w:hideMark/>
          </w:tcPr>
          <w:p w14:paraId="7C8EBF19"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Volume &lt; 50% of 50-day SMA</w:t>
            </w:r>
          </w:p>
        </w:tc>
        <w:tc>
          <w:tcPr>
            <w:tcW w:w="0" w:type="auto"/>
            <w:vAlign w:val="center"/>
            <w:hideMark/>
          </w:tcPr>
          <w:p w14:paraId="0B4619D2"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Sellers are exhausted; no supply left</w:t>
            </w:r>
          </w:p>
        </w:tc>
      </w:tr>
      <w:tr w:rsidR="003C3483" w:rsidRPr="009574C1" w14:paraId="7A1865CE" w14:textId="77777777">
        <w:tc>
          <w:tcPr>
            <w:tcW w:w="0" w:type="auto"/>
            <w:vAlign w:val="center"/>
            <w:hideMark/>
          </w:tcPr>
          <w:p w14:paraId="4B9D5F49"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Pocket Pivot</w:t>
            </w:r>
          </w:p>
        </w:tc>
        <w:tc>
          <w:tcPr>
            <w:tcW w:w="0" w:type="auto"/>
            <w:vAlign w:val="center"/>
            <w:hideMark/>
          </w:tcPr>
          <w:p w14:paraId="6F5D5BE4"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Intra-base accumulation</w:t>
            </w:r>
          </w:p>
        </w:tc>
        <w:tc>
          <w:tcPr>
            <w:tcW w:w="0" w:type="auto"/>
            <w:vAlign w:val="center"/>
            <w:hideMark/>
          </w:tcPr>
          <w:p w14:paraId="6B9B3B01"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Vol &gt; </w:t>
            </w:r>
            <w:proofErr w:type="gramStart"/>
            <w:r w:rsidRPr="009574C1">
              <w:rPr>
                <w:rFonts w:ascii="Verdana" w:eastAsia="Times New Roman" w:hAnsi="Verdana" w:cs="Times New Roman"/>
                <w:kern w:val="0"/>
                <w:lang w:eastAsia="en-IN"/>
                <w14:ligatures w14:val="none"/>
              </w:rPr>
              <w:t>Max(</w:t>
            </w:r>
            <w:proofErr w:type="gramEnd"/>
            <w:r w:rsidRPr="009574C1">
              <w:rPr>
                <w:rFonts w:ascii="Verdana" w:eastAsia="Times New Roman" w:hAnsi="Verdana" w:cs="Times New Roman"/>
                <w:kern w:val="0"/>
                <w:lang w:eastAsia="en-IN"/>
                <w14:ligatures w14:val="none"/>
              </w:rPr>
              <w:t>10 prior down-days)</w:t>
            </w:r>
          </w:p>
        </w:tc>
        <w:tc>
          <w:tcPr>
            <w:tcW w:w="0" w:type="auto"/>
            <w:vAlign w:val="center"/>
            <w:hideMark/>
          </w:tcPr>
          <w:p w14:paraId="3D3374E6"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Institutions are buying the consolidation</w:t>
            </w:r>
          </w:p>
        </w:tc>
      </w:tr>
      <w:tr w:rsidR="003C3483" w:rsidRPr="009574C1" w14:paraId="7F5F135F" w14:textId="77777777">
        <w:tc>
          <w:tcPr>
            <w:tcW w:w="0" w:type="auto"/>
            <w:vAlign w:val="center"/>
            <w:hideMark/>
          </w:tcPr>
          <w:p w14:paraId="15069044"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U/D Ratio</w:t>
            </w:r>
          </w:p>
        </w:tc>
        <w:tc>
          <w:tcPr>
            <w:tcW w:w="0" w:type="auto"/>
            <w:vAlign w:val="center"/>
            <w:hideMark/>
          </w:tcPr>
          <w:p w14:paraId="37D94111"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Up/Down volume ratio</w:t>
            </w:r>
          </w:p>
        </w:tc>
        <w:tc>
          <w:tcPr>
            <w:tcW w:w="0" w:type="auto"/>
            <w:vAlign w:val="center"/>
            <w:hideMark/>
          </w:tcPr>
          <w:p w14:paraId="24A20424"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Ratio &gt; 1.0 (Bullish)</w:t>
            </w:r>
          </w:p>
        </w:tc>
        <w:tc>
          <w:tcPr>
            <w:tcW w:w="0" w:type="auto"/>
            <w:vAlign w:val="center"/>
            <w:hideMark/>
          </w:tcPr>
          <w:p w14:paraId="7685A02F"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Broad institutional accumulation bias</w:t>
            </w:r>
          </w:p>
        </w:tc>
      </w:tr>
      <w:tr w:rsidR="003C3483" w:rsidRPr="009574C1" w14:paraId="57A684AC" w14:textId="77777777">
        <w:tc>
          <w:tcPr>
            <w:tcW w:w="0" w:type="auto"/>
            <w:vAlign w:val="center"/>
            <w:hideMark/>
          </w:tcPr>
          <w:p w14:paraId="7D771DB7"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HVE/HVQ/HVY</w:t>
            </w:r>
          </w:p>
        </w:tc>
        <w:tc>
          <w:tcPr>
            <w:tcW w:w="0" w:type="auto"/>
            <w:vAlign w:val="center"/>
            <w:hideMark/>
          </w:tcPr>
          <w:p w14:paraId="5DBBFF92"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Historical high volume</w:t>
            </w:r>
          </w:p>
        </w:tc>
        <w:tc>
          <w:tcPr>
            <w:tcW w:w="0" w:type="auto"/>
            <w:vAlign w:val="center"/>
            <w:hideMark/>
          </w:tcPr>
          <w:p w14:paraId="10487B41"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Highest Vol (Earnings/Quarter/Year)</w:t>
            </w:r>
          </w:p>
        </w:tc>
        <w:tc>
          <w:tcPr>
            <w:tcW w:w="0" w:type="auto"/>
            <w:vAlign w:val="center"/>
            <w:hideMark/>
          </w:tcPr>
          <w:p w14:paraId="47AD1FB7"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Major institutional regime shift</w:t>
            </w:r>
          </w:p>
        </w:tc>
      </w:tr>
    </w:tbl>
    <w:p w14:paraId="2A3CA87B"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By combining VDU and Pocket Pivots, the positional trader can enter a stock at the "optimal" price point—close to the lows of a consolidation—rather than chasing a breakout at the </w:t>
      </w:r>
      <w:proofErr w:type="gramStart"/>
      <w:r w:rsidRPr="009574C1">
        <w:rPr>
          <w:rFonts w:ascii="Verdana" w:eastAsia="Times New Roman" w:hAnsi="Verdana" w:cs="Times New Roman"/>
          <w:kern w:val="0"/>
          <w:lang w:eastAsia="en-IN"/>
          <w14:ligatures w14:val="none"/>
        </w:rPr>
        <w:t>highs.[</w:t>
      </w:r>
      <w:proofErr w:type="gramEnd"/>
      <w:r w:rsidRPr="009574C1">
        <w:rPr>
          <w:rFonts w:ascii="Verdana" w:eastAsia="Times New Roman" w:hAnsi="Verdana" w:cs="Times New Roman"/>
          <w:kern w:val="0"/>
          <w:lang w:eastAsia="en-IN"/>
          <w14:ligatures w14:val="none"/>
        </w:rPr>
        <w:t>5, 12]</w:t>
      </w:r>
    </w:p>
    <w:p w14:paraId="74184308" w14:textId="77777777" w:rsidR="003C3483" w:rsidRPr="00772CB1" w:rsidRDefault="003C3483" w:rsidP="003C3483">
      <w:pPr>
        <w:spacing w:before="120" w:line="300" w:lineRule="auto"/>
        <w:rPr>
          <w:rFonts w:ascii="Verdana" w:eastAsia="Times New Roman" w:hAnsi="Verdana" w:cs="Times New Roman"/>
          <w:b/>
          <w:bCs/>
          <w:kern w:val="0"/>
          <w:lang w:eastAsia="en-IN"/>
          <w14:ligatures w14:val="none"/>
        </w:rPr>
      </w:pPr>
      <w:r w:rsidRPr="00772CB1">
        <w:rPr>
          <w:rFonts w:ascii="Verdana" w:eastAsia="Times New Roman" w:hAnsi="Verdana" w:cs="Times New Roman"/>
          <w:b/>
          <w:bCs/>
          <w:kern w:val="0"/>
          <w:lang w:eastAsia="en-IN"/>
          <w14:ligatures w14:val="none"/>
        </w:rPr>
        <w:t>Price Memory and Dynamic Support: Anchored VWAP Strategies</w:t>
      </w:r>
    </w:p>
    <w:p w14:paraId="61D08DA1"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One of the most significant enhancements to modern positional trading is the use of Brian Shannon’s Anchored Volume Weighted Average Price (AVWAP).[6, 7, 22] Unlike standard moving averages, which only track price over time, the AVWAP incorporates volume to show the average price paid by market participants starting from a specific, significant event.[6, 7, 22]</w:t>
      </w:r>
    </w:p>
    <w:p w14:paraId="18D63FEB"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Philosophy of the Anchor Point</w:t>
      </w:r>
    </w:p>
    <w:p w14:paraId="6E5ED975"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The AVWAP is based on the premise that price has memory. Significant events, such as earnings reports, all-time highs, or trend lows, represent moments when market sentiment shifted </w:t>
      </w:r>
      <w:proofErr w:type="gramStart"/>
      <w:r w:rsidRPr="009574C1">
        <w:rPr>
          <w:rFonts w:ascii="Verdana" w:eastAsia="Times New Roman" w:hAnsi="Verdana" w:cs="Times New Roman"/>
          <w:kern w:val="0"/>
          <w:lang w:eastAsia="en-IN"/>
          <w14:ligatures w14:val="none"/>
        </w:rPr>
        <w:t>definitively.[</w:t>
      </w:r>
      <w:proofErr w:type="gramEnd"/>
      <w:r w:rsidRPr="009574C1">
        <w:rPr>
          <w:rFonts w:ascii="Verdana" w:eastAsia="Times New Roman" w:hAnsi="Verdana" w:cs="Times New Roman"/>
          <w:kern w:val="0"/>
          <w:lang w:eastAsia="en-IN"/>
          <w14:ligatures w14:val="none"/>
        </w:rPr>
        <w:t>7, 22] By "anchoring" the VWAP to these points, the trader can see the cumulative struggle between bulls and bears from that moment onward.[6]</w:t>
      </w:r>
    </w:p>
    <w:p w14:paraId="47C95B75"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Common anchor points for positional traders include:</w:t>
      </w:r>
    </w:p>
    <w:p w14:paraId="12C67E62"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w:t>
      </w:r>
      <w:r w:rsidRPr="009574C1">
        <w:rPr>
          <w:rFonts w:ascii="Verdana" w:eastAsia="Times New Roman" w:hAnsi="Verdana" w:cs="Times New Roman"/>
          <w:b/>
          <w:bCs/>
          <w:kern w:val="0"/>
          <w:lang w:eastAsia="en-IN"/>
          <w14:ligatures w14:val="none"/>
        </w:rPr>
        <w:t>Trend Lows:</w:t>
      </w:r>
      <w:r w:rsidRPr="009574C1">
        <w:rPr>
          <w:rFonts w:ascii="Verdana" w:eastAsia="Times New Roman" w:hAnsi="Verdana" w:cs="Times New Roman"/>
          <w:kern w:val="0"/>
          <w:lang w:eastAsia="en-IN"/>
          <w14:ligatures w14:val="none"/>
        </w:rPr>
        <w:t xml:space="preserve"> Anchoring to the absolute low of a Stage 1 base reveals the average cost basis of the institutions that started the new </w:t>
      </w:r>
      <w:proofErr w:type="gramStart"/>
      <w:r w:rsidRPr="009574C1">
        <w:rPr>
          <w:rFonts w:ascii="Verdana" w:eastAsia="Times New Roman" w:hAnsi="Verdana" w:cs="Times New Roman"/>
          <w:kern w:val="0"/>
          <w:lang w:eastAsia="en-IN"/>
          <w14:ligatures w14:val="none"/>
        </w:rPr>
        <w:t>uptrend.[</w:t>
      </w:r>
      <w:proofErr w:type="gramEnd"/>
      <w:r w:rsidRPr="009574C1">
        <w:rPr>
          <w:rFonts w:ascii="Verdana" w:eastAsia="Times New Roman" w:hAnsi="Verdana" w:cs="Times New Roman"/>
          <w:kern w:val="0"/>
          <w:lang w:eastAsia="en-IN"/>
          <w14:ligatures w14:val="none"/>
        </w:rPr>
        <w:t>7, 22]</w:t>
      </w:r>
    </w:p>
    <w:p w14:paraId="63EB3823"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lastRenderedPageBreak/>
        <w:t>• </w:t>
      </w:r>
      <w:r w:rsidRPr="009574C1">
        <w:rPr>
          <w:rFonts w:ascii="Verdana" w:eastAsia="Times New Roman" w:hAnsi="Verdana" w:cs="Times New Roman"/>
          <w:b/>
          <w:bCs/>
          <w:kern w:val="0"/>
          <w:lang w:eastAsia="en-IN"/>
          <w14:ligatures w14:val="none"/>
        </w:rPr>
        <w:t>Gap-Ups:</w:t>
      </w:r>
      <w:r w:rsidRPr="009574C1">
        <w:rPr>
          <w:rFonts w:ascii="Verdana" w:eastAsia="Times New Roman" w:hAnsi="Verdana" w:cs="Times New Roman"/>
          <w:kern w:val="0"/>
          <w:lang w:eastAsia="en-IN"/>
          <w14:ligatures w14:val="none"/>
        </w:rPr>
        <w:t xml:space="preserve"> High-volume gaps, often occurring on earnings, signify a "new normal." The AVWAP from this gap often acts as ironclad support during subsequent </w:t>
      </w:r>
      <w:proofErr w:type="gramStart"/>
      <w:r w:rsidRPr="009574C1">
        <w:rPr>
          <w:rFonts w:ascii="Verdana" w:eastAsia="Times New Roman" w:hAnsi="Verdana" w:cs="Times New Roman"/>
          <w:kern w:val="0"/>
          <w:lang w:eastAsia="en-IN"/>
          <w14:ligatures w14:val="none"/>
        </w:rPr>
        <w:t>pullbacks.[</w:t>
      </w:r>
      <w:proofErr w:type="gramEnd"/>
      <w:r w:rsidRPr="009574C1">
        <w:rPr>
          <w:rFonts w:ascii="Verdana" w:eastAsia="Times New Roman" w:hAnsi="Verdana" w:cs="Times New Roman"/>
          <w:kern w:val="0"/>
          <w:lang w:eastAsia="en-IN"/>
          <w14:ligatures w14:val="none"/>
        </w:rPr>
        <w:t>7, 22]</w:t>
      </w:r>
    </w:p>
    <w:p w14:paraId="51D57BF1"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w:t>
      </w:r>
      <w:r w:rsidRPr="009574C1">
        <w:rPr>
          <w:rFonts w:ascii="Verdana" w:eastAsia="Times New Roman" w:hAnsi="Verdana" w:cs="Times New Roman"/>
          <w:b/>
          <w:bCs/>
          <w:kern w:val="0"/>
          <w:lang w:eastAsia="en-IN"/>
          <w14:ligatures w14:val="none"/>
        </w:rPr>
        <w:t>Breakout Days:</w:t>
      </w:r>
      <w:r w:rsidRPr="009574C1">
        <w:rPr>
          <w:rFonts w:ascii="Verdana" w:eastAsia="Times New Roman" w:hAnsi="Verdana" w:cs="Times New Roman"/>
          <w:kern w:val="0"/>
          <w:lang w:eastAsia="en-IN"/>
          <w14:ligatures w14:val="none"/>
        </w:rPr>
        <w:t xml:space="preserve"> Anchoring to the day a stock clears a major multi-month resistance provides a dynamic level for the "first pullback" </w:t>
      </w:r>
      <w:proofErr w:type="gramStart"/>
      <w:r w:rsidRPr="009574C1">
        <w:rPr>
          <w:rFonts w:ascii="Verdana" w:eastAsia="Times New Roman" w:hAnsi="Verdana" w:cs="Times New Roman"/>
          <w:kern w:val="0"/>
          <w:lang w:eastAsia="en-IN"/>
          <w14:ligatures w14:val="none"/>
        </w:rPr>
        <w:t>trade.[</w:t>
      </w:r>
      <w:proofErr w:type="gramEnd"/>
      <w:r w:rsidRPr="009574C1">
        <w:rPr>
          <w:rFonts w:ascii="Verdana" w:eastAsia="Times New Roman" w:hAnsi="Verdana" w:cs="Times New Roman"/>
          <w:kern w:val="0"/>
          <w:lang w:eastAsia="en-IN"/>
          <w14:ligatures w14:val="none"/>
        </w:rPr>
        <w:t>6, 22]</w:t>
      </w:r>
    </w:p>
    <w:p w14:paraId="0600B59B"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w:t>
      </w:r>
      <w:r w:rsidRPr="009574C1">
        <w:rPr>
          <w:rFonts w:ascii="Verdana" w:eastAsia="Times New Roman" w:hAnsi="Verdana" w:cs="Times New Roman"/>
          <w:b/>
          <w:bCs/>
          <w:kern w:val="0"/>
          <w:lang w:eastAsia="en-IN"/>
          <w14:ligatures w14:val="none"/>
        </w:rPr>
        <w:t>All-Time Highs:</w:t>
      </w:r>
      <w:r w:rsidRPr="009574C1">
        <w:rPr>
          <w:rFonts w:ascii="Verdana" w:eastAsia="Times New Roman" w:hAnsi="Verdana" w:cs="Times New Roman"/>
          <w:kern w:val="0"/>
          <w:lang w:eastAsia="en-IN"/>
          <w14:ligatures w14:val="none"/>
        </w:rPr>
        <w:t> Anchoring to a major peak helps identify where current longs are "underwater" and where they might look to sell at break-even, creating resistance.[6]</w:t>
      </w:r>
    </w:p>
    <w:p w14:paraId="6443A1BF"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AVWAP Pinch and Red-to-Green Resilience</w:t>
      </w:r>
    </w:p>
    <w:p w14:paraId="11A0FD32" w14:textId="0864DE2F"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A "Pinch" occurs when the price action is compressed between two significant AVWAPs, such as one anchored to a recent low and another anchored to a recent high.[7] This compression often leads to a high-momentum breakout. Furthermore, the "Red-to-Green" strategy identifies stocks that were trading below their AVWAP (where buyers were "in the red") and have now broken above it, turning resistance into support.[6] This shift in bias often triggers </w:t>
      </w:r>
      <w:proofErr w:type="gramStart"/>
      <w:r w:rsidRPr="009574C1">
        <w:rPr>
          <w:rFonts w:ascii="Verdana" w:eastAsia="Times New Roman" w:hAnsi="Verdana" w:cs="Times New Roman"/>
          <w:kern w:val="0"/>
          <w:lang w:eastAsia="en-IN"/>
          <w14:ligatures w14:val="none"/>
        </w:rPr>
        <w:t>massive short</w:t>
      </w:r>
      <w:proofErr w:type="gramEnd"/>
      <w:r w:rsidRPr="009574C1">
        <w:rPr>
          <w:rFonts w:ascii="Verdana" w:eastAsia="Times New Roman" w:hAnsi="Verdana" w:cs="Times New Roman"/>
          <w:kern w:val="0"/>
          <w:lang w:eastAsia="en-IN"/>
          <w14:ligatures w14:val="none"/>
        </w:rPr>
        <w:t xml:space="preserve">-covering, </w:t>
      </w:r>
      <w:r w:rsidR="009574C1" w:rsidRPr="009574C1">
        <w:rPr>
          <w:rFonts w:ascii="Verdana" w:eastAsia="Times New Roman" w:hAnsi="Verdana" w:cs="Times New Roman"/>
          <w:kern w:val="0"/>
          <w:lang w:eastAsia="en-IN"/>
          <w14:ligatures w14:val="none"/>
        </w:rPr>
        <w:t>fuelling</w:t>
      </w:r>
      <w:r w:rsidRPr="009574C1">
        <w:rPr>
          <w:rFonts w:ascii="Verdana" w:eastAsia="Times New Roman" w:hAnsi="Verdana" w:cs="Times New Roman"/>
          <w:kern w:val="0"/>
          <w:lang w:eastAsia="en-IN"/>
          <w14:ligatures w14:val="none"/>
        </w:rPr>
        <w:t xml:space="preserve"> a Stage 2 advance.[6]</w:t>
      </w:r>
    </w:p>
    <w:p w14:paraId="681E34B6"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Multi-Timeframe Alignment: Weekly Bias to Hourly Triggers</w:t>
      </w:r>
    </w:p>
    <w:p w14:paraId="69D92A3E"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A hallmark of advanced positional trading is the top-down approach to analysis, where different timeframes are used for distinct analytical </w:t>
      </w:r>
      <w:proofErr w:type="gramStart"/>
      <w:r w:rsidRPr="009574C1">
        <w:rPr>
          <w:rFonts w:ascii="Verdana" w:eastAsia="Times New Roman" w:hAnsi="Verdana" w:cs="Times New Roman"/>
          <w:kern w:val="0"/>
          <w:lang w:eastAsia="en-IN"/>
          <w14:ligatures w14:val="none"/>
        </w:rPr>
        <w:t>purposes.[</w:t>
      </w:r>
      <w:proofErr w:type="gramEnd"/>
      <w:r w:rsidRPr="009574C1">
        <w:rPr>
          <w:rFonts w:ascii="Verdana" w:eastAsia="Times New Roman" w:hAnsi="Verdana" w:cs="Times New Roman"/>
          <w:kern w:val="0"/>
          <w:lang w:eastAsia="en-IN"/>
          <w14:ligatures w14:val="none"/>
        </w:rPr>
        <w:t>23, 24, 25]</w:t>
      </w:r>
    </w:p>
    <w:p w14:paraId="4B367D97"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Three-Tiered Timeframe Stack</w:t>
      </w:r>
    </w:p>
    <w:p w14:paraId="047CE75F"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For the positional trader, the "stack" typically consists of the Weekly, Daily, and 1-Hour (or 4-Hour) </w:t>
      </w:r>
      <w:proofErr w:type="gramStart"/>
      <w:r w:rsidRPr="009574C1">
        <w:rPr>
          <w:rFonts w:ascii="Verdana" w:eastAsia="Times New Roman" w:hAnsi="Verdana" w:cs="Times New Roman"/>
          <w:kern w:val="0"/>
          <w:lang w:eastAsia="en-IN"/>
          <w14:ligatures w14:val="none"/>
        </w:rPr>
        <w:t>charts.[</w:t>
      </w:r>
      <w:proofErr w:type="gramEnd"/>
      <w:r w:rsidRPr="009574C1">
        <w:rPr>
          <w:rFonts w:ascii="Verdana" w:eastAsia="Times New Roman" w:hAnsi="Verdana" w:cs="Times New Roman"/>
          <w:kern w:val="0"/>
          <w:lang w:eastAsia="en-IN"/>
          <w14:ligatures w14:val="none"/>
        </w:rPr>
        <w:t>24, 26]</w:t>
      </w:r>
    </w:p>
    <w:p w14:paraId="46C4CF00"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1. </w:t>
      </w:r>
      <w:r w:rsidRPr="009574C1">
        <w:rPr>
          <w:rFonts w:ascii="Verdana" w:eastAsia="Times New Roman" w:hAnsi="Verdana" w:cs="Times New Roman"/>
          <w:b/>
          <w:bCs/>
          <w:kern w:val="0"/>
          <w:lang w:eastAsia="en-IN"/>
          <w14:ligatures w14:val="none"/>
        </w:rPr>
        <w:t>The Weekly Chart (Directional Bias):</w:t>
      </w:r>
      <w:r w:rsidRPr="009574C1">
        <w:rPr>
          <w:rFonts w:ascii="Verdana" w:eastAsia="Times New Roman" w:hAnsi="Verdana" w:cs="Times New Roman"/>
          <w:kern w:val="0"/>
          <w:lang w:eastAsia="en-IN"/>
          <w14:ligatures w14:val="none"/>
        </w:rPr>
        <w:t xml:space="preserve"> This timeframe is used to identify the current Weinstein Stage, major support/resistance zones, and long-term trend strength via the 30-week </w:t>
      </w:r>
      <w:proofErr w:type="gramStart"/>
      <w:r w:rsidRPr="009574C1">
        <w:rPr>
          <w:rFonts w:ascii="Verdana" w:eastAsia="Times New Roman" w:hAnsi="Verdana" w:cs="Times New Roman"/>
          <w:kern w:val="0"/>
          <w:lang w:eastAsia="en-IN"/>
          <w14:ligatures w14:val="none"/>
        </w:rPr>
        <w:t>SMA.[</w:t>
      </w:r>
      <w:proofErr w:type="gramEnd"/>
      <w:r w:rsidRPr="009574C1">
        <w:rPr>
          <w:rFonts w:ascii="Verdana" w:eastAsia="Times New Roman" w:hAnsi="Verdana" w:cs="Times New Roman"/>
          <w:kern w:val="0"/>
          <w:lang w:eastAsia="en-IN"/>
          <w14:ligatures w14:val="none"/>
        </w:rPr>
        <w:t>24, 26]</w:t>
      </w:r>
    </w:p>
    <w:p w14:paraId="07460247"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2. </w:t>
      </w:r>
      <w:r w:rsidRPr="009574C1">
        <w:rPr>
          <w:rFonts w:ascii="Verdana" w:eastAsia="Times New Roman" w:hAnsi="Verdana" w:cs="Times New Roman"/>
          <w:b/>
          <w:bCs/>
          <w:kern w:val="0"/>
          <w:lang w:eastAsia="en-IN"/>
          <w14:ligatures w14:val="none"/>
        </w:rPr>
        <w:t>The Daily Chart (The Setup):</w:t>
      </w:r>
      <w:r w:rsidRPr="009574C1">
        <w:rPr>
          <w:rFonts w:ascii="Verdana" w:eastAsia="Times New Roman" w:hAnsi="Verdana" w:cs="Times New Roman"/>
          <w:kern w:val="0"/>
          <w:lang w:eastAsia="en-IN"/>
          <w14:ligatures w14:val="none"/>
        </w:rPr>
        <w:t xml:space="preserve"> This is the primary timeframe for identifying chart patterns like VCPs, flags, and cup-with-handles. The daily chart also allows for the analysis of volume signatures like VDU and Pocket </w:t>
      </w:r>
      <w:proofErr w:type="gramStart"/>
      <w:r w:rsidRPr="009574C1">
        <w:rPr>
          <w:rFonts w:ascii="Verdana" w:eastAsia="Times New Roman" w:hAnsi="Verdana" w:cs="Times New Roman"/>
          <w:kern w:val="0"/>
          <w:lang w:eastAsia="en-IN"/>
          <w14:ligatures w14:val="none"/>
        </w:rPr>
        <w:t>Pivots.[</w:t>
      </w:r>
      <w:proofErr w:type="gramEnd"/>
      <w:r w:rsidRPr="009574C1">
        <w:rPr>
          <w:rFonts w:ascii="Verdana" w:eastAsia="Times New Roman" w:hAnsi="Verdana" w:cs="Times New Roman"/>
          <w:kern w:val="0"/>
          <w:lang w:eastAsia="en-IN"/>
          <w14:ligatures w14:val="none"/>
        </w:rPr>
        <w:t>24, 26]</w:t>
      </w:r>
    </w:p>
    <w:p w14:paraId="23D21804"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lastRenderedPageBreak/>
        <w:t>3. </w:t>
      </w:r>
      <w:r w:rsidRPr="009574C1">
        <w:rPr>
          <w:rFonts w:ascii="Verdana" w:eastAsia="Times New Roman" w:hAnsi="Verdana" w:cs="Times New Roman"/>
          <w:b/>
          <w:bCs/>
          <w:kern w:val="0"/>
          <w:lang w:eastAsia="en-IN"/>
          <w14:ligatures w14:val="none"/>
        </w:rPr>
        <w:t>The Hourly Chart (The Trigger):</w:t>
      </w:r>
      <w:r w:rsidRPr="009574C1">
        <w:rPr>
          <w:rFonts w:ascii="Verdana" w:eastAsia="Times New Roman" w:hAnsi="Verdana" w:cs="Times New Roman"/>
          <w:kern w:val="0"/>
          <w:lang w:eastAsia="en-IN"/>
          <w14:ligatures w14:val="none"/>
        </w:rPr>
        <w:t xml:space="preserve"> To refine entries and reduce risk, the 60-minute chart is used to identify the exact moment the daily pullback is ending. This is often done by looking for a reversal candle or a volume spike on the hourly </w:t>
      </w:r>
      <w:proofErr w:type="gramStart"/>
      <w:r w:rsidRPr="009574C1">
        <w:rPr>
          <w:rFonts w:ascii="Verdana" w:eastAsia="Times New Roman" w:hAnsi="Verdana" w:cs="Times New Roman"/>
          <w:kern w:val="0"/>
          <w:lang w:eastAsia="en-IN"/>
          <w14:ligatures w14:val="none"/>
        </w:rPr>
        <w:t>timeframe.[</w:t>
      </w:r>
      <w:proofErr w:type="gramEnd"/>
      <w:r w:rsidRPr="009574C1">
        <w:rPr>
          <w:rFonts w:ascii="Verdana" w:eastAsia="Times New Roman" w:hAnsi="Verdana" w:cs="Times New Roman"/>
          <w:kern w:val="0"/>
          <w:lang w:eastAsia="en-IN"/>
          <w14:ligatures w14:val="none"/>
        </w:rPr>
        <w:t>23, 25, 26]</w:t>
      </w:r>
    </w:p>
    <w:tbl>
      <w:tblPr>
        <w:tblW w:w="0" w:type="auto"/>
        <w:tblCellMar>
          <w:top w:w="15" w:type="dxa"/>
          <w:left w:w="15" w:type="dxa"/>
          <w:bottom w:w="15" w:type="dxa"/>
          <w:right w:w="15" w:type="dxa"/>
        </w:tblCellMar>
        <w:tblLook w:val="04A0" w:firstRow="1" w:lastRow="0" w:firstColumn="1" w:lastColumn="0" w:noHBand="0" w:noVBand="1"/>
      </w:tblPr>
      <w:tblGrid>
        <w:gridCol w:w="1329"/>
        <w:gridCol w:w="1749"/>
        <w:gridCol w:w="2750"/>
        <w:gridCol w:w="3198"/>
      </w:tblGrid>
      <w:tr w:rsidR="003C3483" w:rsidRPr="009574C1" w14:paraId="015E2378" w14:textId="77777777">
        <w:tc>
          <w:tcPr>
            <w:tcW w:w="0" w:type="auto"/>
            <w:vAlign w:val="center"/>
            <w:hideMark/>
          </w:tcPr>
          <w:p w14:paraId="4DF00A19"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Timeframe</w:t>
            </w:r>
          </w:p>
        </w:tc>
        <w:tc>
          <w:tcPr>
            <w:tcW w:w="0" w:type="auto"/>
            <w:vAlign w:val="center"/>
            <w:hideMark/>
          </w:tcPr>
          <w:p w14:paraId="0CC04736"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Purpose</w:t>
            </w:r>
          </w:p>
        </w:tc>
        <w:tc>
          <w:tcPr>
            <w:tcW w:w="0" w:type="auto"/>
            <w:vAlign w:val="center"/>
            <w:hideMark/>
          </w:tcPr>
          <w:p w14:paraId="4778AC32"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Key Tools</w:t>
            </w:r>
          </w:p>
        </w:tc>
        <w:tc>
          <w:tcPr>
            <w:tcW w:w="0" w:type="auto"/>
            <w:vAlign w:val="center"/>
            <w:hideMark/>
          </w:tcPr>
          <w:p w14:paraId="7B72E23C"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Alignment Requirement</w:t>
            </w:r>
          </w:p>
        </w:tc>
      </w:tr>
      <w:tr w:rsidR="003C3483" w:rsidRPr="009574C1" w14:paraId="6F6EA7E7" w14:textId="77777777">
        <w:tc>
          <w:tcPr>
            <w:tcW w:w="0" w:type="auto"/>
            <w:vAlign w:val="center"/>
            <w:hideMark/>
          </w:tcPr>
          <w:p w14:paraId="138355E3"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Weekly</w:t>
            </w:r>
          </w:p>
        </w:tc>
        <w:tc>
          <w:tcPr>
            <w:tcW w:w="0" w:type="auto"/>
            <w:vAlign w:val="center"/>
            <w:hideMark/>
          </w:tcPr>
          <w:p w14:paraId="3082AE26"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Macro Bias</w:t>
            </w:r>
          </w:p>
        </w:tc>
        <w:tc>
          <w:tcPr>
            <w:tcW w:w="0" w:type="auto"/>
            <w:vAlign w:val="center"/>
            <w:hideMark/>
          </w:tcPr>
          <w:p w14:paraId="205FAE21"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30-Week SMA, Mansfield RS</w:t>
            </w:r>
          </w:p>
        </w:tc>
        <w:tc>
          <w:tcPr>
            <w:tcW w:w="0" w:type="auto"/>
            <w:vAlign w:val="center"/>
            <w:hideMark/>
          </w:tcPr>
          <w:p w14:paraId="11A7DA4E"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Price must be in Stage 2</w:t>
            </w:r>
          </w:p>
        </w:tc>
      </w:tr>
      <w:tr w:rsidR="003C3483" w:rsidRPr="009574C1" w14:paraId="71B224DE" w14:textId="77777777">
        <w:tc>
          <w:tcPr>
            <w:tcW w:w="0" w:type="auto"/>
            <w:vAlign w:val="center"/>
            <w:hideMark/>
          </w:tcPr>
          <w:p w14:paraId="032C4F02"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Daily</w:t>
            </w:r>
          </w:p>
        </w:tc>
        <w:tc>
          <w:tcPr>
            <w:tcW w:w="0" w:type="auto"/>
            <w:vAlign w:val="center"/>
            <w:hideMark/>
          </w:tcPr>
          <w:p w14:paraId="55DFA1D1"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Structural Setup</w:t>
            </w:r>
          </w:p>
        </w:tc>
        <w:tc>
          <w:tcPr>
            <w:tcW w:w="0" w:type="auto"/>
            <w:vAlign w:val="center"/>
            <w:hideMark/>
          </w:tcPr>
          <w:p w14:paraId="7F4FC191"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50-Day SMA, VCP Patterns, VDU</w:t>
            </w:r>
          </w:p>
        </w:tc>
        <w:tc>
          <w:tcPr>
            <w:tcW w:w="0" w:type="auto"/>
            <w:vAlign w:val="center"/>
            <w:hideMark/>
          </w:tcPr>
          <w:p w14:paraId="31C1C513"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Pattern must be tight (low volatility)</w:t>
            </w:r>
          </w:p>
        </w:tc>
      </w:tr>
      <w:tr w:rsidR="003C3483" w:rsidRPr="009574C1" w14:paraId="5452E698" w14:textId="77777777">
        <w:tc>
          <w:tcPr>
            <w:tcW w:w="0" w:type="auto"/>
            <w:vAlign w:val="center"/>
            <w:hideMark/>
          </w:tcPr>
          <w:p w14:paraId="5A3D56FA"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Hourly</w:t>
            </w:r>
          </w:p>
        </w:tc>
        <w:tc>
          <w:tcPr>
            <w:tcW w:w="0" w:type="auto"/>
            <w:vAlign w:val="center"/>
            <w:hideMark/>
          </w:tcPr>
          <w:p w14:paraId="7E3E983F"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Execution Trigger</w:t>
            </w:r>
          </w:p>
        </w:tc>
        <w:tc>
          <w:tcPr>
            <w:tcW w:w="0" w:type="auto"/>
            <w:vAlign w:val="center"/>
            <w:hideMark/>
          </w:tcPr>
          <w:p w14:paraId="4263AA83"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10-Period EMA, Hourly Squeeze</w:t>
            </w:r>
          </w:p>
        </w:tc>
        <w:tc>
          <w:tcPr>
            <w:tcW w:w="0" w:type="auto"/>
            <w:vAlign w:val="center"/>
            <w:hideMark/>
          </w:tcPr>
          <w:p w14:paraId="049146B9"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Trigger bar must confirm reversal</w:t>
            </w:r>
          </w:p>
        </w:tc>
      </w:tr>
    </w:tbl>
    <w:p w14:paraId="0B6548B0"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By aligning these three layers, the trader ensures they are not "zoomed in" too far to miss the forest for the trees, nor "zoomed out" so far that their stop-loss levels are unacceptably </w:t>
      </w:r>
      <w:proofErr w:type="gramStart"/>
      <w:r w:rsidRPr="009574C1">
        <w:rPr>
          <w:rFonts w:ascii="Verdana" w:eastAsia="Times New Roman" w:hAnsi="Verdana" w:cs="Times New Roman"/>
          <w:kern w:val="0"/>
          <w:lang w:eastAsia="en-IN"/>
          <w14:ligatures w14:val="none"/>
        </w:rPr>
        <w:t>wide.[</w:t>
      </w:r>
      <w:proofErr w:type="gramEnd"/>
      <w:r w:rsidRPr="009574C1">
        <w:rPr>
          <w:rFonts w:ascii="Verdana" w:eastAsia="Times New Roman" w:hAnsi="Verdana" w:cs="Times New Roman"/>
          <w:kern w:val="0"/>
          <w:lang w:eastAsia="en-IN"/>
          <w14:ligatures w14:val="none"/>
        </w:rPr>
        <w:t>25, 26, 27]</w:t>
      </w:r>
    </w:p>
    <w:p w14:paraId="47A237E4"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Hourly Volatility Filter: Squeeze Entries</w:t>
      </w:r>
    </w:p>
    <w:p w14:paraId="35470942"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A sophisticated technique for timing daily pullbacks involves the use of the TTM Squeeze indicator on the hourly </w:t>
      </w:r>
      <w:proofErr w:type="gramStart"/>
      <w:r w:rsidRPr="009574C1">
        <w:rPr>
          <w:rFonts w:ascii="Verdana" w:eastAsia="Times New Roman" w:hAnsi="Verdana" w:cs="Times New Roman"/>
          <w:kern w:val="0"/>
          <w:lang w:eastAsia="en-IN"/>
          <w14:ligatures w14:val="none"/>
        </w:rPr>
        <w:t>chart.[</w:t>
      </w:r>
      <w:proofErr w:type="gramEnd"/>
      <w:r w:rsidRPr="009574C1">
        <w:rPr>
          <w:rFonts w:ascii="Verdana" w:eastAsia="Times New Roman" w:hAnsi="Verdana" w:cs="Times New Roman"/>
          <w:kern w:val="0"/>
          <w:lang w:eastAsia="en-IN"/>
          <w14:ligatures w14:val="none"/>
        </w:rPr>
        <w:t xml:space="preserve">15, 28] A "squeeze" occurs when the Bollinger Bands (which measure standard deviation) move inside the Keltner Channels (which measure Average True Range). This signifies an extreme period of </w:t>
      </w:r>
      <w:proofErr w:type="gramStart"/>
      <w:r w:rsidRPr="009574C1">
        <w:rPr>
          <w:rFonts w:ascii="Verdana" w:eastAsia="Times New Roman" w:hAnsi="Verdana" w:cs="Times New Roman"/>
          <w:kern w:val="0"/>
          <w:lang w:eastAsia="en-IN"/>
          <w14:ligatures w14:val="none"/>
        </w:rPr>
        <w:t>compression.[</w:t>
      </w:r>
      <w:proofErr w:type="gramEnd"/>
      <w:r w:rsidRPr="009574C1">
        <w:rPr>
          <w:rFonts w:ascii="Verdana" w:eastAsia="Times New Roman" w:hAnsi="Verdana" w:cs="Times New Roman"/>
          <w:kern w:val="0"/>
          <w:lang w:eastAsia="en-IN"/>
          <w14:ligatures w14:val="none"/>
        </w:rPr>
        <w:t xml:space="preserve">15, 29] For a positional trader in a Stage 2 advance, an hourly squeeze that "fires" to the upside after a daily pullback represents a high-probability entry point with immediate </w:t>
      </w:r>
      <w:proofErr w:type="gramStart"/>
      <w:r w:rsidRPr="009574C1">
        <w:rPr>
          <w:rFonts w:ascii="Verdana" w:eastAsia="Times New Roman" w:hAnsi="Verdana" w:cs="Times New Roman"/>
          <w:kern w:val="0"/>
          <w:lang w:eastAsia="en-IN"/>
          <w14:ligatures w14:val="none"/>
        </w:rPr>
        <w:t>momentum.[</w:t>
      </w:r>
      <w:proofErr w:type="gramEnd"/>
      <w:r w:rsidRPr="009574C1">
        <w:rPr>
          <w:rFonts w:ascii="Verdana" w:eastAsia="Times New Roman" w:hAnsi="Verdana" w:cs="Times New Roman"/>
          <w:kern w:val="0"/>
          <w:lang w:eastAsia="en-IN"/>
          <w14:ligatures w14:val="none"/>
        </w:rPr>
        <w:t>28, 30, 31]</w:t>
      </w:r>
    </w:p>
    <w:p w14:paraId="013B043E" w14:textId="77777777" w:rsidR="003C3483" w:rsidRPr="00772CB1" w:rsidRDefault="003C3483" w:rsidP="003C3483">
      <w:pPr>
        <w:spacing w:before="120" w:line="300" w:lineRule="auto"/>
        <w:rPr>
          <w:rFonts w:ascii="Verdana" w:eastAsia="Times New Roman" w:hAnsi="Verdana" w:cs="Times New Roman"/>
          <w:b/>
          <w:bCs/>
          <w:kern w:val="0"/>
          <w:lang w:eastAsia="en-IN"/>
          <w14:ligatures w14:val="none"/>
        </w:rPr>
      </w:pPr>
      <w:r w:rsidRPr="00772CB1">
        <w:rPr>
          <w:rFonts w:ascii="Verdana" w:eastAsia="Times New Roman" w:hAnsi="Verdana" w:cs="Times New Roman"/>
          <w:b/>
          <w:bCs/>
          <w:kern w:val="0"/>
          <w:lang w:eastAsia="en-IN"/>
          <w14:ligatures w14:val="none"/>
        </w:rPr>
        <w:t>Volatility and Momentum Filtering: Keltner Channels and ADX</w:t>
      </w:r>
    </w:p>
    <w:p w14:paraId="501E7B24"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To filter out low-probability setups, modern traders use volatility-based boundaries and trend-strength oscillators to confirm the quality of a Stage 2 </w:t>
      </w:r>
      <w:proofErr w:type="gramStart"/>
      <w:r w:rsidRPr="009574C1">
        <w:rPr>
          <w:rFonts w:ascii="Verdana" w:eastAsia="Times New Roman" w:hAnsi="Verdana" w:cs="Times New Roman"/>
          <w:kern w:val="0"/>
          <w:lang w:eastAsia="en-IN"/>
          <w14:ligatures w14:val="none"/>
        </w:rPr>
        <w:t>move.[</w:t>
      </w:r>
      <w:proofErr w:type="gramEnd"/>
      <w:r w:rsidRPr="009574C1">
        <w:rPr>
          <w:rFonts w:ascii="Verdana" w:eastAsia="Times New Roman" w:hAnsi="Verdana" w:cs="Times New Roman"/>
          <w:kern w:val="0"/>
          <w:lang w:eastAsia="en-IN"/>
          <w14:ligatures w14:val="none"/>
        </w:rPr>
        <w:t>32, 33, 34]</w:t>
      </w:r>
    </w:p>
    <w:p w14:paraId="3C66EBE5"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Keltner Channels as Dynamic Envelopes</w:t>
      </w:r>
    </w:p>
    <w:p w14:paraId="537490FF"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Keltner Channels consist of an Exponential Moving Average (EMA) and upper/lower bands calculated using the Average True Range (ATR</w:t>
      </w:r>
      <w:proofErr w:type="gramStart"/>
      <w:r w:rsidRPr="009574C1">
        <w:rPr>
          <w:rFonts w:ascii="Verdana" w:eastAsia="Times New Roman" w:hAnsi="Verdana" w:cs="Times New Roman"/>
          <w:kern w:val="0"/>
          <w:lang w:eastAsia="en-IN"/>
          <w14:ligatures w14:val="none"/>
        </w:rPr>
        <w:t>).[</w:t>
      </w:r>
      <w:proofErr w:type="gramEnd"/>
      <w:r w:rsidRPr="009574C1">
        <w:rPr>
          <w:rFonts w:ascii="Verdana" w:eastAsia="Times New Roman" w:hAnsi="Verdana" w:cs="Times New Roman"/>
          <w:kern w:val="0"/>
          <w:lang w:eastAsia="en-IN"/>
          <w14:ligatures w14:val="none"/>
        </w:rPr>
        <w:t>32, 35] The formula is as follows:</w:t>
      </w:r>
    </w:p>
    <w:p w14:paraId="39EB7A8D"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In a strong Stage 2 uptrend, the price will often "hug" the upper Keltner Channel. A pullback that settles on the middle EMA line while the bands are narrowing is a classic "low-volatility" entry </w:t>
      </w:r>
      <w:proofErr w:type="gramStart"/>
      <w:r w:rsidRPr="009574C1">
        <w:rPr>
          <w:rFonts w:ascii="Verdana" w:eastAsia="Times New Roman" w:hAnsi="Verdana" w:cs="Times New Roman"/>
          <w:kern w:val="0"/>
          <w:lang w:eastAsia="en-IN"/>
          <w14:ligatures w14:val="none"/>
        </w:rPr>
        <w:t>signal.[</w:t>
      </w:r>
      <w:proofErr w:type="gramEnd"/>
      <w:r w:rsidRPr="009574C1">
        <w:rPr>
          <w:rFonts w:ascii="Verdana" w:eastAsia="Times New Roman" w:hAnsi="Verdana" w:cs="Times New Roman"/>
          <w:kern w:val="0"/>
          <w:lang w:eastAsia="en-IN"/>
          <w14:ligatures w14:val="none"/>
        </w:rPr>
        <w:t xml:space="preserve">30, 32, 36] Keltner Channels are often preferred over Bollinger Bands by positional traders </w:t>
      </w:r>
      <w:r w:rsidRPr="009574C1">
        <w:rPr>
          <w:rFonts w:ascii="Verdana" w:eastAsia="Times New Roman" w:hAnsi="Verdana" w:cs="Times New Roman"/>
          <w:kern w:val="0"/>
          <w:lang w:eastAsia="en-IN"/>
          <w14:ligatures w14:val="none"/>
        </w:rPr>
        <w:lastRenderedPageBreak/>
        <w:t xml:space="preserve">because the ATR-based bands are smoother and less prone to "noise" caused by sudden price </w:t>
      </w:r>
      <w:proofErr w:type="gramStart"/>
      <w:r w:rsidRPr="009574C1">
        <w:rPr>
          <w:rFonts w:ascii="Verdana" w:eastAsia="Times New Roman" w:hAnsi="Verdana" w:cs="Times New Roman"/>
          <w:kern w:val="0"/>
          <w:lang w:eastAsia="en-IN"/>
          <w14:ligatures w14:val="none"/>
        </w:rPr>
        <w:t>spikes.[</w:t>
      </w:r>
      <w:proofErr w:type="gramEnd"/>
      <w:r w:rsidRPr="009574C1">
        <w:rPr>
          <w:rFonts w:ascii="Verdana" w:eastAsia="Times New Roman" w:hAnsi="Verdana" w:cs="Times New Roman"/>
          <w:kern w:val="0"/>
          <w:lang w:eastAsia="en-IN"/>
          <w14:ligatures w14:val="none"/>
        </w:rPr>
        <w:t>3, 32, 35]</w:t>
      </w:r>
    </w:p>
    <w:p w14:paraId="19C94CFD" w14:textId="77777777" w:rsidR="003C3483" w:rsidRPr="003B58BC" w:rsidRDefault="003C3483" w:rsidP="003C3483">
      <w:pPr>
        <w:spacing w:before="120" w:line="300" w:lineRule="auto"/>
        <w:rPr>
          <w:rFonts w:ascii="Verdana" w:eastAsia="Times New Roman" w:hAnsi="Verdana" w:cs="Times New Roman"/>
          <w:b/>
          <w:bCs/>
          <w:kern w:val="0"/>
          <w:lang w:eastAsia="en-IN"/>
          <w14:ligatures w14:val="none"/>
        </w:rPr>
      </w:pPr>
      <w:r w:rsidRPr="003B58BC">
        <w:rPr>
          <w:rFonts w:ascii="Verdana" w:eastAsia="Times New Roman" w:hAnsi="Verdana" w:cs="Times New Roman"/>
          <w:b/>
          <w:bCs/>
          <w:kern w:val="0"/>
          <w:lang w:eastAsia="en-IN"/>
          <w14:ligatures w14:val="none"/>
        </w:rPr>
        <w:t>ADX and RSI: Measuring Trend Quality</w:t>
      </w:r>
    </w:p>
    <w:p w14:paraId="5A9B509D"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The Average Directional Index (ADX) provides an objective measure of trend strength. A reading above 25 suggests a strong trend is in place, while a reading above 40 indicates a climactic or overextended </w:t>
      </w:r>
      <w:proofErr w:type="gramStart"/>
      <w:r w:rsidRPr="009574C1">
        <w:rPr>
          <w:rFonts w:ascii="Verdana" w:eastAsia="Times New Roman" w:hAnsi="Verdana" w:cs="Times New Roman"/>
          <w:kern w:val="0"/>
          <w:lang w:eastAsia="en-IN"/>
          <w14:ligatures w14:val="none"/>
        </w:rPr>
        <w:t>state.[</w:t>
      </w:r>
      <w:proofErr w:type="gramEnd"/>
      <w:r w:rsidRPr="009574C1">
        <w:rPr>
          <w:rFonts w:ascii="Verdana" w:eastAsia="Times New Roman" w:hAnsi="Verdana" w:cs="Times New Roman"/>
          <w:kern w:val="0"/>
          <w:lang w:eastAsia="en-IN"/>
          <w14:ligatures w14:val="none"/>
        </w:rPr>
        <w:t>33, 34] The positional trader looks for an ADX that is rising from the 20 level, as this confirms the start of a new Stage 2 advance.</w:t>
      </w:r>
    </w:p>
    <w:p w14:paraId="1370748C"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The Relative Strength Index (RSI) is used to monitor momentum shifts. In a healthy Stage 2 advance, the RSI should ideally stay above 50. A "pullback" entry is particularly potent when the RSI dips to the 40-45 range while the higher-timeframe ADX remains strong, suggesting a temporary pause in a powerful trend rather than a </w:t>
      </w:r>
      <w:proofErr w:type="gramStart"/>
      <w:r w:rsidRPr="009574C1">
        <w:rPr>
          <w:rFonts w:ascii="Verdana" w:eastAsia="Times New Roman" w:hAnsi="Verdana" w:cs="Times New Roman"/>
          <w:kern w:val="0"/>
          <w:lang w:eastAsia="en-IN"/>
          <w14:ligatures w14:val="none"/>
        </w:rPr>
        <w:t>reversal.[</w:t>
      </w:r>
      <w:proofErr w:type="gramEnd"/>
      <w:r w:rsidRPr="009574C1">
        <w:rPr>
          <w:rFonts w:ascii="Verdana" w:eastAsia="Times New Roman" w:hAnsi="Verdana" w:cs="Times New Roman"/>
          <w:kern w:val="0"/>
          <w:lang w:eastAsia="en-IN"/>
          <w14:ligatures w14:val="none"/>
        </w:rPr>
        <w:t>33, 37]</w:t>
      </w:r>
    </w:p>
    <w:p w14:paraId="5C33ECB5"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Risk Management: Progressive Exposure and Volatility-Adjusted Stops</w:t>
      </w:r>
    </w:p>
    <w:p w14:paraId="4F0CD164"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Expert-level positional trading is fundamentally a game of risk management. The "Progressive Exposure" (PE) method, championed by Mark Minervini, is the primary framework for scaling capital based on market </w:t>
      </w:r>
      <w:proofErr w:type="gramStart"/>
      <w:r w:rsidRPr="009574C1">
        <w:rPr>
          <w:rFonts w:ascii="Verdana" w:eastAsia="Times New Roman" w:hAnsi="Verdana" w:cs="Times New Roman"/>
          <w:kern w:val="0"/>
          <w:lang w:eastAsia="en-IN"/>
          <w14:ligatures w14:val="none"/>
        </w:rPr>
        <w:t>feedback.[</w:t>
      </w:r>
      <w:proofErr w:type="gramEnd"/>
      <w:r w:rsidRPr="009574C1">
        <w:rPr>
          <w:rFonts w:ascii="Verdana" w:eastAsia="Times New Roman" w:hAnsi="Verdana" w:cs="Times New Roman"/>
          <w:kern w:val="0"/>
          <w:lang w:eastAsia="en-IN"/>
          <w14:ligatures w14:val="none"/>
        </w:rPr>
        <w:t>16, 38]</w:t>
      </w:r>
    </w:p>
    <w:p w14:paraId="39C9C9E9"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Principles of Progressive Exposure</w:t>
      </w:r>
    </w:p>
    <w:p w14:paraId="0D53CEA8"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The core philosophy of PE is to increase risk when the market is rewarding you and to decrease risk when it is </w:t>
      </w:r>
      <w:proofErr w:type="gramStart"/>
      <w:r w:rsidRPr="009574C1">
        <w:rPr>
          <w:rFonts w:ascii="Verdana" w:eastAsia="Times New Roman" w:hAnsi="Verdana" w:cs="Times New Roman"/>
          <w:kern w:val="0"/>
          <w:lang w:eastAsia="en-IN"/>
          <w14:ligatures w14:val="none"/>
        </w:rPr>
        <w:t>not.[</w:t>
      </w:r>
      <w:proofErr w:type="gramEnd"/>
      <w:r w:rsidRPr="009574C1">
        <w:rPr>
          <w:rFonts w:ascii="Verdana" w:eastAsia="Times New Roman" w:hAnsi="Verdana" w:cs="Times New Roman"/>
          <w:kern w:val="0"/>
          <w:lang w:eastAsia="en-IN"/>
          <w14:ligatures w14:val="none"/>
        </w:rPr>
        <w:t>16, 38] The process follows a strict sequence:</w:t>
      </w:r>
    </w:p>
    <w:p w14:paraId="632BC2CB"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1. </w:t>
      </w:r>
      <w:r w:rsidRPr="009574C1">
        <w:rPr>
          <w:rFonts w:ascii="Verdana" w:eastAsia="Times New Roman" w:hAnsi="Verdana" w:cs="Times New Roman"/>
          <w:b/>
          <w:bCs/>
          <w:kern w:val="0"/>
          <w:lang w:eastAsia="en-IN"/>
          <w14:ligatures w14:val="none"/>
        </w:rPr>
        <w:t>Pilot Buys:</w:t>
      </w:r>
      <w:r w:rsidRPr="009574C1">
        <w:rPr>
          <w:rFonts w:ascii="Verdana" w:eastAsia="Times New Roman" w:hAnsi="Verdana" w:cs="Times New Roman"/>
          <w:kern w:val="0"/>
          <w:lang w:eastAsia="en-IN"/>
          <w14:ligatures w14:val="none"/>
        </w:rPr>
        <w:t xml:space="preserve"> Start with small, "test" positions (typically 25% to 50% of a full position). These are used to "probe" the market and see if the current environment is conducive to your </w:t>
      </w:r>
      <w:proofErr w:type="gramStart"/>
      <w:r w:rsidRPr="009574C1">
        <w:rPr>
          <w:rFonts w:ascii="Verdana" w:eastAsia="Times New Roman" w:hAnsi="Verdana" w:cs="Times New Roman"/>
          <w:kern w:val="0"/>
          <w:lang w:eastAsia="en-IN"/>
          <w14:ligatures w14:val="none"/>
        </w:rPr>
        <w:t>strategy.[</w:t>
      </w:r>
      <w:proofErr w:type="gramEnd"/>
      <w:r w:rsidRPr="009574C1">
        <w:rPr>
          <w:rFonts w:ascii="Verdana" w:eastAsia="Times New Roman" w:hAnsi="Verdana" w:cs="Times New Roman"/>
          <w:kern w:val="0"/>
          <w:lang w:eastAsia="en-IN"/>
          <w14:ligatures w14:val="none"/>
        </w:rPr>
        <w:t>19, 38]</w:t>
      </w:r>
    </w:p>
    <w:p w14:paraId="20DCD5B1"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2. </w:t>
      </w:r>
      <w:r w:rsidRPr="009574C1">
        <w:rPr>
          <w:rFonts w:ascii="Verdana" w:eastAsia="Times New Roman" w:hAnsi="Verdana" w:cs="Times New Roman"/>
          <w:b/>
          <w:bCs/>
          <w:kern w:val="0"/>
          <w:lang w:eastAsia="en-IN"/>
          <w14:ligatures w14:val="none"/>
        </w:rPr>
        <w:t>Financing Risk:</w:t>
      </w:r>
      <w:r w:rsidRPr="009574C1">
        <w:rPr>
          <w:rFonts w:ascii="Verdana" w:eastAsia="Times New Roman" w:hAnsi="Verdana" w:cs="Times New Roman"/>
          <w:kern w:val="0"/>
          <w:lang w:eastAsia="en-IN"/>
          <w14:ligatures w14:val="none"/>
        </w:rPr>
        <w:t> If the pilot position moves into a profit, that profit is used to "finance" the risk of adding more shares or opening a second position. This ensures that the trader is never over-leveraged when the market is choppy.[16]</w:t>
      </w:r>
    </w:p>
    <w:p w14:paraId="52FEA903"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3. </w:t>
      </w:r>
      <w:r w:rsidRPr="009574C1">
        <w:rPr>
          <w:rFonts w:ascii="Verdana" w:eastAsia="Times New Roman" w:hAnsi="Verdana" w:cs="Times New Roman"/>
          <w:b/>
          <w:bCs/>
          <w:kern w:val="0"/>
          <w:lang w:eastAsia="en-IN"/>
          <w14:ligatures w14:val="none"/>
        </w:rPr>
        <w:t>Scaling to Full Aggression:</w:t>
      </w:r>
      <w:r w:rsidRPr="009574C1">
        <w:rPr>
          <w:rFonts w:ascii="Verdana" w:eastAsia="Times New Roman" w:hAnsi="Verdana" w:cs="Times New Roman"/>
          <w:kern w:val="0"/>
          <w:lang w:eastAsia="en-IN"/>
          <w14:ligatures w14:val="none"/>
        </w:rPr>
        <w:t xml:space="preserve"> Only after several positions have shown "follow-through" (profitable moves soon after entry) does the trader move to full position sizes and high portfolio </w:t>
      </w:r>
      <w:proofErr w:type="gramStart"/>
      <w:r w:rsidRPr="009574C1">
        <w:rPr>
          <w:rFonts w:ascii="Verdana" w:eastAsia="Times New Roman" w:hAnsi="Verdana" w:cs="Times New Roman"/>
          <w:kern w:val="0"/>
          <w:lang w:eastAsia="en-IN"/>
          <w14:ligatures w14:val="none"/>
        </w:rPr>
        <w:t>exposure.[</w:t>
      </w:r>
      <w:proofErr w:type="gramEnd"/>
      <w:r w:rsidRPr="009574C1">
        <w:rPr>
          <w:rFonts w:ascii="Verdana" w:eastAsia="Times New Roman" w:hAnsi="Verdana" w:cs="Times New Roman"/>
          <w:kern w:val="0"/>
          <w:lang w:eastAsia="en-IN"/>
          <w14:ligatures w14:val="none"/>
        </w:rPr>
        <w:t>19, 38, 39]</w:t>
      </w:r>
    </w:p>
    <w:p w14:paraId="0EA6BD65"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lastRenderedPageBreak/>
        <w:t>4. </w:t>
      </w:r>
      <w:r w:rsidRPr="009574C1">
        <w:rPr>
          <w:rFonts w:ascii="Verdana" w:eastAsia="Times New Roman" w:hAnsi="Verdana" w:cs="Times New Roman"/>
          <w:b/>
          <w:bCs/>
          <w:kern w:val="0"/>
          <w:lang w:eastAsia="en-IN"/>
          <w14:ligatures w14:val="none"/>
        </w:rPr>
        <w:t>Cranking Down the Throttle:</w:t>
      </w:r>
      <w:r w:rsidRPr="009574C1">
        <w:rPr>
          <w:rFonts w:ascii="Verdana" w:eastAsia="Times New Roman" w:hAnsi="Verdana" w:cs="Times New Roman"/>
          <w:kern w:val="0"/>
          <w:lang w:eastAsia="en-IN"/>
          <w14:ligatures w14:val="none"/>
        </w:rPr>
        <w:t xml:space="preserve"> If trades begin to result in losses, the trader must immediately reduce position sizes and move toward cash. This prevents the "boom-and-bust" equity curve that plagues most retail </w:t>
      </w:r>
      <w:proofErr w:type="gramStart"/>
      <w:r w:rsidRPr="009574C1">
        <w:rPr>
          <w:rFonts w:ascii="Verdana" w:eastAsia="Times New Roman" w:hAnsi="Verdana" w:cs="Times New Roman"/>
          <w:kern w:val="0"/>
          <w:lang w:eastAsia="en-IN"/>
          <w14:ligatures w14:val="none"/>
        </w:rPr>
        <w:t>traders.[</w:t>
      </w:r>
      <w:proofErr w:type="gramEnd"/>
      <w:r w:rsidRPr="009574C1">
        <w:rPr>
          <w:rFonts w:ascii="Verdana" w:eastAsia="Times New Roman" w:hAnsi="Verdana" w:cs="Times New Roman"/>
          <w:kern w:val="0"/>
          <w:lang w:eastAsia="en-IN"/>
          <w14:ligatures w14:val="none"/>
        </w:rPr>
        <w:t>16, 38]</w:t>
      </w:r>
    </w:p>
    <w:tbl>
      <w:tblPr>
        <w:tblW w:w="0" w:type="auto"/>
        <w:tblCellMar>
          <w:top w:w="15" w:type="dxa"/>
          <w:left w:w="15" w:type="dxa"/>
          <w:bottom w:w="15" w:type="dxa"/>
          <w:right w:w="15" w:type="dxa"/>
        </w:tblCellMar>
        <w:tblLook w:val="04A0" w:firstRow="1" w:lastRow="0" w:firstColumn="1" w:lastColumn="0" w:noHBand="0" w:noVBand="1"/>
      </w:tblPr>
      <w:tblGrid>
        <w:gridCol w:w="1734"/>
        <w:gridCol w:w="2254"/>
        <w:gridCol w:w="2578"/>
        <w:gridCol w:w="2460"/>
      </w:tblGrid>
      <w:tr w:rsidR="003C3483" w:rsidRPr="009574C1" w14:paraId="7B3B7306" w14:textId="77777777">
        <w:tc>
          <w:tcPr>
            <w:tcW w:w="0" w:type="auto"/>
            <w:vAlign w:val="center"/>
            <w:hideMark/>
          </w:tcPr>
          <w:p w14:paraId="2DBC9559"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Exposure Level</w:t>
            </w:r>
          </w:p>
        </w:tc>
        <w:tc>
          <w:tcPr>
            <w:tcW w:w="0" w:type="auto"/>
            <w:vAlign w:val="center"/>
            <w:hideMark/>
          </w:tcPr>
          <w:p w14:paraId="36BA4003"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Strategy Phase</w:t>
            </w:r>
          </w:p>
        </w:tc>
        <w:tc>
          <w:tcPr>
            <w:tcW w:w="0" w:type="auto"/>
            <w:vAlign w:val="center"/>
            <w:hideMark/>
          </w:tcPr>
          <w:p w14:paraId="22369446"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Risk Per Trade (% of Equity)</w:t>
            </w:r>
          </w:p>
        </w:tc>
        <w:tc>
          <w:tcPr>
            <w:tcW w:w="0" w:type="auto"/>
            <w:vAlign w:val="center"/>
            <w:hideMark/>
          </w:tcPr>
          <w:p w14:paraId="22E30B76"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Position Size (% of Equity)</w:t>
            </w:r>
          </w:p>
        </w:tc>
      </w:tr>
      <w:tr w:rsidR="003C3483" w:rsidRPr="009574C1" w14:paraId="5585C18A" w14:textId="77777777">
        <w:tc>
          <w:tcPr>
            <w:tcW w:w="0" w:type="auto"/>
            <w:vAlign w:val="center"/>
            <w:hideMark/>
          </w:tcPr>
          <w:p w14:paraId="32B8A01F"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Testing</w:t>
            </w:r>
          </w:p>
        </w:tc>
        <w:tc>
          <w:tcPr>
            <w:tcW w:w="0" w:type="auto"/>
            <w:vAlign w:val="center"/>
            <w:hideMark/>
          </w:tcPr>
          <w:p w14:paraId="6FE39150"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Cautious / New Trend</w:t>
            </w:r>
          </w:p>
        </w:tc>
        <w:tc>
          <w:tcPr>
            <w:tcW w:w="0" w:type="auto"/>
            <w:vAlign w:val="center"/>
            <w:hideMark/>
          </w:tcPr>
          <w:p w14:paraId="084A91EB"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0.25% - 0.50%</w:t>
            </w:r>
          </w:p>
        </w:tc>
        <w:tc>
          <w:tcPr>
            <w:tcW w:w="0" w:type="auto"/>
            <w:vAlign w:val="center"/>
            <w:hideMark/>
          </w:tcPr>
          <w:p w14:paraId="2FCC8E8F"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5% - 10%</w:t>
            </w:r>
          </w:p>
        </w:tc>
      </w:tr>
      <w:tr w:rsidR="003C3483" w:rsidRPr="009574C1" w14:paraId="43DE1949" w14:textId="77777777">
        <w:tc>
          <w:tcPr>
            <w:tcW w:w="0" w:type="auto"/>
            <w:vAlign w:val="center"/>
            <w:hideMark/>
          </w:tcPr>
          <w:p w14:paraId="075EB0D0"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Normal</w:t>
            </w:r>
          </w:p>
        </w:tc>
        <w:tc>
          <w:tcPr>
            <w:tcW w:w="0" w:type="auto"/>
            <w:vAlign w:val="center"/>
            <w:hideMark/>
          </w:tcPr>
          <w:p w14:paraId="56B1E1B2"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Confirmed / Working</w:t>
            </w:r>
          </w:p>
        </w:tc>
        <w:tc>
          <w:tcPr>
            <w:tcW w:w="0" w:type="auto"/>
            <w:vAlign w:val="center"/>
            <w:hideMark/>
          </w:tcPr>
          <w:p w14:paraId="012C441B"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0.75% - 1.00%</w:t>
            </w:r>
          </w:p>
        </w:tc>
        <w:tc>
          <w:tcPr>
            <w:tcW w:w="0" w:type="auto"/>
            <w:vAlign w:val="center"/>
            <w:hideMark/>
          </w:tcPr>
          <w:p w14:paraId="1A3D7C81"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15% - 20%</w:t>
            </w:r>
          </w:p>
        </w:tc>
      </w:tr>
      <w:tr w:rsidR="003C3483" w:rsidRPr="009574C1" w14:paraId="152EE86A" w14:textId="77777777">
        <w:tc>
          <w:tcPr>
            <w:tcW w:w="0" w:type="auto"/>
            <w:vAlign w:val="center"/>
            <w:hideMark/>
          </w:tcPr>
          <w:p w14:paraId="3A7CE23E"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Aggressive</w:t>
            </w:r>
          </w:p>
        </w:tc>
        <w:tc>
          <w:tcPr>
            <w:tcW w:w="0" w:type="auto"/>
            <w:vAlign w:val="center"/>
            <w:hideMark/>
          </w:tcPr>
          <w:p w14:paraId="64004913"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Optimal / High Reward</w:t>
            </w:r>
          </w:p>
        </w:tc>
        <w:tc>
          <w:tcPr>
            <w:tcW w:w="0" w:type="auto"/>
            <w:vAlign w:val="center"/>
            <w:hideMark/>
          </w:tcPr>
          <w:p w14:paraId="7A0054F6"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1.25% - 1.50%</w:t>
            </w:r>
          </w:p>
        </w:tc>
        <w:tc>
          <w:tcPr>
            <w:tcW w:w="0" w:type="auto"/>
            <w:vAlign w:val="center"/>
            <w:hideMark/>
          </w:tcPr>
          <w:p w14:paraId="79C85341"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25%+</w:t>
            </w:r>
          </w:p>
        </w:tc>
      </w:tr>
      <w:tr w:rsidR="003C3483" w:rsidRPr="009574C1" w14:paraId="1AAAA960" w14:textId="77777777">
        <w:tc>
          <w:tcPr>
            <w:tcW w:w="0" w:type="auto"/>
            <w:vAlign w:val="center"/>
            <w:hideMark/>
          </w:tcPr>
          <w:p w14:paraId="4396F177"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b/>
                <w:bCs/>
                <w:kern w:val="0"/>
                <w:lang w:eastAsia="en-IN"/>
                <w14:ligatures w14:val="none"/>
              </w:rPr>
              <w:t>Defensive</w:t>
            </w:r>
          </w:p>
        </w:tc>
        <w:tc>
          <w:tcPr>
            <w:tcW w:w="0" w:type="auto"/>
            <w:vAlign w:val="center"/>
            <w:hideMark/>
          </w:tcPr>
          <w:p w14:paraId="10BA3C99"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Negative Feedback</w:t>
            </w:r>
          </w:p>
        </w:tc>
        <w:tc>
          <w:tcPr>
            <w:tcW w:w="0" w:type="auto"/>
            <w:vAlign w:val="center"/>
            <w:hideMark/>
          </w:tcPr>
          <w:p w14:paraId="53B36F4E"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0% (Cash)</w:t>
            </w:r>
          </w:p>
        </w:tc>
        <w:tc>
          <w:tcPr>
            <w:tcW w:w="0" w:type="auto"/>
            <w:vAlign w:val="center"/>
            <w:hideMark/>
          </w:tcPr>
          <w:p w14:paraId="25C1E63E" w14:textId="77777777" w:rsidR="003C3483" w:rsidRPr="009574C1" w:rsidRDefault="003C3483" w:rsidP="003C3483">
            <w:pPr>
              <w:spacing w:after="0" w:line="24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0% (Cash)</w:t>
            </w:r>
          </w:p>
        </w:tc>
      </w:tr>
    </w:tbl>
    <w:p w14:paraId="20307AFA" w14:textId="77777777" w:rsidR="003C3483" w:rsidRPr="00B804D6" w:rsidRDefault="003C3483" w:rsidP="003C3483">
      <w:pPr>
        <w:spacing w:before="120" w:line="300" w:lineRule="auto"/>
        <w:rPr>
          <w:rFonts w:ascii="Verdana" w:eastAsia="Times New Roman" w:hAnsi="Verdana" w:cs="Times New Roman"/>
          <w:b/>
          <w:bCs/>
          <w:kern w:val="0"/>
          <w:lang w:eastAsia="en-IN"/>
          <w14:ligatures w14:val="none"/>
        </w:rPr>
      </w:pPr>
      <w:r w:rsidRPr="00B804D6">
        <w:rPr>
          <w:rFonts w:ascii="Verdana" w:eastAsia="Times New Roman" w:hAnsi="Verdana" w:cs="Times New Roman"/>
          <w:b/>
          <w:bCs/>
          <w:kern w:val="0"/>
          <w:lang w:eastAsia="en-IN"/>
          <w14:ligatures w14:val="none"/>
        </w:rPr>
        <w:t>ATR-Based Trailing Stops for Trend Following</w:t>
      </w:r>
    </w:p>
    <w:p w14:paraId="7EEA9E03"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To stay in a positional trade through minor volatility, traders use ATR-based trailing stops. This dynamic level adjusts based on the stock’s historical range, preventing the trader from being "shaken out" by normal fluctuations.[40, 41, 42]Typically, a multiplier of 2.0 or 3.0 is used for positional holds.[41, 42] This allows the stock enough "breathing room" to develop its Stage 2 move while providing a definitive exit if the price action violates its volatility-adjusted trend.[41, 43]</w:t>
      </w:r>
    </w:p>
    <w:p w14:paraId="09BCC717"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Integration Phase: Routines, Beliefs, and Performance Auditing</w:t>
      </w:r>
    </w:p>
    <w:p w14:paraId="2A2E6359"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transition from theoretical knowledge to consistently profitable execution requires a structured routine and the development of "sit-out power</w:t>
      </w:r>
      <w:proofErr w:type="gramStart"/>
      <w:r w:rsidRPr="009574C1">
        <w:rPr>
          <w:rFonts w:ascii="Verdana" w:eastAsia="Times New Roman" w:hAnsi="Verdana" w:cs="Times New Roman"/>
          <w:kern w:val="0"/>
          <w:lang w:eastAsia="en-IN"/>
          <w14:ligatures w14:val="none"/>
        </w:rPr>
        <w:t>".[</w:t>
      </w:r>
      <w:proofErr w:type="gramEnd"/>
      <w:r w:rsidRPr="009574C1">
        <w:rPr>
          <w:rFonts w:ascii="Verdana" w:eastAsia="Times New Roman" w:hAnsi="Verdana" w:cs="Times New Roman"/>
          <w:kern w:val="0"/>
          <w:lang w:eastAsia="en-IN"/>
          <w14:ligatures w14:val="none"/>
        </w:rPr>
        <w:t>19, 39]</w:t>
      </w:r>
    </w:p>
    <w:p w14:paraId="50A60454"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Systematic Routine</w:t>
      </w:r>
    </w:p>
    <w:p w14:paraId="0C00F0CC"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A professional positional trader follows a disciplined schedule to filter market noise and focus on high-probability </w:t>
      </w:r>
      <w:proofErr w:type="gramStart"/>
      <w:r w:rsidRPr="009574C1">
        <w:rPr>
          <w:rFonts w:ascii="Verdana" w:eastAsia="Times New Roman" w:hAnsi="Verdana" w:cs="Times New Roman"/>
          <w:kern w:val="0"/>
          <w:lang w:eastAsia="en-IN"/>
          <w14:ligatures w14:val="none"/>
        </w:rPr>
        <w:t>setups.[</w:t>
      </w:r>
      <w:proofErr w:type="gramEnd"/>
      <w:r w:rsidRPr="009574C1">
        <w:rPr>
          <w:rFonts w:ascii="Verdana" w:eastAsia="Times New Roman" w:hAnsi="Verdana" w:cs="Times New Roman"/>
          <w:kern w:val="0"/>
          <w:lang w:eastAsia="en-IN"/>
          <w14:ligatures w14:val="none"/>
        </w:rPr>
        <w:t>39, 44] This includes:</w:t>
      </w:r>
    </w:p>
    <w:p w14:paraId="1B227344"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w:t>
      </w:r>
      <w:r w:rsidRPr="009574C1">
        <w:rPr>
          <w:rFonts w:ascii="Verdana" w:eastAsia="Times New Roman" w:hAnsi="Verdana" w:cs="Times New Roman"/>
          <w:b/>
          <w:bCs/>
          <w:kern w:val="0"/>
          <w:lang w:eastAsia="en-IN"/>
          <w14:ligatures w14:val="none"/>
        </w:rPr>
        <w:t>Daily Post-Analysis:</w:t>
      </w:r>
      <w:r w:rsidRPr="009574C1">
        <w:rPr>
          <w:rFonts w:ascii="Verdana" w:eastAsia="Times New Roman" w:hAnsi="Verdana" w:cs="Times New Roman"/>
          <w:kern w:val="0"/>
          <w:lang w:eastAsia="en-IN"/>
          <w14:ligatures w14:val="none"/>
        </w:rPr>
        <w:t xml:space="preserve"> Reviewing the day's trades to identify where "danger signals" were missed or where entries were </w:t>
      </w:r>
      <w:proofErr w:type="gramStart"/>
      <w:r w:rsidRPr="009574C1">
        <w:rPr>
          <w:rFonts w:ascii="Verdana" w:eastAsia="Times New Roman" w:hAnsi="Verdana" w:cs="Times New Roman"/>
          <w:kern w:val="0"/>
          <w:lang w:eastAsia="en-IN"/>
          <w14:ligatures w14:val="none"/>
        </w:rPr>
        <w:t>chased.[</w:t>
      </w:r>
      <w:proofErr w:type="gramEnd"/>
      <w:r w:rsidRPr="009574C1">
        <w:rPr>
          <w:rFonts w:ascii="Verdana" w:eastAsia="Times New Roman" w:hAnsi="Verdana" w:cs="Times New Roman"/>
          <w:kern w:val="0"/>
          <w:lang w:eastAsia="en-IN"/>
          <w14:ligatures w14:val="none"/>
        </w:rPr>
        <w:t>39, 45]</w:t>
      </w:r>
    </w:p>
    <w:p w14:paraId="13ACB12D"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w:t>
      </w:r>
      <w:r w:rsidRPr="009574C1">
        <w:rPr>
          <w:rFonts w:ascii="Verdana" w:eastAsia="Times New Roman" w:hAnsi="Verdana" w:cs="Times New Roman"/>
          <w:b/>
          <w:bCs/>
          <w:kern w:val="0"/>
          <w:lang w:eastAsia="en-IN"/>
          <w14:ligatures w14:val="none"/>
        </w:rPr>
        <w:t>Weekly Screening:</w:t>
      </w:r>
      <w:r w:rsidRPr="009574C1">
        <w:rPr>
          <w:rFonts w:ascii="Verdana" w:eastAsia="Times New Roman" w:hAnsi="Verdana" w:cs="Times New Roman"/>
          <w:kern w:val="0"/>
          <w:lang w:eastAsia="en-IN"/>
          <w14:ligatures w14:val="none"/>
        </w:rPr>
        <w:t xml:space="preserve"> Scanning the universe for stocks transitioning from Stage 1 to Stage 2 or forming high-quality VCP </w:t>
      </w:r>
      <w:proofErr w:type="gramStart"/>
      <w:r w:rsidRPr="009574C1">
        <w:rPr>
          <w:rFonts w:ascii="Verdana" w:eastAsia="Times New Roman" w:hAnsi="Verdana" w:cs="Times New Roman"/>
          <w:kern w:val="0"/>
          <w:lang w:eastAsia="en-IN"/>
          <w14:ligatures w14:val="none"/>
        </w:rPr>
        <w:t>pullbacks.[</w:t>
      </w:r>
      <w:proofErr w:type="gramEnd"/>
      <w:r w:rsidRPr="009574C1">
        <w:rPr>
          <w:rFonts w:ascii="Verdana" w:eastAsia="Times New Roman" w:hAnsi="Verdana" w:cs="Times New Roman"/>
          <w:kern w:val="0"/>
          <w:lang w:eastAsia="en-IN"/>
          <w14:ligatures w14:val="none"/>
        </w:rPr>
        <w:t>39, 46]</w:t>
      </w:r>
    </w:p>
    <w:p w14:paraId="6315CB09"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lastRenderedPageBreak/>
        <w:t>• </w:t>
      </w:r>
      <w:r w:rsidRPr="009574C1">
        <w:rPr>
          <w:rFonts w:ascii="Verdana" w:eastAsia="Times New Roman" w:hAnsi="Verdana" w:cs="Times New Roman"/>
          <w:b/>
          <w:bCs/>
          <w:kern w:val="0"/>
          <w:lang w:eastAsia="en-IN"/>
          <w14:ligatures w14:val="none"/>
        </w:rPr>
        <w:t>Performance Auditing:</w:t>
      </w:r>
      <w:r w:rsidRPr="009574C1">
        <w:rPr>
          <w:rFonts w:ascii="Verdana" w:eastAsia="Times New Roman" w:hAnsi="Verdana" w:cs="Times New Roman"/>
          <w:kern w:val="0"/>
          <w:lang w:eastAsia="en-IN"/>
          <w14:ligatures w14:val="none"/>
        </w:rPr>
        <w:t xml:space="preserve"> Tracking key metrics such as the win/loss ratio, the average winner vs. average loser, and the average holding </w:t>
      </w:r>
      <w:proofErr w:type="gramStart"/>
      <w:r w:rsidRPr="009574C1">
        <w:rPr>
          <w:rFonts w:ascii="Verdana" w:eastAsia="Times New Roman" w:hAnsi="Verdana" w:cs="Times New Roman"/>
          <w:kern w:val="0"/>
          <w:lang w:eastAsia="en-IN"/>
          <w14:ligatures w14:val="none"/>
        </w:rPr>
        <w:t>period.[</w:t>
      </w:r>
      <w:proofErr w:type="gramEnd"/>
      <w:r w:rsidRPr="009574C1">
        <w:rPr>
          <w:rFonts w:ascii="Verdana" w:eastAsia="Times New Roman" w:hAnsi="Verdana" w:cs="Times New Roman"/>
          <w:kern w:val="0"/>
          <w:lang w:eastAsia="en-IN"/>
          <w14:ligatures w14:val="none"/>
        </w:rPr>
        <w:t>4, 39]</w:t>
      </w:r>
    </w:p>
    <w:p w14:paraId="561B013E"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w:t>
      </w:r>
      <w:r w:rsidRPr="009574C1">
        <w:rPr>
          <w:rFonts w:ascii="Verdana" w:eastAsia="Times New Roman" w:hAnsi="Verdana" w:cs="Times New Roman"/>
          <w:b/>
          <w:bCs/>
          <w:kern w:val="0"/>
          <w:lang w:eastAsia="en-IN"/>
          <w14:ligatures w14:val="none"/>
        </w:rPr>
        <w:t>The "Worst Day Plan":</w:t>
      </w:r>
      <w:r w:rsidRPr="009574C1">
        <w:rPr>
          <w:rFonts w:ascii="Verdana" w:eastAsia="Times New Roman" w:hAnsi="Verdana" w:cs="Times New Roman"/>
          <w:kern w:val="0"/>
          <w:lang w:eastAsia="en-IN"/>
          <w14:ligatures w14:val="none"/>
        </w:rPr>
        <w:t> Maintaining a predefined set of rules for what to do during a flash crash or a major gap-down against a position.[39]</w:t>
      </w:r>
    </w:p>
    <w:p w14:paraId="650B93B8"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Psychological Discipline: Sit-Out Power</w:t>
      </w:r>
    </w:p>
    <w:p w14:paraId="082EDEC7" w14:textId="79AB9A9E"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Perhaps the most difficult skill for a positional trader to master is the ability to stay in cash during </w:t>
      </w:r>
      <w:r w:rsidR="009574C1" w:rsidRPr="009574C1">
        <w:rPr>
          <w:rFonts w:ascii="Verdana" w:eastAsia="Times New Roman" w:hAnsi="Verdana" w:cs="Times New Roman"/>
          <w:kern w:val="0"/>
          <w:lang w:eastAsia="en-IN"/>
          <w14:ligatures w14:val="none"/>
        </w:rPr>
        <w:t>unfavourable</w:t>
      </w:r>
      <w:r w:rsidRPr="009574C1">
        <w:rPr>
          <w:rFonts w:ascii="Verdana" w:eastAsia="Times New Roman" w:hAnsi="Verdana" w:cs="Times New Roman"/>
          <w:kern w:val="0"/>
          <w:lang w:eastAsia="en-IN"/>
          <w14:ligatures w14:val="none"/>
        </w:rPr>
        <w:t xml:space="preserve"> market conditions.[19, 39] Progressive exposure naturally leads a trader into cash when their setups fail to work, but it requires extreme emotional discipline to </w:t>
      </w:r>
      <w:r w:rsidR="009574C1" w:rsidRPr="009574C1">
        <w:rPr>
          <w:rFonts w:ascii="Verdana" w:eastAsia="Times New Roman" w:hAnsi="Verdana" w:cs="Times New Roman"/>
          <w:kern w:val="0"/>
          <w:lang w:eastAsia="en-IN"/>
          <w14:ligatures w14:val="none"/>
        </w:rPr>
        <w:t>honour</w:t>
      </w:r>
      <w:r w:rsidRPr="009574C1">
        <w:rPr>
          <w:rFonts w:ascii="Verdana" w:eastAsia="Times New Roman" w:hAnsi="Verdana" w:cs="Times New Roman"/>
          <w:kern w:val="0"/>
          <w:lang w:eastAsia="en-IN"/>
          <w14:ligatures w14:val="none"/>
        </w:rPr>
        <w:t xml:space="preserve"> those signals.[38, 39] The "Integration Phase" of a trader's development involves aligning their core beliefs with the reality of market cycles, acknowledging that the biggest losses are often prevented by simply "doing nothing" during Stage 4 or choppy Stage 3 environments.[39, 44]</w:t>
      </w:r>
    </w:p>
    <w:p w14:paraId="09251F1C"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Synthesis: The Advanced Positional Pullback Strategy</w:t>
      </w:r>
    </w:p>
    <w:p w14:paraId="70272C17"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The culmination of these strategies results in a unified approach to pullback trading that is both structurally sound and volatility-aware. The modern positional trader identifies a stock in a clear Weinstein Stage 2, supported by strong relative strength and an upward-sloping 30-week </w:t>
      </w:r>
      <w:proofErr w:type="gramStart"/>
      <w:r w:rsidRPr="009574C1">
        <w:rPr>
          <w:rFonts w:ascii="Verdana" w:eastAsia="Times New Roman" w:hAnsi="Verdana" w:cs="Times New Roman"/>
          <w:kern w:val="0"/>
          <w:lang w:eastAsia="en-IN"/>
          <w14:ligatures w14:val="none"/>
        </w:rPr>
        <w:t>SMA.[</w:t>
      </w:r>
      <w:proofErr w:type="gramEnd"/>
      <w:r w:rsidRPr="009574C1">
        <w:rPr>
          <w:rFonts w:ascii="Verdana" w:eastAsia="Times New Roman" w:hAnsi="Verdana" w:cs="Times New Roman"/>
          <w:kern w:val="0"/>
          <w:lang w:eastAsia="en-IN"/>
          <w14:ligatures w14:val="none"/>
        </w:rPr>
        <w:t xml:space="preserve">1, 8, 11] They wait for a consolidation pattern to form, characterized by the volatility contraction markers of the VCP and the volume dry-up signature of the Voodoo </w:t>
      </w:r>
      <w:proofErr w:type="gramStart"/>
      <w:r w:rsidRPr="009574C1">
        <w:rPr>
          <w:rFonts w:ascii="Verdana" w:eastAsia="Times New Roman" w:hAnsi="Verdana" w:cs="Times New Roman"/>
          <w:kern w:val="0"/>
          <w:lang w:eastAsia="en-IN"/>
          <w14:ligatures w14:val="none"/>
        </w:rPr>
        <w:t>concept.[</w:t>
      </w:r>
      <w:proofErr w:type="gramEnd"/>
      <w:r w:rsidRPr="009574C1">
        <w:rPr>
          <w:rFonts w:ascii="Verdana" w:eastAsia="Times New Roman" w:hAnsi="Verdana" w:cs="Times New Roman"/>
          <w:kern w:val="0"/>
          <w:lang w:eastAsia="en-IN"/>
          <w14:ligatures w14:val="none"/>
        </w:rPr>
        <w:t>4, 5]</w:t>
      </w:r>
    </w:p>
    <w:p w14:paraId="29D37407"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The entry is refined by anchoring a VWAP to a significant breakout day or a high-volume gap and waiting for the price to successfully retest that level.[6, 7, 22] Precision timing is achieved by zooming into the 60-minute chart to identify an hourly squeeze or a momentum trigger that confirms the end of the retracement.[15, 30] Once the trade is active, it is managed through a system of Progressive Exposure, scaling into strength and trailing stops using ATR-based volatility filters.[16, 38, 41]</w:t>
      </w:r>
    </w:p>
    <w:p w14:paraId="30170C2E"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 xml:space="preserve">This synthesis represents the cutting edge of positional momentum trading—a framework that respects the timeless principles of price action while leveraging advanced technical tools to thrive in the complex modern market environment. By treating trading as a systematic response to market conditions rather than a series of predictions, the positional trader </w:t>
      </w:r>
      <w:r w:rsidRPr="009574C1">
        <w:rPr>
          <w:rFonts w:ascii="Verdana" w:eastAsia="Times New Roman" w:hAnsi="Verdana" w:cs="Times New Roman"/>
          <w:kern w:val="0"/>
          <w:lang w:eastAsia="en-IN"/>
          <w14:ligatures w14:val="none"/>
        </w:rPr>
        <w:lastRenderedPageBreak/>
        <w:t>can achieve consistent compounding of capital while strictly limiting their exposure to the devastating risks of market downturns.</w:t>
      </w:r>
    </w:p>
    <w:p w14:paraId="7F3B202B" w14:textId="77777777" w:rsidR="003C3483" w:rsidRPr="009574C1" w:rsidRDefault="003C3483" w:rsidP="003C3483">
      <w:pPr>
        <w:spacing w:before="120" w:line="300" w:lineRule="auto"/>
        <w:rPr>
          <w:rFonts w:ascii="Verdana" w:eastAsia="Times New Roman" w:hAnsi="Verdana" w:cs="Times New Roman"/>
          <w:kern w:val="0"/>
          <w:lang w:eastAsia="en-IN"/>
          <w14:ligatures w14:val="none"/>
        </w:rPr>
      </w:pPr>
      <w:r w:rsidRPr="009574C1">
        <w:rPr>
          <w:rFonts w:ascii="Verdana" w:eastAsia="Times New Roman" w:hAnsi="Verdana" w:cs="Times New Roman"/>
          <w:kern w:val="0"/>
          <w:lang w:eastAsia="en-IN"/>
          <w14:ligatures w14:val="none"/>
        </w:rPr>
        <w:t>--------------------------------------------------------------------------------</w:t>
      </w:r>
    </w:p>
    <w:p w14:paraId="1F5BBC47" w14:textId="77777777" w:rsidR="005E2992" w:rsidRPr="009574C1" w:rsidRDefault="005E2992">
      <w:pPr>
        <w:spacing w:before="120" w:line="300" w:lineRule="auto"/>
        <w:rPr>
          <w:rFonts w:ascii="Verdana" w:hAnsi="Verdana"/>
        </w:rPr>
      </w:pPr>
    </w:p>
    <w:sectPr w:rsidR="005E2992" w:rsidRPr="009574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83"/>
    <w:rsid w:val="0001197B"/>
    <w:rsid w:val="000619BF"/>
    <w:rsid w:val="0006719D"/>
    <w:rsid w:val="001605D6"/>
    <w:rsid w:val="00235008"/>
    <w:rsid w:val="003B58BC"/>
    <w:rsid w:val="003C3483"/>
    <w:rsid w:val="005E2992"/>
    <w:rsid w:val="00772CB1"/>
    <w:rsid w:val="0079029A"/>
    <w:rsid w:val="009574C1"/>
    <w:rsid w:val="00AC21BD"/>
    <w:rsid w:val="00B804D6"/>
    <w:rsid w:val="00CA3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9BAEF"/>
  <w15:chartTrackingRefBased/>
  <w15:docId w15:val="{92A55618-A167-47F0-9AC5-D8719C1F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483"/>
    <w:rPr>
      <w:rFonts w:eastAsiaTheme="majorEastAsia" w:cstheme="majorBidi"/>
      <w:color w:val="272727" w:themeColor="text1" w:themeTint="D8"/>
    </w:rPr>
  </w:style>
  <w:style w:type="paragraph" w:styleId="Title">
    <w:name w:val="Title"/>
    <w:basedOn w:val="Normal"/>
    <w:next w:val="Normal"/>
    <w:link w:val="TitleChar"/>
    <w:uiPriority w:val="10"/>
    <w:qFormat/>
    <w:rsid w:val="003C3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483"/>
    <w:pPr>
      <w:spacing w:before="160"/>
      <w:jc w:val="center"/>
    </w:pPr>
    <w:rPr>
      <w:i/>
      <w:iCs/>
      <w:color w:val="404040" w:themeColor="text1" w:themeTint="BF"/>
    </w:rPr>
  </w:style>
  <w:style w:type="character" w:customStyle="1" w:styleId="QuoteChar">
    <w:name w:val="Quote Char"/>
    <w:basedOn w:val="DefaultParagraphFont"/>
    <w:link w:val="Quote"/>
    <w:uiPriority w:val="29"/>
    <w:rsid w:val="003C3483"/>
    <w:rPr>
      <w:i/>
      <w:iCs/>
      <w:color w:val="404040" w:themeColor="text1" w:themeTint="BF"/>
    </w:rPr>
  </w:style>
  <w:style w:type="paragraph" w:styleId="ListParagraph">
    <w:name w:val="List Paragraph"/>
    <w:basedOn w:val="Normal"/>
    <w:uiPriority w:val="34"/>
    <w:qFormat/>
    <w:rsid w:val="003C3483"/>
    <w:pPr>
      <w:ind w:left="720"/>
      <w:contextualSpacing/>
    </w:pPr>
  </w:style>
  <w:style w:type="character" w:styleId="IntenseEmphasis">
    <w:name w:val="Intense Emphasis"/>
    <w:basedOn w:val="DefaultParagraphFont"/>
    <w:uiPriority w:val="21"/>
    <w:qFormat/>
    <w:rsid w:val="003C3483"/>
    <w:rPr>
      <w:i/>
      <w:iCs/>
      <w:color w:val="0F4761" w:themeColor="accent1" w:themeShade="BF"/>
    </w:rPr>
  </w:style>
  <w:style w:type="paragraph" w:styleId="IntenseQuote">
    <w:name w:val="Intense Quote"/>
    <w:basedOn w:val="Normal"/>
    <w:next w:val="Normal"/>
    <w:link w:val="IntenseQuoteChar"/>
    <w:uiPriority w:val="30"/>
    <w:qFormat/>
    <w:rsid w:val="003C3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483"/>
    <w:rPr>
      <w:i/>
      <w:iCs/>
      <w:color w:val="0F4761" w:themeColor="accent1" w:themeShade="BF"/>
    </w:rPr>
  </w:style>
  <w:style w:type="character" w:styleId="IntenseReference">
    <w:name w:val="Intense Reference"/>
    <w:basedOn w:val="DefaultParagraphFont"/>
    <w:uiPriority w:val="32"/>
    <w:qFormat/>
    <w:rsid w:val="003C34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3879</TotalTime>
  <Pages>1</Pages>
  <Words>3384</Words>
  <Characters>17225</Characters>
  <Application>Microsoft Office Word</Application>
  <DocSecurity>0</DocSecurity>
  <Lines>465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Jayram G</dc:creator>
  <cp:keywords/>
  <dc:description/>
  <cp:lastModifiedBy>Jayram G</cp:lastModifiedBy>
  <cp:revision>7</cp:revision>
  <dcterms:created xsi:type="dcterms:W3CDTF">2026-01-01T12:39:00Z</dcterms:created>
  <dcterms:modified xsi:type="dcterms:W3CDTF">2026-01-05T12:22:00Z</dcterms:modified>
</cp:coreProperties>
</file>