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p>
    <w:p>
      <w:pPr>
        <w:spacing w:after="180"/>
        <w:jc w:val="center"/>
      </w:pPr>
      <w:r>
        <w:rPr>
          <w:rFonts w:ascii="Arial" w:cs="Arial" w:eastAsia="Arial" w:hAnsi="Arial"/>
          <w:b/>
          <w:bCs/>
          <w:color w:val="1A237E"/>
          <w:sz w:val="56"/>
          <w:szCs w:val="56"/>
        </w:rPr>
        <w:t xml:space="preserve">THE ULTIMATE TRADING SYSTEM</w:t>
      </w:r>
    </w:p>
    <w:p>
      <w:pPr>
        <w:spacing w:after="120"/>
        <w:jc w:val="center"/>
      </w:pPr>
      <w:r>
        <w:rPr>
          <w:rFonts w:ascii="Arial" w:cs="Arial" w:eastAsia="Arial" w:hAnsi="Arial"/>
          <w:color w:val="546E7A"/>
          <w:sz w:val="28"/>
          <w:szCs w:val="28"/>
        </w:rPr>
        <w:t xml:space="preserve">Comprehensive User Guide &amp; Step-by-Step Trading Manual</w:t>
      </w:r>
    </w:p>
    <w:p>
      <w:pPr>
        <w:pBdr>
          <w:bottom w:val="single" w:color="1A237E" w:sz="6" w:space="12"/>
        </w:pBdr>
        <w:spacing w:after="400"/>
        <w:jc w:val="center"/>
      </w:pPr>
      <w:r>
        <w:rPr>
          <w:rFonts w:ascii="Arial" w:cs="Arial" w:eastAsia="Arial" w:hAnsi="Arial"/>
          <w:i/>
          <w:iCs/>
          <w:color w:val="7986CB"/>
          <w:sz w:val="22"/>
          <w:szCs w:val="22"/>
        </w:rPr>
        <w:t xml:space="preserve">Weinstein Stage Analysis + Minervini Growth Template + Swing Hybrid Engine</w:t>
      </w:r>
    </w:p>
    <w:p>
      <w:pPr>
        <w:spacing w:after="120"/>
      </w:pPr>
    </w:p>
    <w:p>
      <w:pPr>
        <w:spacing w:after="160"/>
        <w:jc w:val="center"/>
      </w:pPr>
      <w:r>
        <w:rPr>
          <w:rFonts w:ascii="Arial" w:cs="Arial" w:eastAsia="Arial" w:hAnsi="Arial"/>
          <w:color w:val="37474F"/>
          <w:sz w:val="22"/>
          <w:szCs w:val="22"/>
        </w:rPr>
        <w:t xml:space="preserve">Covering Four Integrated Pine Script v6 Instruments:</w:t>
      </w:r>
    </w:p>
    <w:p>
      <w:pPr>
        <w:pStyle w:val="ListParagraph"/>
        <w:numPr>
          <w:ilvl w:val="0"/>
          <w:numId w:val="2"/>
        </w:numPr>
        <w:spacing w:after="90"/>
      </w:pPr>
      <w:r>
        <w:rPr>
          <w:rFonts w:ascii="Arial" w:cs="Arial" w:eastAsia="Arial" w:hAnsi="Arial"/>
          <w:sz w:val="22"/>
          <w:szCs w:val="22"/>
        </w:rPr>
        <w:t xml:space="preserve">Weinstein &amp; Swing Pro Dashboard v60.4</w:t>
      </w:r>
    </w:p>
    <w:p>
      <w:pPr>
        <w:pStyle w:val="ListParagraph"/>
        <w:numPr>
          <w:ilvl w:val="0"/>
          <w:numId w:val="2"/>
        </w:numPr>
        <w:spacing w:after="90"/>
      </w:pPr>
      <w:r>
        <w:rPr>
          <w:rFonts w:ascii="Arial" w:cs="Arial" w:eastAsia="Arial" w:hAnsi="Arial"/>
          <w:sz w:val="22"/>
          <w:szCs w:val="22"/>
        </w:rPr>
        <w:t xml:space="preserve">Unified Strategy: Breakout &amp; Pullback v4.2</w:t>
      </w:r>
    </w:p>
    <w:p>
      <w:pPr>
        <w:pStyle w:val="ListParagraph"/>
        <w:numPr>
          <w:ilvl w:val="0"/>
          <w:numId w:val="2"/>
        </w:numPr>
        <w:spacing w:after="90"/>
      </w:pPr>
      <w:r>
        <w:rPr>
          <w:rFonts w:ascii="Arial" w:cs="Arial" w:eastAsia="Arial" w:hAnsi="Arial"/>
          <w:sz w:val="22"/>
          <w:szCs w:val="22"/>
        </w:rPr>
        <w:t xml:space="preserve">Weinstein Swing Zigzag [Strict v5.2]</w:t>
      </w:r>
    </w:p>
    <w:p>
      <w:pPr>
        <w:pStyle w:val="ListParagraph"/>
        <w:numPr>
          <w:ilvl w:val="0"/>
          <w:numId w:val="2"/>
        </w:numPr>
        <w:spacing w:after="90"/>
      </w:pPr>
      <w:r>
        <w:rPr>
          <w:rFonts w:ascii="Arial" w:cs="Arial" w:eastAsia="Arial" w:hAnsi="Arial"/>
          <w:sz w:val="22"/>
          <w:szCs w:val="22"/>
        </w:rPr>
        <w:t xml:space="preserve">Commander Screener Dashboard [ULTIMATE] v3.0</w:t>
      </w:r>
    </w:p>
    <w:p>
      <w:pPr>
        <w:spacing w:after="240"/>
      </w:pPr>
    </w:p>
    <w:p>
      <w:pPr>
        <w:spacing w:after="80"/>
        <w:jc w:val="center"/>
      </w:pPr>
      <w:r>
        <w:rPr>
          <w:rFonts w:ascii="Arial" w:cs="Arial" w:eastAsia="Arial" w:hAnsi="Arial"/>
          <w:color w:val="546E7A"/>
          <w:sz w:val="22"/>
          <w:szCs w:val="22"/>
        </w:rPr>
        <w:t xml:space="preserve">Author: </w:t>
      </w:r>
      <w:r>
        <w:rPr>
          <w:rFonts w:ascii="Arial" w:cs="Arial" w:eastAsia="Arial" w:hAnsi="Arial"/>
          <w:b/>
          <w:bCs/>
          <w:color w:val="1A237E"/>
          <w:sz w:val="22"/>
          <w:szCs w:val="22"/>
        </w:rPr>
        <w:t xml:space="preserve">Jayram G (Jay)</w:t>
      </w:r>
    </w:p>
    <w:p>
      <w:pPr>
        <w:spacing w:after="80"/>
        <w:jc w:val="center"/>
      </w:pPr>
      <w:r>
        <w:rPr>
          <w:rFonts w:ascii="Arial" w:cs="Arial" w:eastAsia="Arial" w:hAnsi="Arial"/>
          <w:color w:val="78909C"/>
          <w:sz w:val="20"/>
          <w:szCs w:val="20"/>
        </w:rPr>
        <w:t xml:space="preserve">Exchange: NSE (India)  |  Version: March 2026  |  Pine Script v6</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Chapter 1: System Overview</w:t>
      </w:r>
    </w:p>
    <w:p>
      <w:pPr>
        <w:spacing w:after="130"/>
      </w:pPr>
      <w:r>
        <w:rPr>
          <w:rFonts w:ascii="Arial" w:cs="Arial" w:eastAsia="Arial" w:hAnsi="Arial"/>
          <w:sz w:val="22"/>
          <w:szCs w:val="22"/>
        </w:rPr>
        <w:t xml:space="preserve">The ULTIMATE Trading System is a unified suite of four TradingView Pine Script v6 instruments designed for systematic, institutional-grade trading on the National Stock Exchange of India (NSE). The system fuses Stan Weinstein’s Stage Analysis with Mark Minervini’s growth stock methodology and quantitative edge filters derived from five years of categorical backtesting.</w:t>
      </w:r>
    </w:p>
    <w:p>
      <w:pPr>
        <w:pStyle w:val="Heading2"/>
      </w:pPr>
      <w:r>
        <w:t xml:space="preserve">1.1 The Four Instruments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4760"/>
      </w:tblGrid>
      <w:tr>
        <w:tc>
          <w:tcPr>
            <w:tcW w:type="dxa" w:w="29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Instrument</w:t>
            </w:r>
          </w:p>
        </w:tc>
        <w:tc>
          <w:tcPr>
            <w:tcW w:type="dxa" w:w="17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Type</w:t>
            </w:r>
          </w:p>
        </w:tc>
        <w:tc>
          <w:tcPr>
            <w:tcW w:type="dxa" w:w="476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Primary Purpose</w:t>
            </w:r>
          </w:p>
        </w:tc>
      </w:tr>
      <w:t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Weinstein &amp; Swing Pro Dashboard v60.4</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Indicator (Overlay)</w:t>
            </w:r>
          </w:p>
        </w:tc>
        <w:tc>
          <w:tcPr>
            <w:tcW w:type="dxa" w:w="4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Single-stock deep-dive analysis, live portfolio tracking, trade management</w:t>
            </w:r>
          </w:p>
        </w:tc>
      </w:tr>
      <w:t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Unified Strategy v4.2</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Strategy (Backtest)</w:t>
            </w:r>
          </w:p>
        </w:tc>
        <w:tc>
          <w:tcPr>
            <w:tcW w:type="dxa" w:w="4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Automated entry/exit signal generation and historical validation</w:t>
            </w:r>
          </w:p>
        </w:tc>
      </w:tr>
      <w:t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Weinstein Swing Zigzag [Strict v5.2]</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Indicator (Overlay)</w:t>
            </w:r>
          </w:p>
        </w:tc>
        <w:tc>
          <w:tcPr>
            <w:tcW w:type="dxa" w:w="4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Multi-timeframe swing structure with automatic trend classification</w:t>
            </w:r>
          </w:p>
        </w:tc>
      </w:tr>
      <w:t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Commander Screener [ULTIMATE] v3.0</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Indicator (Overlay)</w:t>
            </w:r>
          </w:p>
        </w:tc>
        <w:tc>
          <w:tcPr>
            <w:tcW w:type="dxa" w:w="4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Multi-stock watchlist screening, ranking and catalyst detection (up to 30 tickers)</w:t>
            </w:r>
          </w:p>
        </w:tc>
      </w:tr>
    </w:tbl>
    <w:p>
      <w:pPr>
        <w:pStyle w:val="Heading2"/>
      </w:pPr>
      <w:r>
        <w:t xml:space="preserve">1.2 Core Philosophy</w:t>
      </w:r>
    </w:p>
    <w:p>
      <w:pPr>
        <w:pStyle w:val="ListParagraph"/>
        <w:numPr>
          <w:ilvl w:val="0"/>
          <w:numId w:val="2"/>
        </w:numPr>
        <w:spacing w:after="90"/>
      </w:pPr>
      <w:r>
        <w:rPr>
          <w:rFonts w:ascii="Arial" w:cs="Arial" w:eastAsia="Arial" w:hAnsi="Arial"/>
          <w:sz w:val="22"/>
          <w:szCs w:val="22"/>
        </w:rPr>
        <w:t xml:space="preserve">Weinstein Stage Analysis: The macro structural framework anchored on the 30-week moving average. Only Stage 2 stocks are eligible for long entries.</w:t>
      </w:r>
    </w:p>
    <w:p>
      <w:pPr>
        <w:pStyle w:val="ListParagraph"/>
        <w:numPr>
          <w:ilvl w:val="0"/>
          <w:numId w:val="2"/>
        </w:numPr>
        <w:spacing w:after="90"/>
      </w:pPr>
      <w:r>
        <w:rPr>
          <w:rFonts w:ascii="Arial" w:cs="Arial" w:eastAsia="Arial" w:hAnsi="Arial"/>
          <w:sz w:val="22"/>
          <w:szCs w:val="22"/>
        </w:rPr>
        <w:t xml:space="preserve">Minervini Trend Template: The micro qualification filter enforcing SMA alignment (50 &gt; 150 &gt; 200 DMA), RS outperformance, and 52-week high proximity.</w:t>
      </w:r>
    </w:p>
    <w:p>
      <w:pPr>
        <w:pStyle w:val="ListParagraph"/>
        <w:numPr>
          <w:ilvl w:val="0"/>
          <w:numId w:val="2"/>
        </w:numPr>
        <w:spacing w:after="90"/>
      </w:pPr>
      <w:r>
        <w:rPr>
          <w:rFonts w:ascii="Arial" w:cs="Arial" w:eastAsia="Arial" w:hAnsi="Arial"/>
          <w:sz w:val="22"/>
          <w:szCs w:val="22"/>
        </w:rPr>
        <w:t xml:space="preserve">Quantitative Edge Validation: Every signal is gated by backtested mathematical edges — Volume Shelf, BB Squeeze, VCP tightness, and Alpha Score thresholds.</w:t>
      </w:r>
    </w:p>
    <w:p>
      <w:pPr>
        <w:pStyle w:val="Heading2"/>
      </w:pPr>
      <w:r>
        <w:t xml:space="preserve">1.3 Signal Consistency Guarantee</w:t>
      </w:r>
    </w:p>
    <w:p>
      <w:pPr>
        <w:spacing w:after="130"/>
      </w:pPr>
      <w:r>
        <w:rPr>
          <w:rFonts w:ascii="Arial" w:cs="Arial" w:eastAsia="Arial" w:hAnsi="Arial"/>
          <w:sz w:val="22"/>
          <w:szCs w:val="22"/>
        </w:rPr>
        <w:t xml:space="preserve">All four instruments share identical parameter values and formulas for Stage classification, Mansfield RS, ATR-based logic, and Alpha Score. Zero signal drift between Dashboard, Strategy, and Screener is a hard requirement.</w:t>
      </w:r>
    </w:p>
    <w:p>
      <w:pPr>
        <w:pBdr>
          <w:left w:val="single" w:color="BF360C" w:sz="14" w:space="8"/>
        </w:pBdr>
        <w:spacing w:after="140" w:before="140"/>
        <w:ind w:left="360"/>
      </w:pPr>
      <w:r>
        <w:rPr>
          <w:rFonts w:ascii="Arial" w:cs="Arial" w:eastAsia="Arial" w:hAnsi="Arial"/>
          <w:b/>
          <w:bCs/>
          <w:color w:val="BF360C"/>
          <w:sz w:val="20"/>
          <w:szCs w:val="20"/>
        </w:rPr>
        <w:t xml:space="preserve">WARNING: </w:t>
      </w:r>
      <w:r>
        <w:rPr>
          <w:rFonts w:ascii="Arial" w:cs="Arial" w:eastAsia="Arial" w:hAnsi="Arial"/>
          <w:i/>
          <w:iCs/>
          <w:sz w:val="20"/>
          <w:szCs w:val="20"/>
        </w:rPr>
        <w:t xml:space="preserve">Never modify a parameter in one script without updating all four. Signal consistency across the ecosystem is non-negotiable.</w:t>
      </w:r>
    </w:p>
    <w:p>
      <w:r>
        <w:br w:type="page"/>
      </w:r>
    </w:p>
    <w:p>
      <w:pPr>
        <w:pStyle w:val="Heading1"/>
      </w:pPr>
      <w:r>
        <w:t xml:space="preserve">Chapter 2: Theoretical Foundation</w:t>
      </w:r>
    </w:p>
    <w:p>
      <w:pPr>
        <w:pStyle w:val="Heading2"/>
      </w:pPr>
      <w:r>
        <w:t xml:space="preserve">2.1 Weinstein Stage Analysis</w:t>
      </w:r>
    </w:p>
    <w:p>
      <w:pPr>
        <w:spacing w:after="130"/>
      </w:pPr>
      <w:r>
        <w:rPr>
          <w:rFonts w:ascii="Arial" w:cs="Arial" w:eastAsia="Arial" w:hAnsi="Arial"/>
          <w:sz w:val="22"/>
          <w:szCs w:val="22"/>
        </w:rPr>
        <w:t xml:space="preserve">Stage Analysis classifies every stock’s price cycle using the slope and position of the 30-week simple moving average (30-WMA). A dynamic slope threshold (30-WMA value × 0.0005) prevents misclassification when the average is nearly flat.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3360"/>
      </w:tblGrid>
      <w:tr>
        <w:tc>
          <w:tcPr>
            <w:tcW w:type="dxa" w:w="18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Stage</w:t>
            </w:r>
          </w:p>
        </w:tc>
        <w:tc>
          <w:tcPr>
            <w:tcW w:type="dxa" w:w="22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30-WMA Slope</w:t>
            </w:r>
          </w:p>
        </w:tc>
        <w:tc>
          <w:tcPr>
            <w:tcW w:type="dxa" w:w="20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Price vs 30-WMA</w:t>
            </w:r>
          </w:p>
        </w:tc>
        <w:tc>
          <w:tcPr>
            <w:tcW w:type="dxa" w:w="336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Action</w:t>
            </w:r>
          </w:p>
        </w:tc>
      </w:tr>
      <w:tr>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Stage 1 (Basing)</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Flat (|slope| ≤ threshold)</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Above</w:t>
            </w:r>
          </w:p>
        </w:tc>
        <w:tc>
          <w:tcPr>
            <w:tcW w:type="dxa" w:w="3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Watch / Accumulate candidates</w:t>
            </w:r>
          </w:p>
        </w:tc>
      </w:tr>
      <w:tr>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Stage 2 UP (Advancing)</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Rising (slope &gt; threshold)</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Above</w:t>
            </w:r>
          </w:p>
        </w:tc>
        <w:tc>
          <w:tcPr>
            <w:tcW w:type="dxa" w:w="3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Buy / Hold — primary trading zone</w:t>
            </w:r>
          </w:p>
        </w:tc>
      </w:tr>
      <w:tr>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Stage 2 Pullback</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Rising (slope &gt; threshold)</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Below (temporary)</w:t>
            </w:r>
          </w:p>
        </w:tc>
        <w:tc>
          <w:tcPr>
            <w:tcW w:type="dxa" w:w="3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Re-entry on dip</w:t>
            </w:r>
          </w:p>
        </w:tc>
      </w:tr>
      <w:tr>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Stage 3 (Topping)</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Flat (|slope| ≤ threshold)</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Below</w:t>
            </w:r>
          </w:p>
        </w:tc>
        <w:tc>
          <w:tcPr>
            <w:tcW w:type="dxa" w:w="3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Reduce / Exit</w:t>
            </w:r>
          </w:p>
        </w:tc>
      </w:tr>
      <w:tr>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Stage 4 (Declining)</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Falling (slope &lt; −threshold)</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Below</w:t>
            </w:r>
          </w:p>
        </w:tc>
        <w:tc>
          <w:tcPr>
            <w:tcW w:type="dxa" w:w="3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Avoid / Structural exit</w:t>
            </w:r>
          </w:p>
        </w:tc>
      </w:tr>
    </w:tbl>
    <w:p>
      <w:pPr>
        <w:pBdr>
          <w:left w:val="single" w:color="1565C0" w:sz="14" w:space="8"/>
        </w:pBdr>
        <w:spacing w:after="140" w:before="140"/>
        <w:ind w:left="360"/>
      </w:pPr>
      <w:r>
        <w:rPr>
          <w:rFonts w:ascii="Arial" w:cs="Arial" w:eastAsia="Arial" w:hAnsi="Arial"/>
          <w:b/>
          <w:bCs/>
          <w:color w:val="1565C0"/>
          <w:sz w:val="20"/>
          <w:szCs w:val="20"/>
        </w:rPr>
        <w:t xml:space="preserve">PRO TIP: </w:t>
      </w:r>
      <w:r>
        <w:rPr>
          <w:rFonts w:ascii="Arial" w:cs="Arial" w:eastAsia="Arial" w:hAnsi="Arial"/>
          <w:i/>
          <w:iCs/>
          <w:sz w:val="20"/>
          <w:szCs w:val="20"/>
        </w:rPr>
        <w:t xml:space="preserve">The slope lookback is 4 weekly bars by default, evaluated via linear regression: slope = linreg(30WMA, 4, 0) − linreg(30WMA, 4, 1). Increasing this value smooths the slope but introduces lag.</w:t>
      </w:r>
    </w:p>
    <w:p>
      <w:pPr>
        <w:pStyle w:val="Heading2"/>
      </w:pPr>
      <w:r>
        <w:t xml:space="preserve">2.2 Mansfield Relative Strength</w:t>
      </w:r>
    </w:p>
    <w:p>
      <w:pPr>
        <w:spacing w:after="130"/>
      </w:pPr>
      <w:r>
        <w:rPr>
          <w:rFonts w:ascii="Arial" w:cs="Arial" w:eastAsia="Arial" w:hAnsi="Arial"/>
          <w:sz w:val="22"/>
          <w:szCs w:val="22"/>
        </w:rPr>
        <w:t xml:space="preserve">True Mansfield RS measures a stock’s performance against a benchmark using a ratio-based smoothing formula. The lookback is 26 weeks (= 130 daily bars in the screener). RS slope is evaluated over 8 weeks.</w:t>
      </w:r>
    </w:p>
    <w:p>
      <w:pPr>
        <w:shd w:fill="0D1117" w:val="clear"/>
        <w:spacing w:after="60" w:before="60"/>
        <w:ind w:left="360"/>
      </w:pPr>
      <w:r>
        <w:rPr>
          <w:rFonts w:ascii="Courier New" w:cs="Courier New" w:eastAsia="Courier New" w:hAnsi="Courier New"/>
          <w:b/>
          <w:bCs/>
          <w:color w:val="F8F8F2"/>
          <w:sz w:val="19"/>
          <w:szCs w:val="19"/>
        </w:rPr>
        <w:t xml:space="preserve">RS Ratio    = Price / Benchmark_Close</w:t>
      </w:r>
    </w:p>
    <w:p>
      <w:pPr>
        <w:shd w:fill="0D1117" w:val="clear"/>
        <w:spacing w:after="60" w:before="60"/>
        <w:ind w:left="360"/>
      </w:pPr>
      <w:r>
        <w:rPr>
          <w:rFonts w:ascii="Courier New" w:cs="Courier New" w:eastAsia="Courier New" w:hAnsi="Courier New"/>
          <w:b/>
          <w:bCs/>
          <w:color w:val="F8F8F2"/>
          <w:sz w:val="19"/>
          <w:szCs w:val="19"/>
        </w:rPr>
        <w:t xml:space="preserve">RS SMA      = SMA(RS_Ratio, 130)         // 26-week equivalent</w:t>
      </w:r>
    </w:p>
    <w:p>
      <w:pPr>
        <w:shd w:fill="0D1117" w:val="clear"/>
        <w:spacing w:after="60" w:before="60"/>
        <w:ind w:left="360"/>
      </w:pPr>
      <w:r>
        <w:rPr>
          <w:rFonts w:ascii="Courier New" w:cs="Courier New" w:eastAsia="Courier New" w:hAnsi="Courier New"/>
          <w:b/>
          <w:bCs/>
          <w:color w:val="F8F8F2"/>
          <w:sz w:val="19"/>
          <w:szCs w:val="19"/>
        </w:rPr>
        <w:t xml:space="preserve">Mansfield   = ((RS_Ratio / RS_SMA) − 1) × 10</w:t>
      </w:r>
    </w:p>
    <w:p>
      <w:pPr>
        <w:shd w:fill="0D1117" w:val="clear"/>
        <w:spacing w:after="60" w:before="60"/>
        <w:ind w:left="360"/>
      </w:pPr>
      <w:r>
        <w:rPr>
          <w:rFonts w:ascii="Courier New" w:cs="Courier New" w:eastAsia="Courier New" w:hAnsi="Courier New"/>
          <w:b/>
          <w:bCs/>
          <w:color w:val="F8F8F2"/>
          <w:sz w:val="19"/>
          <w:szCs w:val="19"/>
        </w:rPr>
        <w:t xml:space="preserve">RS Slope    = linreg(Mansfield, 8wk, 0) − linreg(Mansfield, 8wk, 1)</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RS State</w:t>
            </w:r>
          </w:p>
        </w:tc>
        <w:tc>
          <w:tcPr>
            <w:tcW w:type="dxa" w:w="20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Slope Threshold</w:t>
            </w:r>
          </w:p>
        </w:tc>
        <w:tc>
          <w:tcPr>
            <w:tcW w:type="dxa" w:w="556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Interpretation</w:t>
            </w:r>
          </w:p>
        </w:tc>
      </w:tr>
      <w:tr>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Leading</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slope &gt; +0.02</w:t>
            </w:r>
          </w:p>
        </w:tc>
        <w:tc>
          <w:tcPr>
            <w:tcW w:type="dxa" w:w="5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Outperforming benchmark and accelerating</w:t>
            </w:r>
          </w:p>
        </w:tc>
      </w:tr>
      <w:tr>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Weakening</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slope ≈ 0, Mansfield &gt; 0</w:t>
            </w:r>
          </w:p>
        </w:tc>
        <w:tc>
          <w:tcPr>
            <w:tcW w:type="dxa" w:w="5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Still outperforming, but momentum slowing</w:t>
            </w:r>
          </w:p>
        </w:tc>
      </w:tr>
      <w:tr>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Improving</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slope ≈ 0, Mansfield &lt; 0</w:t>
            </w:r>
          </w:p>
        </w:tc>
        <w:tc>
          <w:tcPr>
            <w:tcW w:type="dxa" w:w="5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Underperforming but bottoming out</w:t>
            </w:r>
          </w:p>
        </w:tc>
      </w:tr>
      <w:tr>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Lagging</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slope &lt; −0.02</w:t>
            </w:r>
          </w:p>
        </w:tc>
        <w:tc>
          <w:tcPr>
            <w:tcW w:type="dxa" w:w="5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Underperforming and deteriorating</w:t>
            </w:r>
          </w:p>
        </w:tc>
      </w:tr>
    </w:tbl>
    <w:p>
      <w:pPr>
        <w:pStyle w:val="Heading2"/>
      </w:pPr>
      <w:r>
        <w:t xml:space="preserve">2.3 Alpha Score (0–100)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Component</w:t>
            </w:r>
          </w:p>
        </w:tc>
        <w:tc>
          <w:tcPr>
            <w:tcW w:type="dxa" w:w="14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Max Pts</w:t>
            </w:r>
          </w:p>
        </w:tc>
        <w:tc>
          <w:tcPr>
            <w:tcW w:type="dxa" w:w="516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Exact Condition</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Trend: Price &gt; EMA 20</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15</w:t>
            </w:r>
          </w:p>
        </w:tc>
        <w:tc>
          <w:tcPr>
            <w:tcW w:type="dxa" w:w="5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close &gt; ema(close, 20)</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Trend: Price &gt; SMA 50</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15</w:t>
            </w:r>
          </w:p>
        </w:tc>
        <w:tc>
          <w:tcPr>
            <w:tcW w:type="dxa" w:w="5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close &gt; sma(close, 50)</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Momentum: RSI &gt; 60</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20</w:t>
            </w:r>
          </w:p>
        </w:tc>
        <w:tc>
          <w:tcPr>
            <w:tcW w:type="dxa" w:w="5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rsi(close, 14) &gt; 60 → +20; &gt; 50 → +10</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Momentum: ADX Bias</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10</w:t>
            </w:r>
          </w:p>
        </w:tc>
        <w:tc>
          <w:tcPr>
            <w:tcW w:type="dxa" w:w="5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adx(14) &gt; 20 AND DI+ &gt; DI−</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Volume: Massive Thrust</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20</w:t>
            </w:r>
          </w:p>
        </w:tc>
        <w:tc>
          <w:tcPr>
            <w:tcW w:type="dxa" w:w="5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close &gt; open AND volume &gt; vol_sma50 × 1.5</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Volume: Normal Thrust</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10</w:t>
            </w:r>
          </w:p>
        </w:tc>
        <w:tc>
          <w:tcPr>
            <w:tcW w:type="dxa" w:w="5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close &gt; open AND volume &gt; vol_sma50 (if not massive)</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Safety: Very Tight</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20</w:t>
            </w:r>
          </w:p>
        </w:tc>
        <w:tc>
          <w:tcPr>
            <w:tcW w:type="dxa" w:w="5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|(close − EMA20) / EMA20| × 100 &lt; 5%</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Safety: Moderate</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10</w:t>
            </w:r>
          </w:p>
        </w:tc>
        <w:tc>
          <w:tcPr>
            <w:tcW w:type="dxa" w:w="5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|(close − EMA20) / EMA20| × 100 &lt; 10%</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Macro Edge Bonus</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+10</w:t>
            </w:r>
          </w:p>
        </w:tc>
        <w:tc>
          <w:tcPr>
            <w:tcW w:type="dxa" w:w="5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volume &gt; vol_sma50 (institutional participation present)</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Macro Edge Penalty</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−20</w:t>
            </w:r>
          </w:p>
        </w:tc>
        <w:tc>
          <w:tcPr>
            <w:tcW w:type="dxa" w:w="5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volume &lt; vol_sma50 (breakout lacks institutional backing)</w:t>
            </w:r>
          </w:p>
        </w:tc>
      </w:tr>
    </w:tbl>
    <w:p>
      <w:pPr>
        <w:pBdr>
          <w:left w:val="single" w:color="6A1B9A" w:sz="14" w:space="8"/>
        </w:pBdr>
        <w:spacing w:after="140" w:before="140"/>
        <w:ind w:left="360"/>
      </w:pPr>
      <w:r>
        <w:rPr>
          <w:rFonts w:ascii="Arial" w:cs="Arial" w:eastAsia="Arial" w:hAnsi="Arial"/>
          <w:b/>
          <w:bCs/>
          <w:color w:val="6A1B9A"/>
          <w:sz w:val="20"/>
          <w:szCs w:val="20"/>
        </w:rPr>
        <w:t xml:space="preserve">NOTE: </w:t>
      </w:r>
      <w:r>
        <w:rPr>
          <w:rFonts w:ascii="Arial" w:cs="Arial" w:eastAsia="Arial" w:hAnsi="Arial"/>
          <w:i/>
          <w:iCs/>
          <w:sz w:val="20"/>
          <w:szCs w:val="20"/>
        </w:rPr>
        <w:t xml:space="preserve">Macro Edge bonus/penalty only applies when the Macro Edge filter is enabled (default: on). The maximum possible score is 100; scores are capped there.</w:t>
      </w:r>
    </w:p>
    <w:p>
      <w:r>
        <w:br w:type="page"/>
      </w:r>
    </w:p>
    <w:p>
      <w:pPr>
        <w:pStyle w:val="Heading1"/>
      </w:pPr>
      <w:r>
        <w:t xml:space="preserve">Chapter 3: Weinstein &amp; Swing Pro Dashboard v60.4</w:t>
      </w:r>
    </w:p>
    <w:p>
      <w:pPr>
        <w:spacing w:after="130"/>
      </w:pPr>
      <w:r>
        <w:rPr>
          <w:rFonts w:ascii="Arial" w:cs="Arial" w:eastAsia="Arial" w:hAnsi="Arial"/>
          <w:sz w:val="22"/>
          <w:szCs w:val="22"/>
        </w:rPr>
        <w:t xml:space="preserve">The Dashboard is the command centre of the system. It provides a comprehensive single-stock analysis panel, live portfolio tracking for up to 30 positions, an Alpha Screener, and real-time trade management with dynamic R:R targeting.</w:t>
      </w:r>
    </w:p>
    <w:p>
      <w:pPr>
        <w:pStyle w:val="Heading2"/>
      </w:pPr>
      <w:r>
        <w:t xml:space="preserve">3.1 Installation &amp; Setup</w:t>
      </w:r>
    </w:p>
    <w:p>
      <w:pPr>
        <w:pStyle w:val="ListParagraph"/>
        <w:numPr>
          <w:ilvl w:val="0"/>
          <w:numId w:val="3"/>
        </w:numPr>
        <w:spacing w:after="100"/>
      </w:pPr>
      <w:r>
        <w:rPr>
          <w:rFonts w:ascii="Arial" w:cs="Arial" w:eastAsia="Arial" w:hAnsi="Arial"/>
          <w:sz w:val="22"/>
          <w:szCs w:val="22"/>
        </w:rPr>
        <w:t xml:space="preserve">Open TradingView and navigate to Pine Script Editor (bottom panel).</w:t>
      </w:r>
    </w:p>
    <w:p>
      <w:pPr>
        <w:pStyle w:val="ListParagraph"/>
        <w:numPr>
          <w:ilvl w:val="0"/>
          <w:numId w:val="3"/>
        </w:numPr>
        <w:spacing w:after="100"/>
      </w:pPr>
      <w:r>
        <w:rPr>
          <w:rFonts w:ascii="Arial" w:cs="Arial" w:eastAsia="Arial" w:hAnsi="Arial"/>
          <w:sz w:val="22"/>
          <w:szCs w:val="22"/>
        </w:rPr>
        <w:t xml:space="preserve">Paste the full code for Weinstein &amp; Swing Pro Dashboard v60.4 and click Save.</w:t>
      </w:r>
    </w:p>
    <w:p>
      <w:pPr>
        <w:pStyle w:val="ListParagraph"/>
        <w:numPr>
          <w:ilvl w:val="0"/>
          <w:numId w:val="3"/>
        </w:numPr>
        <w:spacing w:after="100"/>
      </w:pPr>
      <w:r>
        <w:rPr>
          <w:rFonts w:ascii="Arial" w:cs="Arial" w:eastAsia="Arial" w:hAnsi="Arial"/>
          <w:sz w:val="22"/>
          <w:szCs w:val="22"/>
        </w:rPr>
        <w:t xml:space="preserve">Click Add to chart. The indicator overlays on your current chart.</w:t>
      </w:r>
    </w:p>
    <w:p>
      <w:pPr>
        <w:pStyle w:val="ListParagraph"/>
        <w:numPr>
          <w:ilvl w:val="0"/>
          <w:numId w:val="3"/>
        </w:numPr>
        <w:spacing w:after="100"/>
      </w:pPr>
      <w:r>
        <w:rPr>
          <w:rFonts w:ascii="Arial" w:cs="Arial" w:eastAsia="Arial" w:hAnsi="Arial"/>
          <w:sz w:val="22"/>
          <w:szCs w:val="22"/>
        </w:rPr>
        <w:t xml:space="preserve">Open Settings (gear icon on the indicator) and configure Portfolio Slots and Strategy Inputs.</w:t>
      </w:r>
    </w:p>
    <w:p>
      <w:pPr>
        <w:pStyle w:val="Heading2"/>
      </w:pPr>
      <w:r>
        <w:t xml:space="preserve">3.2 Portfolio Configuration</w:t>
      </w:r>
    </w:p>
    <w:p>
      <w:pPr>
        <w:spacing w:after="130"/>
      </w:pPr>
      <w:r>
        <w:rPr>
          <w:rFonts w:ascii="Arial" w:cs="Arial" w:eastAsia="Arial" w:hAnsi="Arial"/>
          <w:sz w:val="22"/>
          <w:szCs w:val="22"/>
        </w:rPr>
        <w:t xml:space="preserve">Up to 30 portfolio slots are organised in six groups of five (Slots 1–30). Each slot has five fields:</w:t>
      </w:r>
    </w:p>
    <w:p>
      <w:pPr>
        <w:pStyle w:val="ListParagraph"/>
        <w:numPr>
          <w:ilvl w:val="0"/>
          <w:numId w:val="2"/>
        </w:numPr>
        <w:spacing w:after="90"/>
      </w:pPr>
      <w:r>
        <w:rPr>
          <w:rFonts w:ascii="Arial" w:cs="Arial" w:eastAsia="Arial" w:hAnsi="Arial"/>
          <w:sz w:val="22"/>
          <w:szCs w:val="22"/>
        </w:rPr>
        <w:t xml:space="preserve">Ticker: NSE symbol, e.g. NSE:RELIANCE.</w:t>
      </w:r>
    </w:p>
    <w:p>
      <w:pPr>
        <w:pStyle w:val="ListParagraph"/>
        <w:numPr>
          <w:ilvl w:val="0"/>
          <w:numId w:val="2"/>
        </w:numPr>
        <w:spacing w:after="90"/>
      </w:pPr>
      <w:r>
        <w:rPr>
          <w:rFonts w:ascii="Arial" w:cs="Arial" w:eastAsia="Arial" w:hAnsi="Arial"/>
          <w:sz w:val="22"/>
          <w:szCs w:val="22"/>
        </w:rPr>
        <w:t xml:space="preserve">Entry Price: Your average purchase price.</w:t>
      </w:r>
    </w:p>
    <w:p>
      <w:pPr>
        <w:pStyle w:val="ListParagraph"/>
        <w:numPr>
          <w:ilvl w:val="0"/>
          <w:numId w:val="2"/>
        </w:numPr>
        <w:spacing w:after="90"/>
      </w:pPr>
      <w:r>
        <w:rPr>
          <w:rFonts w:ascii="Arial" w:cs="Arial" w:eastAsia="Arial" w:hAnsi="Arial"/>
          <w:sz w:val="22"/>
          <w:szCs w:val="22"/>
        </w:rPr>
        <w:t xml:space="preserve">Stop-Loss (SL): Your hard stop price (hard line, not trailing).</w:t>
      </w:r>
    </w:p>
    <w:p>
      <w:pPr>
        <w:pStyle w:val="ListParagraph"/>
        <w:numPr>
          <w:ilvl w:val="0"/>
          <w:numId w:val="2"/>
        </w:numPr>
        <w:spacing w:after="90"/>
      </w:pPr>
      <w:r>
        <w:rPr>
          <w:rFonts w:ascii="Arial" w:cs="Arial" w:eastAsia="Arial" w:hAnsi="Arial"/>
          <w:sz w:val="22"/>
          <w:szCs w:val="22"/>
        </w:rPr>
        <w:t xml:space="preserve">Entry Date: timestamp(“YYYY-MM-DD”) — used for days-held calculation.</w:t>
      </w:r>
    </w:p>
    <w:p>
      <w:pPr>
        <w:pStyle w:val="ListParagraph"/>
        <w:numPr>
          <w:ilvl w:val="0"/>
          <w:numId w:val="2"/>
        </w:numPr>
        <w:spacing w:after="90"/>
      </w:pPr>
      <w:r>
        <w:rPr>
          <w:rFonts w:ascii="Arial" w:cs="Arial" w:eastAsia="Arial" w:hAnsi="Arial"/>
          <w:sz w:val="22"/>
          <w:szCs w:val="22"/>
        </w:rPr>
        <w:t xml:space="preserve">Sector Index: e.g. NSE:BANKNIFTY, NSE:CNXIT — used as the third RS benchmark. Auto-detected via the 150-stock sector map; override only when the auto-lookup fails.</w:t>
      </w:r>
    </w:p>
    <w:p>
      <w:pPr>
        <w:pBdr>
          <w:left w:val="single" w:color="1565C0" w:sz="14" w:space="8"/>
        </w:pBdr>
        <w:spacing w:after="140" w:before="140"/>
        <w:ind w:left="360"/>
      </w:pPr>
      <w:r>
        <w:rPr>
          <w:rFonts w:ascii="Arial" w:cs="Arial" w:eastAsia="Arial" w:hAnsi="Arial"/>
          <w:b/>
          <w:bCs/>
          <w:color w:val="1565C0"/>
          <w:sz w:val="20"/>
          <w:szCs w:val="20"/>
        </w:rPr>
        <w:t xml:space="preserve">PRO TIP: </w:t>
      </w:r>
      <w:r>
        <w:rPr>
          <w:rFonts w:ascii="Arial" w:cs="Arial" w:eastAsia="Arial" w:hAnsi="Arial"/>
          <w:i/>
          <w:iCs/>
          <w:sz w:val="20"/>
          <w:szCs w:val="20"/>
        </w:rPr>
        <w:t xml:space="preserve">Use the Quick Check group at the top of Settings to test any stock not in your portfolio. Set a temporary Entry and SL; the trade panel updates instantly without touching any portfolio slot.</w:t>
      </w:r>
    </w:p>
    <w:p>
      <w:pPr>
        <w:pStyle w:val="Heading2"/>
      </w:pPr>
      <w:r>
        <w:t xml:space="preserve">3.3 Strategy Inputs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Input</w:t>
            </w:r>
          </w:p>
        </w:tc>
        <w:tc>
          <w:tcPr>
            <w:tcW w:type="dxa" w:w="14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Default</w:t>
            </w:r>
          </w:p>
        </w:tc>
        <w:tc>
          <w:tcPr>
            <w:tcW w:type="dxa" w:w="556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Weinstein SMA Length</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30 weeks</w:t>
            </w:r>
          </w:p>
        </w:tc>
        <w:tc>
          <w:tcPr>
            <w:tcW w:type="dxa" w:w="5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Weekly anchor. Do not change.</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30-WMA Slope Lookback</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4 weeks</w:t>
            </w:r>
          </w:p>
        </w:tc>
        <w:tc>
          <w:tcPr>
            <w:tcW w:type="dxa" w:w="5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linreg lookback for slope direction.</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Slope Threshold (Flat)</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0.0005</w:t>
            </w:r>
          </w:p>
        </w:tc>
        <w:tc>
          <w:tcPr>
            <w:tcW w:type="dxa" w:w="5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Dynamic: multiplied by the 30-WMA value each bar.</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Benchmark 1 (Primary RS)</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NSE:NIFTY</w:t>
            </w:r>
          </w:p>
        </w:tc>
        <w:tc>
          <w:tcPr>
            <w:tcW w:type="dxa" w:w="5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Mansfield RS vs Nifty 50.</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Benchmark 2 (Breadth RS)</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NSE:CNX500</w:t>
            </w:r>
          </w:p>
        </w:tc>
        <w:tc>
          <w:tcPr>
            <w:tcW w:type="dxa" w:w="5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Mansfield RS vs Nifty 500.</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Mansfield RS Length</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26 weeks</w:t>
            </w:r>
          </w:p>
        </w:tc>
        <w:tc>
          <w:tcPr>
            <w:tcW w:type="dxa" w:w="5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Internally converted to 130 daily bars for screener.</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RS Slope Lookback</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8 weeks</w:t>
            </w:r>
          </w:p>
        </w:tc>
        <w:tc>
          <w:tcPr>
            <w:tcW w:type="dxa" w:w="5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Trend direction of the RS line.</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50 / 150 / 200 DMA</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50 / 150 / 200</w:t>
            </w:r>
          </w:p>
        </w:tc>
        <w:tc>
          <w:tcPr>
            <w:tcW w:type="dxa" w:w="5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Minervini Trend Template daily MAs.</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50-DMA Slope Lookback</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21 days</w:t>
            </w:r>
          </w:p>
        </w:tc>
        <w:tc>
          <w:tcPr>
            <w:tcW w:type="dxa" w:w="5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Daily slope evaluation window.</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ATR Length</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14 bars</w:t>
            </w:r>
          </w:p>
        </w:tc>
        <w:tc>
          <w:tcPr>
            <w:tcW w:type="dxa" w:w="5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Used for stops and position sizing.</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Fib/Pullback Lookback</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21 days</w:t>
            </w:r>
          </w:p>
        </w:tc>
        <w:tc>
          <w:tcPr>
            <w:tcW w:type="dxa" w:w="5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Swing high/low reference range.</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Volume Pivot Lookback (VP)</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100 bars</w:t>
            </w:r>
          </w:p>
        </w:tc>
        <w:tc>
          <w:tcPr>
            <w:tcW w:type="dxa" w:w="5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Approximate Point of Control estimate.</w:t>
            </w:r>
          </w:p>
        </w:tc>
      </w:tr>
    </w:tbl>
    <w:p>
      <w:pPr>
        <w:pStyle w:val="Heading2"/>
      </w:pPr>
      <w:r>
        <w:t xml:space="preserve">3.4 Mathematical Edge Filters</w:t>
      </w:r>
    </w:p>
    <w:p>
      <w:pPr>
        <w:pStyle w:val="Heading3"/>
      </w:pPr>
      <w:r>
        <w:t xml:space="preserve">3.4.1 Macro Edge — Institutional Volume Bias</w:t>
      </w:r>
    </w:p>
    <w:p>
      <w:pPr>
        <w:spacing w:after="130"/>
      </w:pPr>
      <w:r>
        <w:rPr>
          <w:rFonts w:ascii="Arial" w:cs="Arial" w:eastAsia="Arial" w:hAnsi="Arial"/>
          <w:sz w:val="22"/>
          <w:szCs w:val="22"/>
        </w:rPr>
        <w:t xml:space="preserve">Two volume-based conditions must both be true for a breakout signal to qualify:</w:t>
      </w:r>
    </w:p>
    <w:p>
      <w:pPr>
        <w:pStyle w:val="ListParagraph"/>
        <w:numPr>
          <w:ilvl w:val="0"/>
          <w:numId w:val="2"/>
        </w:numPr>
        <w:spacing w:after="90"/>
      </w:pPr>
      <w:r>
        <w:rPr>
          <w:rFonts w:ascii="Arial" w:cs="Arial" w:eastAsia="Arial" w:hAnsi="Arial"/>
          <w:sz w:val="22"/>
          <w:szCs w:val="22"/>
        </w:rPr>
        <w:t xml:space="preserve">Volume Shelf: VWMA(volume, 20) &gt; SMA(volume, 20). Confirms that volume-weighted activity (driven by large-lot orders) is outpacing simple average activity.</w:t>
      </w:r>
    </w:p>
    <w:p>
      <w:pPr>
        <w:pStyle w:val="ListParagraph"/>
        <w:numPr>
          <w:ilvl w:val="0"/>
          <w:numId w:val="2"/>
        </w:numPr>
        <w:spacing w:after="90"/>
      </w:pPr>
      <w:r>
        <w:rPr>
          <w:rFonts w:ascii="Arial" w:cs="Arial" w:eastAsia="Arial" w:hAnsi="Arial"/>
          <w:sz w:val="22"/>
          <w:szCs w:val="22"/>
        </w:rPr>
        <w:t xml:space="preserve">Volume Accumulation: Over the last 10 daily bars, at least 2 must satisfy all three of: up-close day (close &gt; close[1]), volume above 50-bar SMA, and close in the upper 60% of the day’s range [(close − low) / (high − low) &gt; 0.60].</w:t>
      </w:r>
    </w:p>
    <w:p>
      <w:pPr>
        <w:pBdr>
          <w:left w:val="single" w:color="BF360C" w:sz="14" w:space="8"/>
        </w:pBdr>
        <w:spacing w:after="140" w:before="140"/>
        <w:ind w:left="360"/>
      </w:pPr>
      <w:r>
        <w:rPr>
          <w:rFonts w:ascii="Arial" w:cs="Arial" w:eastAsia="Arial" w:hAnsi="Arial"/>
          <w:b/>
          <w:bCs/>
          <w:color w:val="BF360C"/>
          <w:sz w:val="20"/>
          <w:szCs w:val="20"/>
        </w:rPr>
        <w:t xml:space="preserve">WARNING: </w:t>
      </w:r>
      <w:r>
        <w:rPr>
          <w:rFonts w:ascii="Arial" w:cs="Arial" w:eastAsia="Arial" w:hAnsi="Arial"/>
          <w:i/>
          <w:iCs/>
          <w:sz w:val="20"/>
          <w:szCs w:val="20"/>
        </w:rPr>
        <w:t xml:space="preserve">Breakouts without Volume Shelf confirmation carry a −20-point Alpha Score penalty. In five-year backtesting, this single filter produced the single largest improvement in profit factor.</w:t>
      </w:r>
    </w:p>
    <w:p>
      <w:pPr>
        <w:pStyle w:val="Heading3"/>
      </w:pPr>
      <w:r>
        <w:t xml:space="preserve">3.4.2 Micro Edge — Price &amp; Squeeze Validation</w:t>
      </w:r>
    </w:p>
    <w:p>
      <w:pPr>
        <w:spacing w:after="130"/>
      </w:pPr>
      <w:r>
        <w:rPr>
          <w:rFonts w:ascii="Arial" w:cs="Arial" w:eastAsia="Arial" w:hAnsi="Arial"/>
          <w:sz w:val="22"/>
          <w:szCs w:val="22"/>
        </w:rPr>
        <w:t xml:space="preserve">Two price-level conditions must be true for a swing pullback entry:</w:t>
      </w:r>
    </w:p>
    <w:p>
      <w:pPr>
        <w:pStyle w:val="ListParagraph"/>
        <w:numPr>
          <w:ilvl w:val="0"/>
          <w:numId w:val="2"/>
        </w:numPr>
        <w:spacing w:after="90"/>
      </w:pPr>
      <w:r>
        <w:rPr>
          <w:rFonts w:ascii="Arial" w:cs="Arial" w:eastAsia="Arial" w:hAnsi="Arial"/>
          <w:sz w:val="22"/>
          <w:szCs w:val="22"/>
        </w:rPr>
        <w:t xml:space="preserve">CPR: Price must be above the Central Pivot Range Top Pivot. CPR is calculated from the prior day: Pivot = (H₋₁ + L₋₁ + C₋₁)/3, BC = (H₋₁ + L₋₁)/2, TC = (P − BC) + P. Entry requires close &gt; TC.</w:t>
      </w:r>
    </w:p>
    <w:p>
      <w:pPr>
        <w:pStyle w:val="ListParagraph"/>
        <w:numPr>
          <w:ilvl w:val="0"/>
          <w:numId w:val="2"/>
        </w:numPr>
        <w:spacing w:after="90"/>
      </w:pPr>
      <w:r>
        <w:rPr>
          <w:rFonts w:ascii="Arial" w:cs="Arial" w:eastAsia="Arial" w:hAnsi="Arial"/>
          <w:sz w:val="22"/>
          <w:szCs w:val="22"/>
        </w:rPr>
        <w:t xml:space="preserve">Monthly VWAP: A month-anchored VWAP that resets at the start of each calendar month. Entry requires close &gt; MVWAP.</w:t>
      </w:r>
    </w:p>
    <w:p>
      <w:pPr>
        <w:pStyle w:val="ListParagraph"/>
        <w:numPr>
          <w:ilvl w:val="0"/>
          <w:numId w:val="2"/>
        </w:numPr>
        <w:spacing w:after="90"/>
      </w:pPr>
      <w:r>
        <w:rPr>
          <w:rFonts w:ascii="Arial" w:cs="Arial" w:eastAsia="Arial" w:hAnsi="Arial"/>
          <w:sz w:val="22"/>
          <w:szCs w:val="22"/>
        </w:rPr>
        <w:t xml:space="preserve">MA Squeeze: |EMA20 − SMA50| / SMA50 must be ≤ 6%. This confirms that the two averages are tightly compressed, a prerequisite for the volatility-expansion move.</w:t>
      </w:r>
    </w:p>
    <w:p>
      <w:pPr>
        <w:pStyle w:val="Heading2"/>
      </w:pPr>
      <w:r>
        <w:t xml:space="preserve">3.5 Dashboard Panel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Panel Row</w:t>
            </w:r>
          </w:p>
        </w:tc>
        <w:tc>
          <w:tcPr>
            <w:tcW w:type="dxa" w:w="696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What It Shows</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Market Health</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Nifty 500 regime: Bullish / Correction / Recovery / Bearish based on price vs SMA50 vs SMA200</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Stage &amp; Duration</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Weinstein Stage + enhanced context label + weeks in current stage</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Weekly Trend</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Pivot-based structural trend (UP / DOWN / SIDEWAYS) + locked swing highs/lows</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RS vs Nifty 50</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Mansfield RS state + slope direction for Nifty 50 benchmark</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RS vs Nifty 500</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Mansfield RS state + slope direction for Nifty 500 breadth benchmark</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RS vs Sector</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Mansfield RS state + slope direction for auto-detected sector index</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RS Velocity</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Sector RS acceleration: Accelerating Leader / Exhausted Leader / Hidden Accumulation / Dead Money</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50-DMA Slope</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Daily SMA50 slope direction (RISING / FLAT / FALLING) + MA alignment check</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EMA 20 State</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Price vs EMA20: SUPPORT (Bounced) / RESISTANCE (Hit Head) / NEAR / ABOVE / BELOW</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Price Action</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Current candle character: Breakout / Consolidation / Power Play / NR7 / Selling Tail / Normal</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Volume</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Volume state: ACCUMULATION / DISTRIBUTION / DRY UP / NORMAL + relative volume ratio</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Volatility / VCP</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VCP True Dry Up / VCP Actionable / Vol Expansion / Normal Volatility</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S&amp;R Proximity</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Distance to 20-bar swing high/low: NEAR RESISTANCE / NEAR SUPPORT / MID-RANGE</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52-Week Dist</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Distance from 52-week high and all-time high</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Confluence Stars</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6-factor score: Trend, Momentum, Volume, POC, PA, ADX (max 6 stars)</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Trade Manager</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Entry, SL, P&amp;L%, R-multiple, dynamic targets, days held, HOLD/TRIM/SCALE IN/STOP HIT</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Recommendation</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Overall recommendation + active catalyst code</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Alpha Screener</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All 30 portfolio slots ranked by Alpha Score with catalyst highlights</w:t>
            </w:r>
          </w:p>
        </w:tc>
      </w:tr>
    </w:tbl>
    <w:p>
      <w:pPr>
        <w:pStyle w:val="Heading2"/>
      </w:pPr>
      <w:r>
        <w:t xml:space="preserve">3.6 Recommendation Engine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Recommendation</w:t>
            </w:r>
          </w:p>
        </w:tc>
        <w:tc>
          <w:tcPr>
            <w:tcW w:type="dxa" w:w="676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Exact Conditions (from code)</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STRONG BUY (Momentum)</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stageID == STAGE 2 (UP)  AND  dTrendDir == 1  AND  rs50State contains 'Leading'  AND  market NOT BEARISH</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BUY (Check RS)</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stageID == STAGE 2 (UP)  AND  dTrendDir == 1  AND  RS not leading  AND  market NOT BEARISH</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HOLD (Consolidation)</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stageID == STAGE 2 (UP)  AND  dTrendDir == 0 (sideways)</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WATCHLIST (Base Building)</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stageID == STAGE 1 (BASE)</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CAUTION (Divergence)</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currRsiDiv == 'BEARISH DIV'</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AVOID (Stage 4)</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stageID == STAGE 4 (DOWN)</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NO TRADE (Downtrend)</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dTrendDir == −1</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WAIT (Mkt Bearish)</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Stage 2 + Uptrend BUT mktState contains 'BEARISH'</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EXIT NOW (40WMA Break)</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close &lt; 40-week SMA (emergency panic exit)</w:t>
            </w:r>
          </w:p>
        </w:tc>
      </w:tr>
    </w:tbl>
    <w:p>
      <w:pPr>
        <w:pBdr>
          <w:left w:val="single" w:color="6A1B9A" w:sz="14" w:space="8"/>
        </w:pBdr>
        <w:spacing w:after="140" w:before="140"/>
        <w:ind w:left="360"/>
      </w:pPr>
      <w:r>
        <w:rPr>
          <w:rFonts w:ascii="Arial" w:cs="Arial" w:eastAsia="Arial" w:hAnsi="Arial"/>
          <w:b/>
          <w:bCs/>
          <w:color w:val="6A1B9A"/>
          <w:sz w:val="20"/>
          <w:szCs w:val="20"/>
        </w:rPr>
        <w:t xml:space="preserve">NOTE: </w:t>
      </w:r>
      <w:r>
        <w:rPr>
          <w:rFonts w:ascii="Arial" w:cs="Arial" w:eastAsia="Arial" w:hAnsi="Arial"/>
          <w:i/>
          <w:iCs/>
          <w:sz w:val="20"/>
          <w:szCs w:val="20"/>
        </w:rPr>
        <w:t xml:space="preserve">A star prefix (★) is prepended to the recommendation text when a fresh signal is detected (i.e., the condition just turned true this bar vs. not true the prior bar), helping distinguish new signals from persistent ones.</w:t>
      </w:r>
    </w:p>
    <w:p>
      <w:pPr>
        <w:pStyle w:val="Heading2"/>
      </w:pPr>
      <w:r>
        <w:t xml:space="preserve">3.7 Catalyst Engine (v4.0 Hybrid)</w:t>
      </w:r>
    </w:p>
    <w:p>
      <w:pPr>
        <w:spacing w:after="130"/>
      </w:pPr>
      <w:r>
        <w:rPr>
          <w:rFonts w:ascii="Arial" w:cs="Arial" w:eastAsia="Arial" w:hAnsi="Arial"/>
          <w:sz w:val="22"/>
          <w:szCs w:val="22"/>
        </w:rPr>
        <w:t xml:space="preserve">The Catalyst Engine identifies the specific trade setup active on the current chart bar. It evaluates six mutually exclusive catalyst types in priority order — the first condition that is satisfied wins. All six catalysts share a common internal Stage detection framework before the specific conditions are tested.</w:t>
      </w:r>
    </w:p>
    <w:p>
      <w:pPr>
        <w:pStyle w:val="Heading3"/>
      </w:pPr>
      <w:r>
        <w:t xml:space="preserve">3.7.1 Positional Catalysts — Full Logic</w:t>
      </w:r>
    </w:p>
    <w:p>
      <w:pPr>
        <w:spacing w:after="130"/>
      </w:pPr>
      <w:r>
        <w:rPr>
          <w:rFonts w:ascii="Arial" w:cs="Arial" w:eastAsia="Arial" w:hAnsi="Arial"/>
          <w:sz w:val="22"/>
          <w:szCs w:val="22"/>
        </w:rPr>
        <w:t xml:space="preserve">Positional catalysts are designed for multi-month holding periods. They target structural breakouts and early institutional accumulation. Both require the stock to be in Stage 1 or Stage 2.</w:t>
      </w:r>
    </w:p>
    <w:p>
      <w:pPr>
        <w:spacing w:after="120"/>
      </w:pPr>
    </w:p>
    <w:p>
      <w:pPr>
        <w:spacing w:after="60" w:before="160"/>
      </w:pPr>
      <w:r>
        <w:rPr>
          <w:rFonts w:ascii="Arial" w:cs="Arial" w:eastAsia="Arial" w:hAnsi="Arial"/>
          <w:b/>
          <w:bCs/>
          <w:color w:val="1B5E20"/>
          <w:sz w:val="24"/>
          <w:szCs w:val="24"/>
        </w:rPr>
        <w:t xml:space="preserve">POS-ACCUM  (Positional Accumulation)</w:t>
      </w:r>
    </w:p>
    <w:p>
      <w:pPr>
        <w:spacing w:after="130"/>
      </w:pPr>
      <w:r>
        <w:rPr>
          <w:rFonts w:ascii="Arial" w:cs="Arial" w:eastAsia="Arial" w:hAnsi="Arial"/>
          <w:sz w:val="22"/>
          <w:szCs w:val="22"/>
        </w:rPr>
        <w:t xml:space="preserve">Detected when smart money is quietly building a position in a basing or early advancing stock, while price action appears flat and uninteresting to the retail eye. This is the most powerful early-entry signal in the system.</w:t>
      </w:r>
    </w:p>
    <w:p>
      <w:pPr>
        <w:spacing w:after="130"/>
      </w:pPr>
      <w:r>
        <w:rPr>
          <w:rFonts w:ascii="Arial" w:cs="Arial" w:eastAsia="Arial" w:hAnsi="Arial"/>
          <w:sz w:val="22"/>
          <w:szCs w:val="22"/>
        </w:rPr>
        <w:t xml:space="preserve">Exact conditions (all must be true simultaneously):</w:t>
      </w:r>
    </w:p>
    <w:p>
      <w:pPr>
        <w:pStyle w:val="ListParagraph"/>
        <w:numPr>
          <w:ilvl w:val="0"/>
          <w:numId w:val="2"/>
        </w:numPr>
        <w:spacing w:after="90"/>
      </w:pPr>
      <w:r>
        <w:rPr>
          <w:rFonts w:ascii="Arial" w:cs="Arial" w:eastAsia="Arial" w:hAnsi="Arial"/>
          <w:sz w:val="22"/>
          <w:szCs w:val="22"/>
        </w:rPr>
        <w:t xml:space="preserve">Stage: is_stage1 OR is_stage2 must be true (see note below for stage definitions used in the Catalyst Engine).</w:t>
      </w:r>
    </w:p>
    <w:p>
      <w:pPr>
        <w:pStyle w:val="ListParagraph"/>
        <w:numPr>
          <w:ilvl w:val="0"/>
          <w:numId w:val="2"/>
        </w:numPr>
        <w:spacing w:after="90"/>
      </w:pPr>
      <w:r>
        <w:rPr>
          <w:rFonts w:ascii="Arial" w:cs="Arial" w:eastAsia="Arial" w:hAnsi="Arial"/>
          <w:sz w:val="22"/>
          <w:szCs w:val="22"/>
        </w:rPr>
        <w:t xml:space="preserve">OBV Breakout: The on-balance volume (OBV = cumulative sum of sign(price change) × volume) must exceed its own 50-bar high from 1 bar ago. Formula: obv &gt; ta.highest(obv, 50)[1]. This confirms that cumulative buying pressure has broken out even before price does.</w:t>
      </w:r>
    </w:p>
    <w:p>
      <w:pPr>
        <w:pStyle w:val="ListParagraph"/>
        <w:numPr>
          <w:ilvl w:val="0"/>
          <w:numId w:val="2"/>
        </w:numPr>
        <w:spacing w:after="90"/>
      </w:pPr>
      <w:r>
        <w:rPr>
          <w:rFonts w:ascii="Arial" w:cs="Arial" w:eastAsia="Arial" w:hAnsi="Arial"/>
          <w:sz w:val="22"/>
          <w:szCs w:val="22"/>
        </w:rPr>
        <w:t xml:space="preserve">Price Lagging (Flat Base): The stock must be trading more than 8% below its 50-bar high. Formula: (ta.highest(high, 50) − close) / close &gt; 0.08. This ensures the signal fires on bases, not on already-extended stocks.</w:t>
      </w:r>
    </w:p>
    <w:p>
      <w:pPr>
        <w:pStyle w:val="ListParagraph"/>
        <w:numPr>
          <w:ilvl w:val="0"/>
          <w:numId w:val="2"/>
        </w:numPr>
        <w:spacing w:after="90"/>
      </w:pPr>
      <w:r>
        <w:rPr>
          <w:rFonts w:ascii="Arial" w:cs="Arial" w:eastAsia="Arial" w:hAnsi="Arial"/>
          <w:sz w:val="22"/>
          <w:szCs w:val="22"/>
        </w:rPr>
        <w:t xml:space="preserve">VCP Tight: ATR(10) &lt; ATR(40) × 0.75. The short-term volatility is at least 25% tighter than the 40-bar average — confirming price is coiling and ready to move.</w:t>
      </w:r>
    </w:p>
    <w:p>
      <w:pPr>
        <w:pBdr>
          <w:left w:val="single" w:color="6A1B9A" w:sz="14" w:space="8"/>
        </w:pBdr>
        <w:spacing w:after="140" w:before="140"/>
        <w:ind w:left="360"/>
      </w:pPr>
      <w:r>
        <w:rPr>
          <w:rFonts w:ascii="Arial" w:cs="Arial" w:eastAsia="Arial" w:hAnsi="Arial"/>
          <w:b/>
          <w:bCs/>
          <w:color w:val="6A1B9A"/>
          <w:sz w:val="20"/>
          <w:szCs w:val="20"/>
        </w:rPr>
        <w:t xml:space="preserve">NOTE: </w:t>
      </w:r>
      <w:r>
        <w:rPr>
          <w:rFonts w:ascii="Arial" w:cs="Arial" w:eastAsia="Arial" w:hAnsi="Arial"/>
          <w:i/>
          <w:iCs/>
          <w:sz w:val="20"/>
          <w:szCs w:val="20"/>
        </w:rPr>
        <w:t xml:space="preserve">In the Catalyst Engine (both Dashboard and Screener), Stage 2 is simplified to: close &gt; SMA150 AND SMA150 &gt; SMA200 AND SMA200 &gt; SMA200[10]. Stage 1 is: NOT Stage2 AND close &gt; SMA200. This is a daily-bar proxy equivalent to the weekly Stage classification.</w:t>
      </w:r>
    </w:p>
    <w:p>
      <w:pPr>
        <w:spacing w:after="120"/>
      </w:pPr>
    </w:p>
    <w:p>
      <w:pPr>
        <w:spacing w:after="60" w:before="160"/>
      </w:pPr>
      <w:r>
        <w:rPr>
          <w:rFonts w:ascii="Arial" w:cs="Arial" w:eastAsia="Arial" w:hAnsi="Arial"/>
          <w:b/>
          <w:bCs/>
          <w:color w:val="0D47A1"/>
          <w:sz w:val="24"/>
          <w:szCs w:val="24"/>
        </w:rPr>
        <w:t xml:space="preserve">POS-BO  (Positional Breakout)</w:t>
      </w:r>
    </w:p>
    <w:p>
      <w:pPr>
        <w:spacing w:after="130"/>
      </w:pPr>
      <w:r>
        <w:rPr>
          <w:rFonts w:ascii="Arial" w:cs="Arial" w:eastAsia="Arial" w:hAnsi="Arial"/>
          <w:sz w:val="22"/>
          <w:szCs w:val="22"/>
        </w:rPr>
        <w:t xml:space="preserve">Detected when a Stage 2 stock is launching a new leg higher from near its 52-week high with strong institutional volume. This is the canonical Weinstein Stage 2 breakout signal.</w:t>
      </w:r>
    </w:p>
    <w:p>
      <w:pPr>
        <w:spacing w:after="130"/>
      </w:pPr>
      <w:r>
        <w:rPr>
          <w:rFonts w:ascii="Arial" w:cs="Arial" w:eastAsia="Arial" w:hAnsi="Arial"/>
          <w:sz w:val="22"/>
          <w:szCs w:val="22"/>
        </w:rPr>
        <w:t xml:space="preserve">Exact conditions (all must be true simultaneously):</w:t>
      </w:r>
    </w:p>
    <w:p>
      <w:pPr>
        <w:pStyle w:val="ListParagraph"/>
        <w:numPr>
          <w:ilvl w:val="0"/>
          <w:numId w:val="2"/>
        </w:numPr>
        <w:spacing w:after="90"/>
      </w:pPr>
      <w:r>
        <w:rPr>
          <w:rFonts w:ascii="Arial" w:cs="Arial" w:eastAsia="Arial" w:hAnsi="Arial"/>
          <w:sz w:val="22"/>
          <w:szCs w:val="22"/>
        </w:rPr>
        <w:t xml:space="preserve">Stage: is_stage2 must be true (close &gt; SMA150 &gt; SMA200 &gt; SMA200[10]).</w:t>
      </w:r>
    </w:p>
    <w:p>
      <w:pPr>
        <w:pStyle w:val="ListParagraph"/>
        <w:numPr>
          <w:ilvl w:val="0"/>
          <w:numId w:val="2"/>
        </w:numPr>
        <w:spacing w:after="90"/>
      </w:pPr>
      <w:r>
        <w:rPr>
          <w:rFonts w:ascii="Arial" w:cs="Arial" w:eastAsia="Arial" w:hAnsi="Arial"/>
          <w:sz w:val="22"/>
          <w:szCs w:val="22"/>
        </w:rPr>
        <w:t xml:space="preserve">Near 52-Week High: close &gt; ta.highest(high, 250)[1] × 0.95. Price is within 5% of the 52-week high. This prevents triggering on stocks that have already run far from their base.</w:t>
      </w:r>
    </w:p>
    <w:p>
      <w:pPr>
        <w:pStyle w:val="ListParagraph"/>
        <w:numPr>
          <w:ilvl w:val="0"/>
          <w:numId w:val="2"/>
        </w:numPr>
        <w:spacing w:after="90"/>
      </w:pPr>
      <w:r>
        <w:rPr>
          <w:rFonts w:ascii="Arial" w:cs="Arial" w:eastAsia="Arial" w:hAnsi="Arial"/>
          <w:sz w:val="22"/>
          <w:szCs w:val="22"/>
        </w:rPr>
        <w:t xml:space="preserve">Volume Expansion: volume &gt; vol_sma50 × 1.5. Current volume is at least 150% of the 50-bar average. This is the essential breakout confirmation that differentiates genuine institutional buying from a low-conviction drift.</w:t>
      </w:r>
    </w:p>
    <w:p>
      <w:pPr>
        <w:pBdr>
          <w:left w:val="single" w:color="1565C0" w:sz="14" w:space="8"/>
        </w:pBdr>
        <w:spacing w:after="140" w:before="140"/>
        <w:ind w:left="360"/>
      </w:pPr>
      <w:r>
        <w:rPr>
          <w:rFonts w:ascii="Arial" w:cs="Arial" w:eastAsia="Arial" w:hAnsi="Arial"/>
          <w:b/>
          <w:bCs/>
          <w:color w:val="1565C0"/>
          <w:sz w:val="20"/>
          <w:szCs w:val="20"/>
        </w:rPr>
        <w:t xml:space="preserve">PRO TIP: </w:t>
      </w:r>
      <w:r>
        <w:rPr>
          <w:rFonts w:ascii="Arial" w:cs="Arial" w:eastAsia="Arial" w:hAnsi="Arial"/>
          <w:i/>
          <w:iCs/>
          <w:sz w:val="20"/>
          <w:szCs w:val="20"/>
        </w:rPr>
        <w:t xml:space="preserve">POS-ACCUM fires first in the priority chain. If both OBV breakout and price-near-52wk-high are simultaneously true (rare but possible), the signal will be classified as POS-ACCUM, not POS-BO.</w:t>
      </w:r>
    </w:p>
    <w:p>
      <w:pPr>
        <w:pStyle w:val="Heading3"/>
      </w:pPr>
      <w:r>
        <w:t xml:space="preserve">3.7.2 Swing Catalysts — Full Logic</w:t>
      </w:r>
    </w:p>
    <w:p>
      <w:pPr>
        <w:spacing w:after="130"/>
      </w:pPr>
      <w:r>
        <w:rPr>
          <w:rFonts w:ascii="Arial" w:cs="Arial" w:eastAsia="Arial" w:hAnsi="Arial"/>
          <w:sz w:val="22"/>
          <w:szCs w:val="22"/>
        </w:rPr>
        <w:t xml:space="preserve">Swing catalysts target 8–12 week trades within an established Stage 2 uptrend. All four swing types require is_stage2 = true as a prerequisite. They are evaluated in the following priority order: SWG-GAP → SWG-BO → SWG-PB → SWG-REV.</w:t>
      </w:r>
    </w:p>
    <w:p>
      <w:pPr>
        <w:spacing w:after="120"/>
      </w:pPr>
    </w:p>
    <w:p>
      <w:pPr>
        <w:spacing w:after="60" w:before="160"/>
      </w:pPr>
      <w:r>
        <w:rPr>
          <w:rFonts w:ascii="Arial" w:cs="Arial" w:eastAsia="Arial" w:hAnsi="Arial"/>
          <w:b/>
          <w:bCs/>
          <w:color w:val="006064"/>
          <w:sz w:val="24"/>
          <w:szCs w:val="24"/>
        </w:rPr>
        <w:t xml:space="preserve">SWG-GAP  (Gap &amp; Go)</w:t>
      </w:r>
    </w:p>
    <w:p>
      <w:pPr>
        <w:spacing w:after="130"/>
      </w:pPr>
      <w:r>
        <w:rPr>
          <w:rFonts w:ascii="Arial" w:cs="Arial" w:eastAsia="Arial" w:hAnsi="Arial"/>
          <w:sz w:val="22"/>
          <w:szCs w:val="22"/>
        </w:rPr>
        <w:t xml:space="preserve">Detected when a Stage 2 stock gaps up above its prior bar’s high on the open, then closes bullishly. This signals a high-conviction institutional event (earnings beat, upgrade, sector rotation).</w:t>
      </w:r>
    </w:p>
    <w:p>
      <w:pPr>
        <w:spacing w:after="130"/>
      </w:pPr>
      <w:r>
        <w:rPr>
          <w:rFonts w:ascii="Arial" w:cs="Arial" w:eastAsia="Arial" w:hAnsi="Arial"/>
          <w:sz w:val="22"/>
          <w:szCs w:val="22"/>
        </w:rPr>
        <w:t xml:space="preserve">Exact conditions:</w:t>
      </w:r>
    </w:p>
    <w:p>
      <w:pPr>
        <w:pStyle w:val="ListParagraph"/>
        <w:numPr>
          <w:ilvl w:val="0"/>
          <w:numId w:val="2"/>
        </w:numPr>
        <w:spacing w:after="90"/>
      </w:pPr>
      <w:r>
        <w:rPr>
          <w:rFonts w:ascii="Arial" w:cs="Arial" w:eastAsia="Arial" w:hAnsi="Arial"/>
          <w:sz w:val="22"/>
          <w:szCs w:val="22"/>
        </w:rPr>
        <w:t xml:space="preserve">Stage: is_stage2 = true.</w:t>
      </w:r>
    </w:p>
    <w:p>
      <w:pPr>
        <w:pStyle w:val="ListParagraph"/>
        <w:numPr>
          <w:ilvl w:val="0"/>
          <w:numId w:val="2"/>
        </w:numPr>
        <w:spacing w:after="90"/>
      </w:pPr>
      <w:r>
        <w:rPr>
          <w:rFonts w:ascii="Arial" w:cs="Arial" w:eastAsia="Arial" w:hAnsi="Arial"/>
          <w:sz w:val="22"/>
          <w:szCs w:val="22"/>
        </w:rPr>
        <w:t xml:space="preserve">Gap Magnitude: open &gt; high[1] × 1.02. The opening price is at least 2% above the prior bar’s high.</w:t>
      </w:r>
    </w:p>
    <w:p>
      <w:pPr>
        <w:pStyle w:val="ListParagraph"/>
        <w:numPr>
          <w:ilvl w:val="0"/>
          <w:numId w:val="2"/>
        </w:numPr>
        <w:spacing w:after="90"/>
      </w:pPr>
      <w:r>
        <w:rPr>
          <w:rFonts w:ascii="Arial" w:cs="Arial" w:eastAsia="Arial" w:hAnsi="Arial"/>
          <w:sz w:val="22"/>
          <w:szCs w:val="22"/>
        </w:rPr>
        <w:t xml:space="preserve">Bullish Close: close &gt; open. The stock holds the gap and closes in the upper part of the opening bar’s range.</w:t>
      </w:r>
    </w:p>
    <w:p>
      <w:pPr>
        <w:pBdr>
          <w:left w:val="single" w:color="6A1B9A" w:sz="14" w:space="8"/>
        </w:pBdr>
        <w:spacing w:after="140" w:before="140"/>
        <w:ind w:left="360"/>
      </w:pPr>
      <w:r>
        <w:rPr>
          <w:rFonts w:ascii="Arial" w:cs="Arial" w:eastAsia="Arial" w:hAnsi="Arial"/>
          <w:b/>
          <w:bCs/>
          <w:color w:val="6A1B9A"/>
          <w:sz w:val="20"/>
          <w:szCs w:val="20"/>
        </w:rPr>
        <w:t xml:space="preserve">NOTE: </w:t>
      </w:r>
      <w:r>
        <w:rPr>
          <w:rFonts w:ascii="Arial" w:cs="Arial" w:eastAsia="Arial" w:hAnsi="Arial"/>
          <w:i/>
          <w:iCs/>
          <w:sz w:val="20"/>
          <w:szCs w:val="20"/>
        </w:rPr>
        <w:t xml:space="preserve">In the Strategy (Section 4), the SWG-GAP threshold is stricter: gap must be ≥4% above the prior high, with volume &gt; 3× average. The Catalyst Engine in the Dashboard uses a 2% threshold for labelling only, not for trade entry.</w:t>
      </w:r>
    </w:p>
    <w:p>
      <w:pPr>
        <w:spacing w:after="120"/>
      </w:pPr>
    </w:p>
    <w:p>
      <w:pPr>
        <w:spacing w:after="60" w:before="160"/>
      </w:pPr>
      <w:r>
        <w:rPr>
          <w:rFonts w:ascii="Arial" w:cs="Arial" w:eastAsia="Arial" w:hAnsi="Arial"/>
          <w:b/>
          <w:bCs/>
          <w:color w:val="4A148C"/>
          <w:sz w:val="24"/>
          <w:szCs w:val="24"/>
        </w:rPr>
        <w:t xml:space="preserve">SWG-BO  (Swing Breakout / VCP)</w:t>
      </w:r>
    </w:p>
    <w:p>
      <w:pPr>
        <w:spacing w:after="130"/>
      </w:pPr>
      <w:r>
        <w:rPr>
          <w:rFonts w:ascii="Arial" w:cs="Arial" w:eastAsia="Arial" w:hAnsi="Arial"/>
          <w:sz w:val="22"/>
          <w:szCs w:val="22"/>
        </w:rPr>
        <w:t xml:space="preserve">Detected when a Stage 2 stock has built a Volatility Contraction Pattern (VCP) and then breaks above a recent pivot high with expanding volume. The VCP is the Minervini’s core setup pattern.</w:t>
      </w:r>
    </w:p>
    <w:p>
      <w:pPr>
        <w:spacing w:after="130"/>
      </w:pPr>
      <w:r>
        <w:rPr>
          <w:rFonts w:ascii="Arial" w:cs="Arial" w:eastAsia="Arial" w:hAnsi="Arial"/>
          <w:sz w:val="22"/>
          <w:szCs w:val="22"/>
        </w:rPr>
        <w:t xml:space="preserve">Exact conditions:</w:t>
      </w:r>
    </w:p>
    <w:p>
      <w:pPr>
        <w:pStyle w:val="ListParagraph"/>
        <w:numPr>
          <w:ilvl w:val="0"/>
          <w:numId w:val="2"/>
        </w:numPr>
        <w:spacing w:after="90"/>
      </w:pPr>
      <w:r>
        <w:rPr>
          <w:rFonts w:ascii="Arial" w:cs="Arial" w:eastAsia="Arial" w:hAnsi="Arial"/>
          <w:sz w:val="22"/>
          <w:szCs w:val="22"/>
        </w:rPr>
        <w:t xml:space="preserve">Stage: is_stage2 = true.</w:t>
      </w:r>
    </w:p>
    <w:p>
      <w:pPr>
        <w:pStyle w:val="ListParagraph"/>
        <w:numPr>
          <w:ilvl w:val="0"/>
          <w:numId w:val="2"/>
        </w:numPr>
        <w:spacing w:after="90"/>
      </w:pPr>
      <w:r>
        <w:rPr>
          <w:rFonts w:ascii="Arial" w:cs="Arial" w:eastAsia="Arial" w:hAnsi="Arial"/>
          <w:sz w:val="22"/>
          <w:szCs w:val="22"/>
        </w:rPr>
        <w:t xml:space="preserve">VCP Tightness: ATR(10) &lt; ATR(40) × 0.75 AND VWMA(volume, 5) &lt; SMA(volume, 50). Both price volatility contraction AND volume dry-up must be present.</w:t>
      </w:r>
    </w:p>
    <w:p>
      <w:pPr>
        <w:pStyle w:val="ListParagraph"/>
        <w:numPr>
          <w:ilvl w:val="0"/>
          <w:numId w:val="2"/>
        </w:numPr>
        <w:spacing w:after="90"/>
      </w:pPr>
      <w:r>
        <w:rPr>
          <w:rFonts w:ascii="Arial" w:cs="Arial" w:eastAsia="Arial" w:hAnsi="Arial"/>
          <w:sz w:val="22"/>
          <w:szCs w:val="22"/>
        </w:rPr>
        <w:t xml:space="preserve">Pivot Break: close &gt; ta.highest(high, 10)[1]. Price closes above the 10-bar swing high from 1 bar ago.</w:t>
      </w:r>
    </w:p>
    <w:p>
      <w:pPr>
        <w:pStyle w:val="ListParagraph"/>
        <w:numPr>
          <w:ilvl w:val="0"/>
          <w:numId w:val="2"/>
        </w:numPr>
        <w:spacing w:after="90"/>
      </w:pPr>
      <w:r>
        <w:rPr>
          <w:rFonts w:ascii="Arial" w:cs="Arial" w:eastAsia="Arial" w:hAnsi="Arial"/>
          <w:sz w:val="22"/>
          <w:szCs w:val="22"/>
        </w:rPr>
        <w:t xml:space="preserve">Volume Expansion: volume &gt; vol_sma50 × 1.2. Current volume is at least 120% of the 50-bar average on the breakout bar.</w:t>
      </w:r>
    </w:p>
    <w:p>
      <w:pPr>
        <w:spacing w:after="120"/>
      </w:pPr>
    </w:p>
    <w:p>
      <w:pPr>
        <w:spacing w:after="60" w:before="160"/>
      </w:pPr>
      <w:r>
        <w:rPr>
          <w:rFonts w:ascii="Arial" w:cs="Arial" w:eastAsia="Arial" w:hAnsi="Arial"/>
          <w:b/>
          <w:bCs/>
          <w:color w:val="E65100"/>
          <w:sz w:val="24"/>
          <w:szCs w:val="24"/>
        </w:rPr>
        <w:t xml:space="preserve">SWG-PB  (Swing Pullback / EMA Bounce)</w:t>
      </w:r>
    </w:p>
    <w:p>
      <w:pPr>
        <w:spacing w:after="130"/>
      </w:pPr>
      <w:r>
        <w:rPr>
          <w:rFonts w:ascii="Arial" w:cs="Arial" w:eastAsia="Arial" w:hAnsi="Arial"/>
          <w:sz w:val="22"/>
          <w:szCs w:val="22"/>
        </w:rPr>
        <w:t xml:space="preserve">Detected when a Stage 2 stock has pulled back to the vicinity of its 20-period EMA on declining volume, while momentum (as measured by multiple RSI periods) remains healthy. This is the Minervini ‘20 EMA Bouncer’ setup.</w:t>
      </w:r>
    </w:p>
    <w:p>
      <w:pPr>
        <w:spacing w:after="130"/>
      </w:pPr>
      <w:r>
        <w:rPr>
          <w:rFonts w:ascii="Arial" w:cs="Arial" w:eastAsia="Arial" w:hAnsi="Arial"/>
          <w:sz w:val="22"/>
          <w:szCs w:val="22"/>
        </w:rPr>
        <w:t xml:space="preserve">Exact conditions (all must be true simultaneously):</w:t>
      </w:r>
    </w:p>
    <w:p>
      <w:pPr>
        <w:pStyle w:val="ListParagraph"/>
        <w:numPr>
          <w:ilvl w:val="0"/>
          <w:numId w:val="2"/>
        </w:numPr>
        <w:spacing w:after="90"/>
      </w:pPr>
      <w:r>
        <w:rPr>
          <w:rFonts w:ascii="Arial" w:cs="Arial" w:eastAsia="Arial" w:hAnsi="Arial"/>
          <w:sz w:val="22"/>
          <w:szCs w:val="22"/>
        </w:rPr>
        <w:t xml:space="preserve">Stage: is_stage2 = true.</w:t>
      </w:r>
    </w:p>
    <w:p>
      <w:pPr>
        <w:pStyle w:val="ListParagraph"/>
        <w:numPr>
          <w:ilvl w:val="0"/>
          <w:numId w:val="2"/>
        </w:numPr>
        <w:spacing w:after="90"/>
      </w:pPr>
      <w:r>
        <w:rPr>
          <w:rFonts w:ascii="Arial" w:cs="Arial" w:eastAsia="Arial" w:hAnsi="Arial"/>
          <w:sz w:val="22"/>
          <w:szCs w:val="22"/>
        </w:rPr>
        <w:t xml:space="preserve">Price Near EMA 20 from Above: close &gt; EMA20 AND (close − EMA20) / EMA20 &lt; 0.05. Price is above the 20 EMA but within 5% of it. The stock has not broken down below its short-term average.</w:t>
      </w:r>
    </w:p>
    <w:p>
      <w:pPr>
        <w:pStyle w:val="ListParagraph"/>
        <w:numPr>
          <w:ilvl w:val="0"/>
          <w:numId w:val="2"/>
        </w:numPr>
        <w:spacing w:after="90"/>
      </w:pPr>
      <w:r>
        <w:rPr>
          <w:rFonts w:ascii="Arial" w:cs="Arial" w:eastAsia="Arial" w:hAnsi="Arial"/>
          <w:sz w:val="22"/>
          <w:szCs w:val="22"/>
        </w:rPr>
        <w:t xml:space="preserve">Volume Dry-Up (VDU): volume &lt; vol_sma50. Volume is below the 50-bar average, indicating supply is absent. Sellers are not pressing the stock down.</w:t>
      </w:r>
    </w:p>
    <w:p>
      <w:pPr>
        <w:pStyle w:val="ListParagraph"/>
        <w:numPr>
          <w:ilvl w:val="0"/>
          <w:numId w:val="2"/>
        </w:numPr>
        <w:spacing w:after="90"/>
      </w:pPr>
      <w:r>
        <w:rPr>
          <w:rFonts w:ascii="Arial" w:cs="Arial" w:eastAsia="Arial" w:hAnsi="Arial"/>
          <w:sz w:val="22"/>
          <w:szCs w:val="22"/>
        </w:rPr>
        <w:t xml:space="preserve">RSI(14) Momentum Floor: rsi(close, 14) &gt; 40. The standard RSI is above 40, confirming the stock is not in a momentum breakdown.</w:t>
      </w:r>
    </w:p>
    <w:p>
      <w:pPr>
        <w:pStyle w:val="ListParagraph"/>
        <w:numPr>
          <w:ilvl w:val="0"/>
          <w:numId w:val="2"/>
        </w:numPr>
        <w:spacing w:after="90"/>
      </w:pPr>
      <w:r>
        <w:rPr>
          <w:rFonts w:ascii="Arial" w:cs="Arial" w:eastAsia="Arial" w:hAnsi="Arial"/>
          <w:sz w:val="22"/>
          <w:szCs w:val="22"/>
        </w:rPr>
        <w:t xml:space="preserve">RSI(70) Smoothed Momentum: rsi(close, 70) &gt; 55. A 70-period RSI above 55 provides a long-term momentum confirmation that filters out false pullback signals in structurally weak stocks.</w:t>
      </w:r>
    </w:p>
    <w:p>
      <w:pPr>
        <w:pBdr>
          <w:left w:val="single" w:color="1565C0" w:sz="14" w:space="8"/>
        </w:pBdr>
        <w:spacing w:after="140" w:before="140"/>
        <w:ind w:left="360"/>
      </w:pPr>
      <w:r>
        <w:rPr>
          <w:rFonts w:ascii="Arial" w:cs="Arial" w:eastAsia="Arial" w:hAnsi="Arial"/>
          <w:b/>
          <w:bCs/>
          <w:color w:val="1565C0"/>
          <w:sz w:val="20"/>
          <w:szCs w:val="20"/>
        </w:rPr>
        <w:t xml:space="preserve">PRO TIP: </w:t>
      </w:r>
      <w:r>
        <w:rPr>
          <w:rFonts w:ascii="Arial" w:cs="Arial" w:eastAsia="Arial" w:hAnsi="Arial"/>
          <w:i/>
          <w:iCs/>
          <w:sz w:val="20"/>
          <w:szCs w:val="20"/>
        </w:rPr>
        <w:t xml:space="preserve">RSI(70) is a highly smoothed momentum indicator. When RSI(70) &gt; 55, it means the stock has had consistently bullish price action over the last 70 bars — a quality filter that eliminates marginal Stage 2 candidates.</w:t>
      </w:r>
    </w:p>
    <w:p>
      <w:pPr>
        <w:spacing w:after="120"/>
      </w:pPr>
    </w:p>
    <w:p>
      <w:pPr>
        <w:spacing w:after="60" w:before="160"/>
      </w:pPr>
      <w:r>
        <w:rPr>
          <w:rFonts w:ascii="Arial" w:cs="Arial" w:eastAsia="Arial" w:hAnsi="Arial"/>
          <w:b/>
          <w:bCs/>
          <w:color w:val="B71C1C"/>
          <w:sz w:val="24"/>
          <w:szCs w:val="24"/>
        </w:rPr>
        <w:t xml:space="preserve">SWG-REV  (Swing Reversal / Mean Reversion)</w:t>
      </w:r>
    </w:p>
    <w:p>
      <w:pPr>
        <w:spacing w:after="130"/>
      </w:pPr>
      <w:r>
        <w:rPr>
          <w:rFonts w:ascii="Arial" w:cs="Arial" w:eastAsia="Arial" w:hAnsi="Arial"/>
          <w:sz w:val="22"/>
          <w:szCs w:val="22"/>
        </w:rPr>
        <w:t xml:space="preserve">Detected when a Stage 2 stock has suffered a sharp short-term sell-off, pushing the ultra-short RSI into deeply oversold territory while price has fallen more than 5% below the 20 EMA. This targets mean-reversion bounces within an ongoing uptrend.</w:t>
      </w:r>
    </w:p>
    <w:p>
      <w:pPr>
        <w:spacing w:after="130"/>
      </w:pPr>
      <w:r>
        <w:rPr>
          <w:rFonts w:ascii="Arial" w:cs="Arial" w:eastAsia="Arial" w:hAnsi="Arial"/>
          <w:sz w:val="22"/>
          <w:szCs w:val="22"/>
        </w:rPr>
        <w:t xml:space="preserve">Exact conditions:</w:t>
      </w:r>
    </w:p>
    <w:p>
      <w:pPr>
        <w:pStyle w:val="ListParagraph"/>
        <w:numPr>
          <w:ilvl w:val="0"/>
          <w:numId w:val="2"/>
        </w:numPr>
        <w:spacing w:after="90"/>
      </w:pPr>
      <w:r>
        <w:rPr>
          <w:rFonts w:ascii="Arial" w:cs="Arial" w:eastAsia="Arial" w:hAnsi="Arial"/>
          <w:sz w:val="22"/>
          <w:szCs w:val="22"/>
        </w:rPr>
        <w:t xml:space="preserve">Stage: is_stage2 = true.</w:t>
      </w:r>
    </w:p>
    <w:p>
      <w:pPr>
        <w:pStyle w:val="ListParagraph"/>
        <w:numPr>
          <w:ilvl w:val="0"/>
          <w:numId w:val="2"/>
        </w:numPr>
        <w:spacing w:after="90"/>
      </w:pPr>
      <w:r>
        <w:rPr>
          <w:rFonts w:ascii="Arial" w:cs="Arial" w:eastAsia="Arial" w:hAnsi="Arial"/>
          <w:sz w:val="22"/>
          <w:szCs w:val="22"/>
        </w:rPr>
        <w:t xml:space="preserve">Ultra-Short RSI Oversold: rsi(close, 3) &lt; 20. The 3-bar RSI is below 20, indicating an extreme short-term exhaustion of selling pressure.</w:t>
      </w:r>
    </w:p>
    <w:p>
      <w:pPr>
        <w:pStyle w:val="ListParagraph"/>
        <w:numPr>
          <w:ilvl w:val="0"/>
          <w:numId w:val="2"/>
        </w:numPr>
        <w:spacing w:after="90"/>
      </w:pPr>
      <w:r>
        <w:rPr>
          <w:rFonts w:ascii="Arial" w:cs="Arial" w:eastAsia="Arial" w:hAnsi="Arial"/>
          <w:sz w:val="22"/>
          <w:szCs w:val="22"/>
        </w:rPr>
        <w:t xml:space="preserve">Price Below EMA 20 by &gt;5%: (EMA20 − close) / EMA20 &gt; 0.05. Price has dipped more than 5% below the 20 EMA, creating a meaningful snap-back opportunity.</w:t>
      </w:r>
    </w:p>
    <w:p>
      <w:pPr>
        <w:pBdr>
          <w:left w:val="single" w:color="BF360C" w:sz="14" w:space="8"/>
        </w:pBdr>
        <w:spacing w:after="140" w:before="140"/>
        <w:ind w:left="360"/>
      </w:pPr>
      <w:r>
        <w:rPr>
          <w:rFonts w:ascii="Arial" w:cs="Arial" w:eastAsia="Arial" w:hAnsi="Arial"/>
          <w:b/>
          <w:bCs/>
          <w:color w:val="BF360C"/>
          <w:sz w:val="20"/>
          <w:szCs w:val="20"/>
        </w:rPr>
        <w:t xml:space="preserve">WARNING: </w:t>
      </w:r>
      <w:r>
        <w:rPr>
          <w:rFonts w:ascii="Arial" w:cs="Arial" w:eastAsia="Arial" w:hAnsi="Arial"/>
          <w:i/>
          <w:iCs/>
          <w:sz w:val="20"/>
          <w:szCs w:val="20"/>
        </w:rPr>
        <w:t xml:space="preserve">SWG-REV is the highest-risk swing catalyst. Because price is below EMA20, there is no confirmation of a structural low. The Strategy applies a hard 5-day time stop to all SWG-REV positions and targets only 1.5R.</w:t>
      </w:r>
    </w:p>
    <w:p>
      <w:pPr>
        <w:pStyle w:val="Heading3"/>
      </w:pPr>
      <w:r>
        <w:t xml:space="preserve">3.7.3 Catalyst Priority Order &amp; Colour 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c>
          <w:tcPr>
            <w:tcW w:type="dxa" w:w="14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Priority</w:t>
            </w:r>
          </w:p>
        </w:tc>
        <w:tc>
          <w:tcPr>
            <w:tcW w:type="dxa" w:w="16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Catalyst</w:t>
            </w:r>
          </w:p>
        </w:tc>
        <w:tc>
          <w:tcPr>
            <w:tcW w:type="dxa" w:w="20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Colour</w:t>
            </w:r>
          </w:p>
        </w:tc>
        <w:tc>
          <w:tcPr>
            <w:tcW w:type="dxa" w:w="436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Entry Style</w:t>
            </w:r>
          </w:p>
        </w:tc>
      </w:tr>
      <w:tr>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1 (Highest)</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POS-ACCUM</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Lime Green</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Positional — multi-month holding</w:t>
            </w:r>
          </w:p>
        </w:tc>
      </w:tr>
      <w:tr>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2</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POS-BO</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Blue</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Positional — breakout entry</w:t>
            </w:r>
          </w:p>
        </w:tc>
      </w:tr>
      <w:tr>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3</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SWG-GAP</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Aqua (Cyan)</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Swing — gap-up day entry</w:t>
            </w:r>
          </w:p>
        </w:tc>
      </w:tr>
      <w:tr>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4</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SWG-BO</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Fuchsia</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Swing — VCP breakout entry</w:t>
            </w:r>
          </w:p>
        </w:tc>
      </w:tr>
      <w:tr>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5</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SWG-PB</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Orange</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Swing — pullback/bounce entry</w:t>
            </w:r>
          </w:p>
        </w:tc>
      </w:tr>
      <w:tr>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6 (Lowest)</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SWG-REV</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Red</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Swing — mean reversion entry</w:t>
            </w:r>
          </w:p>
        </w:tc>
      </w:tr>
    </w:tbl>
    <w:p>
      <w:pPr>
        <w:pBdr>
          <w:left w:val="single" w:color="6A1B9A" w:sz="14" w:space="8"/>
        </w:pBdr>
        <w:spacing w:after="140" w:before="140"/>
        <w:ind w:left="360"/>
      </w:pPr>
      <w:r>
        <w:rPr>
          <w:rFonts w:ascii="Arial" w:cs="Arial" w:eastAsia="Arial" w:hAnsi="Arial"/>
          <w:b/>
          <w:bCs/>
          <w:color w:val="6A1B9A"/>
          <w:sz w:val="20"/>
          <w:szCs w:val="20"/>
        </w:rPr>
        <w:t xml:space="preserve">NOTE: </w:t>
      </w:r>
      <w:r>
        <w:rPr>
          <w:rFonts w:ascii="Arial" w:cs="Arial" w:eastAsia="Arial" w:hAnsi="Arial"/>
          <w:i/>
          <w:iCs/>
          <w:sz w:val="20"/>
          <w:szCs w:val="20"/>
        </w:rPr>
        <w:t xml:space="preserve">When multiple conditions are simultaneously true, the catalyst with the highest priority wins. For example, if both POS-ACCUM and SWG-BO conditions are met on the same bar, the label displays POS-ACCUM.</w:t>
      </w:r>
    </w:p>
    <w:p>
      <w:pPr>
        <w:pStyle w:val="Heading2"/>
      </w:pPr>
      <w:r>
        <w:t xml:space="preserve">3.8 Trade Style &amp; Stock Personality</w:t>
      </w:r>
    </w:p>
    <w:p>
      <w:pPr>
        <w:spacing w:after="130"/>
      </w:pPr>
      <w:r>
        <w:rPr>
          <w:rFonts w:ascii="Arial" w:cs="Arial" w:eastAsia="Arial" w:hAnsi="Arial"/>
          <w:sz w:val="22"/>
          <w:szCs w:val="22"/>
        </w:rPr>
        <w:t xml:space="preserve">The Dashboard classifies every stock into a recommended trading style and a personality profile. These are displayed as separate rows in the panel. They are recalculated every bar using local (no additional request.security calls) data.</w:t>
      </w:r>
    </w:p>
    <w:p>
      <w:pPr>
        <w:pStyle w:val="Heading3"/>
      </w:pPr>
      <w:r>
        <w:t xml:space="preserve">3.8.1 Trade Style Classification</w:t>
      </w:r>
    </w:p>
    <w:p>
      <w:pPr>
        <w:spacing w:after="130"/>
      </w:pPr>
      <w:r>
        <w:rPr>
          <w:rFonts w:ascii="Arial" w:cs="Arial" w:eastAsia="Arial" w:hAnsi="Arial"/>
          <w:sz w:val="22"/>
          <w:szCs w:val="22"/>
        </w:rPr>
        <w:t xml:space="preserve">The system determines whether the stock is suitable for positional trading, swing trading, both, or neither, based on the following logic trees:</w:t>
      </w:r>
    </w:p>
    <w:p>
      <w:pPr>
        <w:spacing w:after="120"/>
      </w:pPr>
    </w:p>
    <w:p>
      <w:pPr>
        <w:spacing w:after="60" w:before="120"/>
      </w:pPr>
      <w:r>
        <w:rPr>
          <w:rFonts w:ascii="Arial" w:cs="Arial" w:eastAsia="Arial" w:hAnsi="Arial"/>
          <w:b/>
          <w:bCs/>
          <w:color w:val="1565C0"/>
          <w:sz w:val="22"/>
          <w:szCs w:val="22"/>
        </w:rPr>
        <w:t xml:space="preserve">POSITIONAL Criteria (all three must be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Condition Variable</w:t>
            </w:r>
          </w:p>
        </w:tc>
        <w:tc>
          <w:tcPr>
            <w:tcW w:type="dxa" w:w="30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Exact Logic</w:t>
            </w:r>
          </w:p>
        </w:tc>
        <w:tc>
          <w:tcPr>
            <w:tcW w:type="dxa" w:w="436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What It Validates</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pos_stage_ok</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stageID == 'STAGE 2 (UP)' OR stageID == 'STAGE 1 (BASE)'</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Only Stage 2 or constructive Stage 1. Not Stage 3 or 4.</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pos_trend_ok</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close &gt; dMA200 AND wMASlopeState != 'FALLING'</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Price above 200 DMA (daily) AND weekly 30-WMA is not falling.</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pos_rs_ok</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rsSecState does NOT contain 'Lagging'</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The stock’s sector RS is not in a deteriorating state. (Sector doesn’t need to be Leading, just not Lagging.)</w:t>
            </w:r>
          </w:p>
        </w:tc>
      </w:tr>
    </w:tbl>
    <w:p>
      <w:pPr>
        <w:spacing w:after="130"/>
      </w:pPr>
      <w:r>
        <w:rPr>
          <w:rFonts w:ascii="Arial" w:cs="Arial" w:eastAsia="Arial" w:hAnsi="Arial"/>
          <w:sz w:val="22"/>
          <w:szCs w:val="22"/>
        </w:rPr>
        <w:t xml:space="preserve">Result: is_positional = pos_stage_ok AND pos_trend_ok AND pos_rs_ok</w:t>
      </w:r>
    </w:p>
    <w:p>
      <w:pPr>
        <w:spacing w:after="120"/>
      </w:pPr>
    </w:p>
    <w:p>
      <w:pPr>
        <w:spacing w:after="60" w:before="120"/>
      </w:pPr>
      <w:r>
        <w:rPr>
          <w:rFonts w:ascii="Arial" w:cs="Arial" w:eastAsia="Arial" w:hAnsi="Arial"/>
          <w:b/>
          <w:bCs/>
          <w:color w:val="6A1B9A"/>
          <w:sz w:val="22"/>
          <w:szCs w:val="22"/>
        </w:rPr>
        <w:t xml:space="preserve">SWING Criteria (sw_trend_ok AND (sw_mom_ok OR sw_pat_ok) AND sw_safe_ok):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Condition Variable</w:t>
            </w:r>
          </w:p>
        </w:tc>
        <w:tc>
          <w:tcPr>
            <w:tcW w:type="dxa" w:w="32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Exact Logic</w:t>
            </w:r>
          </w:p>
        </w:tc>
        <w:tc>
          <w:tcPr>
            <w:tcW w:type="dxa" w:w="416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What It Validates</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sw_trend_ok</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close &gt; EMA20 AND EMA20 &gt; SMA50</w:t>
            </w:r>
          </w:p>
        </w:tc>
        <w:tc>
          <w:tcPr>
            <w:tcW w:type="dxa" w:w="4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Short-term trend structure is aligned upward.</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sw_mom_ok</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dailyRSI &gt; 55 OR volState contains 'ACCUM'</w:t>
            </w:r>
          </w:p>
        </w:tc>
        <w:tc>
          <w:tcPr>
            <w:tcW w:type="dxa" w:w="4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Either RSI momentum is present OR accumulation volume is present.</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sw_pat_ok</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paState contains 'VCP', 'NR7', 'CONSOLIDATION', or 'BREAKOUT'</w:t>
            </w:r>
          </w:p>
        </w:tc>
        <w:tc>
          <w:tcPr>
            <w:tcW w:type="dxa" w:w="4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A recognised swing pattern is active on the chart.</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sw_safe_ok</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(close − EMA20) / EMA20 × 100 &lt; 15%</w:t>
            </w:r>
          </w:p>
        </w:tc>
        <w:tc>
          <w:tcPr>
            <w:tcW w:type="dxa" w:w="4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Price is not more than 15% extended above EMA20.</w:t>
            </w:r>
          </w:p>
        </w:tc>
      </w:tr>
    </w:tbl>
    <w:p>
      <w:pPr>
        <w:spacing w:after="130"/>
      </w:pPr>
      <w:r>
        <w:rPr>
          <w:rFonts w:ascii="Arial" w:cs="Arial" w:eastAsia="Arial" w:hAnsi="Arial"/>
          <w:sz w:val="22"/>
          <w:szCs w:val="22"/>
        </w:rPr>
        <w:t xml:space="preserve">Final Labels:</w:t>
      </w:r>
    </w:p>
    <w:p>
      <w:pPr>
        <w:pStyle w:val="ListParagraph"/>
        <w:numPr>
          <w:ilvl w:val="0"/>
          <w:numId w:val="2"/>
        </w:numPr>
        <w:spacing w:after="90"/>
      </w:pPr>
      <w:r>
        <w:rPr>
          <w:rFonts w:ascii="Arial" w:cs="Arial" w:eastAsia="Arial" w:hAnsi="Arial"/>
          <w:sz w:val="22"/>
          <w:szCs w:val="22"/>
        </w:rPr>
        <w:t xml:space="preserve">BOTH (🚀): is_positional = true AND is_swing = true. Ideal stocks for full deployment.</w:t>
      </w:r>
    </w:p>
    <w:p>
      <w:pPr>
        <w:pStyle w:val="ListParagraph"/>
        <w:numPr>
          <w:ilvl w:val="0"/>
          <w:numId w:val="2"/>
        </w:numPr>
        <w:spacing w:after="90"/>
      </w:pPr>
      <w:r>
        <w:rPr>
          <w:rFonts w:ascii="Arial" w:cs="Arial" w:eastAsia="Arial" w:hAnsi="Arial"/>
          <w:sz w:val="22"/>
          <w:szCs w:val="22"/>
        </w:rPr>
        <w:t xml:space="preserve">POSITIONAL (🦁): Only is_positional = true. Long-term structural plays; swing entries may be premature.</w:t>
      </w:r>
    </w:p>
    <w:p>
      <w:pPr>
        <w:pStyle w:val="ListParagraph"/>
        <w:numPr>
          <w:ilvl w:val="0"/>
          <w:numId w:val="2"/>
        </w:numPr>
        <w:spacing w:after="90"/>
      </w:pPr>
      <w:r>
        <w:rPr>
          <w:rFonts w:ascii="Arial" w:cs="Arial" w:eastAsia="Arial" w:hAnsi="Arial"/>
          <w:sz w:val="22"/>
          <w:szCs w:val="22"/>
        </w:rPr>
        <w:t xml:space="preserve">SWING (⚡): Only is_swing = true. Active traders’ domain; may not meet structural requirements for positional.</w:t>
      </w:r>
    </w:p>
    <w:p>
      <w:pPr>
        <w:pStyle w:val="ListParagraph"/>
        <w:numPr>
          <w:ilvl w:val="0"/>
          <w:numId w:val="2"/>
        </w:numPr>
        <w:spacing w:after="90"/>
      </w:pPr>
      <w:r>
        <w:rPr>
          <w:rFonts w:ascii="Arial" w:cs="Arial" w:eastAsia="Arial" w:hAnsi="Arial"/>
          <w:sz w:val="22"/>
          <w:szCs w:val="22"/>
        </w:rPr>
        <w:t xml:space="preserve">WAIT: Neither condition is true. No trade in either style.</w:t>
      </w:r>
    </w:p>
    <w:p>
      <w:pPr>
        <w:pStyle w:val="Heading3"/>
      </w:pPr>
      <w:r>
        <w:t xml:space="preserve">3.8.2 Stock Personality Classification</w:t>
      </w:r>
    </w:p>
    <w:p>
      <w:pPr>
        <w:spacing w:after="130"/>
      </w:pPr>
      <w:r>
        <w:rPr>
          <w:rFonts w:ascii="Arial" w:cs="Arial" w:eastAsia="Arial" w:hAnsi="Arial"/>
          <w:sz w:val="22"/>
          <w:szCs w:val="22"/>
        </w:rPr>
        <w:t xml:space="preserve">Personality is assigned based on a priority hierarchy. The conditions are evaluated in order; the first match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000"/>
        <w:gridCol w:w="3560"/>
      </w:tblGrid>
      <w:tr>
        <w:tc>
          <w:tcPr>
            <w:tcW w:type="dxa" w:w="12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Priority</w:t>
            </w:r>
          </w:p>
        </w:tc>
        <w:tc>
          <w:tcPr>
            <w:tcW w:type="dxa" w:w="16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Personality</w:t>
            </w:r>
          </w:p>
        </w:tc>
        <w:tc>
          <w:tcPr>
            <w:tcW w:type="dxa" w:w="30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Exact Condition</w:t>
            </w:r>
          </w:p>
        </w:tc>
        <w:tc>
          <w:tcPr>
            <w:tcW w:type="dxa" w:w="356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Implication</w:t>
            </w:r>
          </w:p>
        </w:tc>
      </w:tr>
      <w:tr>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1 (First checked)</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VOLATILE</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ATR(10) / close × 100 &gt; 5.0%</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Average daily range exceeds 5% of price. Risk per share is very high. Reduce position size dramatically or avoid.</w:t>
            </w:r>
          </w:p>
        </w:tc>
      </w:tr>
      <w:tr>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2</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EXTENDED</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(close − EMA20) / EMA20 × 100 &gt; 20% OR dailyRSI &gt; 75</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Stock has run too far. New entries carry high reversal risk. Wait for base to form.</w:t>
            </w:r>
          </w:p>
        </w:tc>
      </w:tr>
      <w:tr>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3</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LEADER</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rs50State contains 'Leading' AND close &gt; SMA200 AND close &gt; SMA50 AND distance from 52wk high &lt; 15%</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Prime candidate. Outperforming index, above all key MAs, near annual highs.</w:t>
            </w:r>
          </w:p>
        </w:tc>
      </w:tr>
      <w:tr>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4</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MOMENTUM</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(dailyRSI &gt; 60 OR rs50State contains 'Leading' or 'Improving') AND close &gt; EMA20</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Strong momentum but does not yet meet the full Leader criteria.</w:t>
            </w:r>
          </w:p>
        </w:tc>
      </w:tr>
      <w:tr>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5</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TURNAROUND</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(rs50State contains 'Improving' or 'Weakening') AND close &gt; SMA50 AND close &lt; SMA200</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Potentially bottoming. Above 50 DMA but below 200 DMA — watch for Stage 2 transition.</w:t>
            </w:r>
          </w:p>
        </w:tc>
      </w:tr>
      <w:tr>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6</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LAGGARD</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rs50State contains 'Lagging' OR (close &lt; SMA200 AND NOT Turnaround)</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Underperforming and structurally weak. Avoid unless Stage 4 short setup.</w:t>
            </w:r>
          </w:p>
        </w:tc>
      </w:tr>
    </w:tbl>
    <w:p>
      <w:pPr>
        <w:pBdr>
          <w:left w:val="single" w:color="BF360C" w:sz="14" w:space="8"/>
        </w:pBdr>
        <w:spacing w:after="140" w:before="140"/>
        <w:ind w:left="360"/>
      </w:pPr>
      <w:r>
        <w:rPr>
          <w:rFonts w:ascii="Arial" w:cs="Arial" w:eastAsia="Arial" w:hAnsi="Arial"/>
          <w:b/>
          <w:bCs/>
          <w:color w:val="BF360C"/>
          <w:sz w:val="20"/>
          <w:szCs w:val="20"/>
        </w:rPr>
        <w:t xml:space="preserve">WARNING: </w:t>
      </w:r>
      <w:r>
        <w:rPr>
          <w:rFonts w:ascii="Arial" w:cs="Arial" w:eastAsia="Arial" w:hAnsi="Arial"/>
          <w:i/>
          <w:iCs/>
          <w:sz w:val="20"/>
          <w:szCs w:val="20"/>
        </w:rPr>
        <w:t xml:space="preserve">VOLATILE and EXTENDED both override all other labels. A stock can be an RS Leader but still be classified VOLATILE if its ATR% exceeds 5% — the risk profile takes precedence over the opportunity profile.</w:t>
      </w:r>
    </w:p>
    <w:p>
      <w:r>
        <w:br w:type="page"/>
      </w:r>
    </w:p>
    <w:p>
      <w:pPr>
        <w:pStyle w:val="Heading1"/>
      </w:pPr>
      <w:r>
        <w:t xml:space="preserve">Chapter 4: Unified Strategy v4.2 (Backtesting Engine)</w:t>
      </w:r>
    </w:p>
    <w:p>
      <w:pPr>
        <w:spacing w:after="130"/>
      </w:pPr>
      <w:r>
        <w:rPr>
          <w:rFonts w:ascii="Arial" w:cs="Arial" w:eastAsia="Arial" w:hAnsi="Arial"/>
          <w:sz w:val="22"/>
          <w:szCs w:val="22"/>
        </w:rPr>
        <w:t xml:space="preserve">The Unified Strategy implements the same analytical logic as the Dashboard but within TradingView’s strategy framework, generating historical trades with position sizing, stop management, and full P&amp;L accounting. It is used for validation and signal generation.</w:t>
      </w:r>
    </w:p>
    <w:p>
      <w:pPr>
        <w:pStyle w:val="Heading2"/>
      </w:pPr>
      <w:r>
        <w:t xml:space="preserve">4.1 Strategy Modes</w:t>
      </w:r>
    </w:p>
    <w:p>
      <w:pPr>
        <w:pStyle w:val="ListParagraph"/>
        <w:numPr>
          <w:ilvl w:val="0"/>
          <w:numId w:val="2"/>
        </w:numPr>
        <w:spacing w:after="90"/>
      </w:pPr>
      <w:r>
        <w:rPr>
          <w:rFonts w:ascii="Arial" w:cs="Arial" w:eastAsia="Arial" w:hAnsi="Arial"/>
          <w:sz w:val="22"/>
          <w:szCs w:val="22"/>
        </w:rPr>
        <w:t xml:space="preserve">Breakout Only: Only fires positional entries (POS-BO, POS-ACCUM). Best for long-term trend following.</w:t>
      </w:r>
    </w:p>
    <w:p>
      <w:pPr>
        <w:pStyle w:val="ListParagraph"/>
        <w:numPr>
          <w:ilvl w:val="0"/>
          <w:numId w:val="2"/>
        </w:numPr>
        <w:spacing w:after="90"/>
      </w:pPr>
      <w:r>
        <w:rPr>
          <w:rFonts w:ascii="Arial" w:cs="Arial" w:eastAsia="Arial" w:hAnsi="Arial"/>
          <w:sz w:val="22"/>
          <w:szCs w:val="22"/>
        </w:rPr>
        <w:t xml:space="preserve">Pullback Only: Only fires swing entries (SWG-PB, SWG-BO, SWG-REV, SWG-GAP). Best for active traders.</w:t>
      </w:r>
    </w:p>
    <w:p>
      <w:pPr>
        <w:pStyle w:val="ListParagraph"/>
        <w:numPr>
          <w:ilvl w:val="0"/>
          <w:numId w:val="2"/>
        </w:numPr>
        <w:spacing w:after="90"/>
      </w:pPr>
      <w:r>
        <w:rPr>
          <w:rFonts w:ascii="Arial" w:cs="Arial" w:eastAsia="Arial" w:hAnsi="Arial"/>
          <w:sz w:val="22"/>
          <w:szCs w:val="22"/>
        </w:rPr>
        <w:t xml:space="preserve">Hybrid (Both): Default. Fires all six catalyst types. Positional and swing entries do not overlap (position_size must be 0 for a new entry).</w:t>
      </w:r>
    </w:p>
    <w:p>
      <w:pPr>
        <w:pStyle w:val="Heading2"/>
      </w:pPr>
      <w:r>
        <w:t xml:space="preserve">4.2 Risk Management Engine</w:t>
      </w:r>
    </w:p>
    <w:p>
      <w:pPr>
        <w:pStyle w:val="Heading3"/>
      </w:pPr>
      <w:r>
        <w:t xml:space="preserve">4.2.1 Dynamic Risk %</w:t>
      </w:r>
    </w:p>
    <w:p>
      <w:pPr>
        <w:spacing w:after="130"/>
      </w:pPr>
      <w:r>
        <w:rPr>
          <w:rFonts w:ascii="Arial" w:cs="Arial" w:eastAsia="Arial" w:hAnsi="Arial"/>
          <w:sz w:val="22"/>
          <w:szCs w:val="22"/>
        </w:rPr>
        <w:t xml:space="preserve">The base risk per trade (0.50% for stocks, 0.75% for ETFs) is adjusted by two live multipliers before any position is sized:</w:t>
      </w:r>
    </w:p>
    <w:p>
      <w:pPr>
        <w:shd w:fill="0D1117" w:val="clear"/>
        <w:spacing w:after="60" w:before="60"/>
        <w:ind w:left="360"/>
      </w:pPr>
      <w:r>
        <w:rPr>
          <w:rFonts w:ascii="Courier New" w:cs="Courier New" w:eastAsia="Courier New" w:hAnsi="Courier New"/>
          <w:b/>
          <w:bCs/>
          <w:color w:val="F8F8F2"/>
          <w:sz w:val="19"/>
          <w:szCs w:val="19"/>
        </w:rPr>
        <w:t xml:space="preserve">adj_risk = base_risk_pct × regime_discount × vol_discount</w:t>
      </w:r>
    </w:p>
    <w:p>
      <w:pPr>
        <w:shd w:fill="0D1117" w:val="clear"/>
        <w:spacing w:after="60" w:before="60"/>
        <w:ind w:left="360"/>
      </w:pPr>
      <w:r>
        <w:rPr>
          <w:rFonts w:ascii="Courier New" w:cs="Courier New" w:eastAsia="Courier New" w:hAnsi="Courier New"/>
          <w:b/>
          <w:bCs/>
          <w:color w:val="F8F8F2"/>
          <w:sz w:val="19"/>
          <w:szCs w:val="19"/>
        </w:rPr>
        <w:t xml:space="preserve"/>
      </w:r>
    </w:p>
    <w:p>
      <w:pPr>
        <w:shd w:fill="0D1117" w:val="clear"/>
        <w:spacing w:after="60" w:before="60"/>
        <w:ind w:left="360"/>
      </w:pPr>
      <w:r>
        <w:rPr>
          <w:rFonts w:ascii="Courier New" w:cs="Courier New" w:eastAsia="Courier New" w:hAnsi="Courier New"/>
          <w:b/>
          <w:bCs/>
          <w:color w:val="F8F8F2"/>
          <w:sz w:val="19"/>
          <w:szCs w:val="19"/>
        </w:rPr>
        <w:t xml:space="preserve">regime_discount = 1.0  if Nifty500 Price &gt; SMA50 &gt; SMA200  (bull market)</w:t>
      </w:r>
    </w:p>
    <w:p>
      <w:pPr>
        <w:shd w:fill="0D1117" w:val="clear"/>
        <w:spacing w:after="60" w:before="60"/>
        <w:ind w:left="360"/>
      </w:pPr>
      <w:r>
        <w:rPr>
          <w:rFonts w:ascii="Courier New" w:cs="Courier New" w:eastAsia="Courier New" w:hAnsi="Courier New"/>
          <w:b/>
          <w:bCs/>
          <w:color w:val="F8F8F2"/>
          <w:sz w:val="19"/>
          <w:szCs w:val="19"/>
        </w:rPr>
        <w:t xml:space="preserve">               = 0.5  otherwise                             (halved in corrections/bear)</w:t>
      </w:r>
    </w:p>
    <w:p>
      <w:pPr>
        <w:shd w:fill="0D1117" w:val="clear"/>
        <w:spacing w:after="60" w:before="60"/>
        <w:ind w:left="360"/>
      </w:pPr>
      <w:r>
        <w:rPr>
          <w:rFonts w:ascii="Courier New" w:cs="Courier New" w:eastAsia="Courier New" w:hAnsi="Courier New"/>
          <w:b/>
          <w:bCs/>
          <w:color w:val="F8F8F2"/>
          <w:sz w:val="19"/>
          <w:szCs w:val="19"/>
        </w:rPr>
        <w:t xml:space="preserve"/>
      </w:r>
    </w:p>
    <w:p>
      <w:pPr>
        <w:shd w:fill="0D1117" w:val="clear"/>
        <w:spacing w:after="60" w:before="60"/>
        <w:ind w:left="360"/>
      </w:pPr>
      <w:r>
        <w:rPr>
          <w:rFonts w:ascii="Courier New" w:cs="Courier New" w:eastAsia="Courier New" w:hAnsi="Courier New"/>
          <w:b/>
          <w:bCs/>
          <w:color w:val="F8F8F2"/>
          <w:sz w:val="19"/>
          <w:szCs w:val="19"/>
        </w:rPr>
        <w:t xml:space="preserve">vol_discount = min(1.0,  3.0 / (ATR14/close × 100))</w:t>
      </w:r>
    </w:p>
    <w:p>
      <w:pPr>
        <w:shd w:fill="0D1117" w:val="clear"/>
        <w:spacing w:after="60" w:before="60"/>
        <w:ind w:left="360"/>
      </w:pPr>
      <w:r>
        <w:rPr>
          <w:rFonts w:ascii="Courier New" w:cs="Courier New" w:eastAsia="Courier New" w:hAnsi="Courier New"/>
          <w:b/>
          <w:bCs/>
          <w:color w:val="F8F8F2"/>
          <w:sz w:val="19"/>
          <w:szCs w:val="19"/>
        </w:rPr>
        <w:t xml:space="preserve">  // If current ATR% &gt; 3%, scale risk down proportionally</w:t>
      </w:r>
    </w:p>
    <w:p>
      <w:pPr>
        <w:shd w:fill="0D1117" w:val="clear"/>
        <w:spacing w:after="60" w:before="60"/>
        <w:ind w:left="360"/>
      </w:pPr>
      <w:r>
        <w:rPr>
          <w:rFonts w:ascii="Courier New" w:cs="Courier New" w:eastAsia="Courier New" w:hAnsi="Courier New"/>
          <w:b/>
          <w:bCs/>
          <w:color w:val="F8F8F2"/>
          <w:sz w:val="19"/>
          <w:szCs w:val="19"/>
        </w:rPr>
        <w:t xml:space="preserve">  // If ATR% ≤ 3%, no discount (discount capped at 1.0)</w:t>
      </w:r>
    </w:p>
    <w:p>
      <w:pPr>
        <w:shd w:fill="0D1117" w:val="clear"/>
        <w:spacing w:after="60" w:before="60"/>
        <w:ind w:left="360"/>
      </w:pPr>
      <w:r>
        <w:rPr>
          <w:rFonts w:ascii="Courier New" w:cs="Courier New" w:eastAsia="Courier New" w:hAnsi="Courier New"/>
          <w:b/>
          <w:bCs/>
          <w:color w:val="F8F8F2"/>
          <w:sz w:val="19"/>
          <w:szCs w:val="19"/>
        </w:rPr>
        <w:t xml:space="preserve"/>
      </w:r>
    </w:p>
    <w:p>
      <w:pPr>
        <w:shd w:fill="0D1117" w:val="clear"/>
        <w:spacing w:after="60" w:before="60"/>
        <w:ind w:left="360"/>
      </w:pPr>
      <w:r>
        <w:rPr>
          <w:rFonts w:ascii="Courier New" w:cs="Courier New" w:eastAsia="Courier New" w:hAnsi="Courier New"/>
          <w:b/>
          <w:bCs/>
          <w:color w:val="F8F8F2"/>
          <w:sz w:val="19"/>
          <w:szCs w:val="19"/>
        </w:rPr>
        <w:t xml:space="preserve">adj_risk floored at 0.25%  (minimum position risk)</w:t>
      </w:r>
    </w:p>
    <w:p>
      <w:pPr>
        <w:pStyle w:val="Heading3"/>
      </w:pPr>
      <w:r>
        <w:t xml:space="preserve">4.2.2 Position Sizing Formula</w:t>
      </w:r>
    </w:p>
    <w:p>
      <w:pPr>
        <w:shd w:fill="0D1117" w:val="clear"/>
        <w:spacing w:after="60" w:before="60"/>
        <w:ind w:left="360"/>
      </w:pPr>
      <w:r>
        <w:rPr>
          <w:rFonts w:ascii="Courier New" w:cs="Courier New" w:eastAsia="Courier New" w:hAnsi="Courier New"/>
          <w:b/>
          <w:bCs/>
          <w:color w:val="F8F8F2"/>
          <w:sz w:val="19"/>
          <w:szCs w:val="19"/>
        </w:rPr>
        <w:t xml:space="preserve">risk_amount = portfolio_capital × (adj_risk / 100)</w:t>
      </w:r>
    </w:p>
    <w:p>
      <w:pPr>
        <w:shd w:fill="0D1117" w:val="clear"/>
        <w:spacing w:after="60" w:before="60"/>
        <w:ind w:left="360"/>
      </w:pPr>
      <w:r>
        <w:rPr>
          <w:rFonts w:ascii="Courier New" w:cs="Courier New" w:eastAsia="Courier New" w:hAnsi="Courier New"/>
          <w:b/>
          <w:bCs/>
          <w:color w:val="F8F8F2"/>
          <w:sz w:val="19"/>
          <w:szCs w:val="19"/>
        </w:rPr>
        <w:t xml:space="preserve">qty_risk    = risk_amount / (close − stop_loss)        // Risk-based shares</w:t>
      </w:r>
    </w:p>
    <w:p>
      <w:pPr>
        <w:shd w:fill="0D1117" w:val="clear"/>
        <w:spacing w:after="60" w:before="60"/>
        <w:ind w:left="360"/>
      </w:pPr>
      <w:r>
        <w:rPr>
          <w:rFonts w:ascii="Courier New" w:cs="Courier New" w:eastAsia="Courier New" w:hAnsi="Courier New"/>
          <w:b/>
          <w:bCs/>
          <w:color w:val="F8F8F2"/>
          <w:sz w:val="19"/>
          <w:szCs w:val="19"/>
        </w:rPr>
        <w:t xml:space="preserve">qty_cap     = max_allocation / close                     // Capital-based cap</w:t>
      </w:r>
    </w:p>
    <w:p>
      <w:pPr>
        <w:shd w:fill="0D1117" w:val="clear"/>
        <w:spacing w:after="60" w:before="60"/>
        <w:ind w:left="360"/>
      </w:pPr>
      <w:r>
        <w:rPr>
          <w:rFonts w:ascii="Courier New" w:cs="Courier New" w:eastAsia="Courier New" w:hAnsi="Courier New"/>
          <w:b/>
          <w:bCs/>
          <w:color w:val="F8F8F2"/>
          <w:sz w:val="19"/>
          <w:szCs w:val="19"/>
        </w:rPr>
        <w:t xml:space="preserve">final_qty   = min(qty_risk, qty_cap)                     // Take the smaller</w:t>
      </w:r>
    </w:p>
    <w:p>
      <w:pPr>
        <w:pStyle w:val="Heading2"/>
      </w:pPr>
      <w:r>
        <w:t xml:space="preserve">4.3 Entry Logic</w:t>
      </w:r>
    </w:p>
    <w:p>
      <w:pPr>
        <w:pStyle w:val="Heading3"/>
      </w:pPr>
      <w:r>
        <w:t xml:space="preserve">4.3.1 Positional Entry (Weinstein) — Full Logic</w:t>
      </w:r>
    </w:p>
    <w:p>
      <w:pPr>
        <w:spacing w:after="130"/>
      </w:pPr>
      <w:r>
        <w:rPr>
          <w:rFonts w:ascii="Arial" w:cs="Arial" w:eastAsia="Arial" w:hAnsi="Arial"/>
          <w:sz w:val="22"/>
          <w:szCs w:val="22"/>
        </w:rPr>
        <w:t xml:space="preserve">Two positional sub-strategies exist. Either can trigger a positional trade:</w:t>
      </w:r>
    </w:p>
    <w:p>
      <w:pPr>
        <w:spacing w:after="120"/>
      </w:pPr>
    </w:p>
    <w:p>
      <w:pPr>
        <w:spacing w:after="60" w:before="140"/>
      </w:pPr>
      <w:r>
        <w:rPr>
          <w:rFonts w:ascii="Arial" w:cs="Arial" w:eastAsia="Arial" w:hAnsi="Arial"/>
          <w:b/>
          <w:bCs/>
          <w:color w:val="1565C0"/>
          <w:sz w:val="22"/>
          <w:szCs w:val="22"/>
        </w:rPr>
        <w:t xml:space="preserve">Sub-strategy A: Stage 2 Breakout (trigger_pos_bo)</w:t>
      </w:r>
    </w:p>
    <w:p>
      <w:pPr>
        <w:spacing w:after="130"/>
      </w:pPr>
      <w:r>
        <w:rPr>
          <w:rFonts w:ascii="Arial" w:cs="Arial" w:eastAsia="Arial" w:hAnsi="Arial"/>
          <w:sz w:val="22"/>
          <w:szCs w:val="22"/>
        </w:rPr>
        <w:t xml:space="preserve">This is the classic Weinstein breakout. Two layers of conditions must both be satisfied:</w:t>
      </w:r>
    </w:p>
    <w:p>
      <w:pPr>
        <w:spacing w:after="120"/>
      </w:pPr>
    </w:p>
    <w:p>
      <w:pPr>
        <w:spacing w:after="40"/>
      </w:pPr>
      <w:r>
        <w:rPr>
          <w:rFonts w:ascii="Arial" w:cs="Arial" w:eastAsia="Arial" w:hAnsi="Arial"/>
          <w:b/>
          <w:bCs/>
          <w:color w:val="37474F"/>
          <w:sz w:val="22"/>
          <w:szCs w:val="22"/>
        </w:rPr>
        <w:t xml:space="preserve">Layer 1 — Weinstein Setup (structural pre-conditions):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4360"/>
      </w:tblGrid>
      <w:tr>
        <w:tc>
          <w:tcPr>
            <w:tcW w:type="dxa" w:w="21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Variable</w:t>
            </w:r>
          </w:p>
        </w:tc>
        <w:tc>
          <w:tcPr>
            <w:tcW w:type="dxa" w:w="29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Exact Code Logic</w:t>
            </w:r>
          </w:p>
        </w:tc>
        <w:tc>
          <w:tcPr>
            <w:tcW w:type="dxa" w:w="436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Purpose</w:t>
            </w:r>
          </w:p>
        </w:tc>
      </w:tr>
      <w:tr>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stage2_uptrend</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current_stage == 2  (weekly 30-WMA rising AND price above it)</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Primary Weinstein Stage 2 classification on the weekly timeframe.</w:t>
            </w:r>
          </w:p>
        </w:tc>
      </w:tr>
      <w:tr>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trend_aligned</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dTrend == 1  (daily pivot: close &gt; last locked pivot high)</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Daily price structure is in an uptrend — secondary confirmation.</w:t>
            </w:r>
          </w:p>
        </w:tc>
      </w:tr>
      <w:tr>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rs_ok</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rsVal500 &gt; 0 AND rsValSec &gt; 0</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Mansfield RS vs Nifty 500 is positive AND vs sector is positive. Both must outperform their benchmarks.</w:t>
            </w:r>
          </w:p>
        </w:tc>
      </w:tr>
      <w:tr>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vol_acc_ok</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f_get_vol_accum(10, 2, 50) == true</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At least 2 of the last 10 bars satisfy: up-close + volume &gt; SMA50 + close in top 60% of bar range.</w:t>
            </w:r>
          </w:p>
        </w:tc>
      </w:tr>
      <w:tr>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stage2_fresh_ok</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ta.barssince(NOT stage2_uptrend) ≤ 20 weeks</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Stage 2 must be ≤ 20 weeks old. Prevents buying into extended, late-stage advances.</w:t>
            </w:r>
          </w:p>
        </w:tc>
      </w:tr>
      <w:tr>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ma_sqz_ok</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|EMA20 − SMA50| / SMA50 ≤ 0.06  (if Micro Edge enabled)</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20 EMA and 50 SMA are within 6% of each other — MA squeeze active.</w:t>
            </w:r>
          </w:p>
        </w:tc>
      </w:tr>
      <w:tr>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bb_sqz_ok</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BB_Width &lt; average BB_Width(100)  (if Micro Edge enabled)</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Current Bollinger Band width is below the 100-bar average — volatility is contracting.</w:t>
            </w:r>
          </w:p>
        </w:tc>
      </w:tr>
    </w:tbl>
    <w:p>
      <w:pPr>
        <w:spacing w:after="120"/>
      </w:pPr>
    </w:p>
    <w:p>
      <w:pPr>
        <w:spacing w:after="40"/>
      </w:pPr>
      <w:r>
        <w:rPr>
          <w:rFonts w:ascii="Arial" w:cs="Arial" w:eastAsia="Arial" w:hAnsi="Arial"/>
          <w:b/>
          <w:bCs/>
          <w:color w:val="37474F"/>
          <w:sz w:val="22"/>
          <w:szCs w:val="22"/>
        </w:rPr>
        <w:t xml:space="preserve">Layer 2 — Weinstein Trigger (entry execution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4460"/>
      </w:tblGrid>
      <w:tr>
        <w:tc>
          <w:tcPr>
            <w:tcW w:type="dxa" w:w="20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Variable</w:t>
            </w:r>
          </w:p>
        </w:tc>
        <w:tc>
          <w:tcPr>
            <w:tcW w:type="dxa" w:w="29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Exact Code Logic</w:t>
            </w:r>
          </w:p>
        </w:tc>
        <w:tc>
          <w:tcPr>
            <w:tcW w:type="dxa" w:w="446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is_breakout</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close &gt; ta.highest(high, 20)[1]  (if bo_conf='Daily Close')
or  high &gt; ta.highest(high, 20)[1]  (if bo_conf='High/Touch')</w:t>
            </w:r>
          </w:p>
        </w:tc>
        <w:tc>
          <w:tcPr>
            <w:tcW w:type="dxa" w:w="44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Price must clear the 20-bar high (prior bar). Daily Close confirmation is more conservative and recommended.</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vol_expansion_ok</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volume &gt; ta.sma(volume, 50) × 1.5</w:t>
            </w:r>
          </w:p>
        </w:tc>
        <w:tc>
          <w:tcPr>
            <w:tcW w:type="dxa" w:w="44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Volume must be at least 150% of the 50-bar average on the breakout bar.</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pa_bullish</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close &gt; open  AND  (close − low) &gt; (high − close)</w:t>
            </w:r>
          </w:p>
        </w:tc>
        <w:tc>
          <w:tcPr>
            <w:tcW w:type="dxa" w:w="44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Bullish candle: up-close AND price closed in the upper half of the bar’s range.</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gap_ext_ok</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(close − breakout_level) / breakout_level ≤ 0.05</w:t>
            </w:r>
          </w:p>
        </w:tc>
        <w:tc>
          <w:tcPr>
            <w:tcW w:type="dxa" w:w="44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Not chasing: entry price is no more than 5% above the breakout level. Prevents buying extended gaps.</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alpha_ok</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alpha_score ≥ 70</w:t>
            </w:r>
          </w:p>
        </w:tc>
        <w:tc>
          <w:tcPr>
            <w:tcW w:type="dxa" w:w="44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Alpha Score computed from the Alpha Score formula (see Section 2.3) must reach 70+.</w:t>
            </w:r>
          </w:p>
        </w:tc>
      </w:tr>
    </w:tbl>
    <w:p>
      <w:pPr>
        <w:spacing w:after="130"/>
      </w:pPr>
      <w:r>
        <w:rPr>
          <w:rFonts w:ascii="Arial" w:cs="Arial" w:eastAsia="Arial" w:hAnsi="Arial"/>
          <w:sz w:val="22"/>
          <w:szCs w:val="22"/>
        </w:rPr>
        <w:t xml:space="preserve">Final trigger: trigger_pos_bo = use_pos_bo AND weinstein_setup AND weinstein_trigger AND alpha_ok</w:t>
      </w:r>
    </w:p>
    <w:p>
      <w:pPr>
        <w:pBdr>
          <w:left w:val="single" w:color="BF360C" w:sz="14" w:space="8"/>
        </w:pBdr>
        <w:spacing w:after="140" w:before="140"/>
        <w:ind w:left="360"/>
      </w:pPr>
      <w:r>
        <w:rPr>
          <w:rFonts w:ascii="Arial" w:cs="Arial" w:eastAsia="Arial" w:hAnsi="Arial"/>
          <w:b/>
          <w:bCs/>
          <w:color w:val="BF360C"/>
          <w:sz w:val="20"/>
          <w:szCs w:val="20"/>
        </w:rPr>
        <w:t xml:space="preserve">WARNING: </w:t>
      </w:r>
      <w:r>
        <w:rPr>
          <w:rFonts w:ascii="Arial" w:cs="Arial" w:eastAsia="Arial" w:hAnsi="Arial"/>
          <w:i/>
          <w:iCs/>
          <w:sz w:val="20"/>
          <w:szCs w:val="20"/>
        </w:rPr>
        <w:t xml:space="preserve">All seven setup conditions AND all five trigger conditions must be true simultaneously. Partial alignment does not fire an entry.</w:t>
      </w:r>
    </w:p>
    <w:p>
      <w:pPr>
        <w:spacing w:after="120"/>
      </w:pPr>
    </w:p>
    <w:p>
      <w:pPr>
        <w:spacing w:after="60" w:before="160"/>
      </w:pPr>
      <w:r>
        <w:rPr>
          <w:rFonts w:ascii="Arial" w:cs="Arial" w:eastAsia="Arial" w:hAnsi="Arial"/>
          <w:b/>
          <w:bCs/>
          <w:color w:val="1B5E20"/>
          <w:sz w:val="22"/>
          <w:szCs w:val="22"/>
        </w:rPr>
        <w:t xml:space="preserve">Sub-strategy B: Smart Money Accumulation / OBV Divergence (trigger_pos_accum)</w:t>
      </w:r>
    </w:p>
    <w:p>
      <w:pPr>
        <w:spacing w:after="130"/>
      </w:pPr>
      <w:r>
        <w:rPr>
          <w:rFonts w:ascii="Arial" w:cs="Arial" w:eastAsia="Arial" w:hAnsi="Arial"/>
          <w:sz w:val="22"/>
          <w:szCs w:val="22"/>
        </w:rPr>
        <w:t xml:space="preserve">Targets stocks where institutional accumulation is detectable via OBV even before price breaks out. A lower-risk early-entry strategy with a typically longer holding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00"/>
        <w:gridCol w:w="4260"/>
      </w:tblGrid>
      <w:tr>
        <w:tc>
          <w:tcPr>
            <w:tcW w:type="dxa" w:w="20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Variable</w:t>
            </w:r>
          </w:p>
        </w:tc>
        <w:tc>
          <w:tcPr>
            <w:tcW w:type="dxa" w:w="31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Exact Code Logic</w:t>
            </w:r>
          </w:p>
        </w:tc>
        <w:tc>
          <w:tcPr>
            <w:tcW w:type="dxa" w:w="426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is_obv_bo</w:t>
            </w:r>
          </w:p>
        </w:tc>
        <w:tc>
          <w:tcPr>
            <w:tcW w:type="dxa" w:w="31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obv &gt; ta.highest(obv, 50)[1]</w:t>
            </w:r>
          </w:p>
        </w:tc>
        <w:tc>
          <w:tcPr>
            <w:tcW w:type="dxa" w:w="42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OBV (cumulative signed-volume) has broken above its own 50-bar high. Smart money footprint is present.</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is_price_lagging</w:t>
            </w:r>
          </w:p>
        </w:tc>
        <w:tc>
          <w:tcPr>
            <w:tcW w:type="dxa" w:w="31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close &lt; ta.highest(high, 50)[1] × 0.90</w:t>
            </w:r>
          </w:p>
        </w:tc>
        <w:tc>
          <w:tcPr>
            <w:tcW w:type="dxa" w:w="42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Price is still more than 10% below its 50-bar high. Stock has NOT broken out yet — early entry opportunity.</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is_flat</w:t>
            </w:r>
          </w:p>
        </w:tc>
        <w:tc>
          <w:tcPr>
            <w:tcW w:type="dxa" w:w="31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ta.stdev(close, 50) &lt; ta.sma(close, 50) × 0.10</w:t>
            </w:r>
          </w:p>
        </w:tc>
        <w:tc>
          <w:tcPr>
            <w:tcW w:type="dxa" w:w="42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Price standard deviation over 50 bars is less than 10% of the average price — tight basing structure.</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in_base</w:t>
            </w:r>
          </w:p>
        </w:tc>
        <w:tc>
          <w:tcPr>
            <w:tcW w:type="dxa" w:w="31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stage1_base OR stage2_uptrend</w:t>
            </w:r>
          </w:p>
        </w:tc>
        <w:tc>
          <w:tcPr>
            <w:tcW w:type="dxa" w:w="42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Stock must be in Stage 1 (basing) or Stage 2 (already advancing but pulling back into base).</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rs_ok</w:t>
            </w:r>
          </w:p>
        </w:tc>
        <w:tc>
          <w:tcPr>
            <w:tcW w:type="dxa" w:w="31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rsVal500 &gt; 0 AND rsValSec &gt; 0</w:t>
            </w:r>
          </w:p>
        </w:tc>
        <w:tc>
          <w:tcPr>
            <w:tcW w:type="dxa" w:w="42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Same RS filter as the breakout sub-strategy.</w:t>
            </w:r>
          </w:p>
        </w:tc>
      </w:tr>
    </w:tbl>
    <w:p>
      <w:pPr>
        <w:spacing w:after="130"/>
      </w:pPr>
      <w:r>
        <w:rPr>
          <w:rFonts w:ascii="Arial" w:cs="Arial" w:eastAsia="Arial" w:hAnsi="Arial"/>
          <w:sz w:val="22"/>
          <w:szCs w:val="22"/>
        </w:rPr>
        <w:t xml:space="preserve">Final trigger: trigger_pos_accum = use_pos_accum AND is_obv_bo AND is_price_lagging AND is_flat AND in_base AND rs_ok</w:t>
      </w:r>
    </w:p>
    <w:p>
      <w:pPr>
        <w:pBdr>
          <w:left w:val="single" w:color="1565C0" w:sz="14" w:space="8"/>
        </w:pBdr>
        <w:spacing w:after="140" w:before="140"/>
        <w:ind w:left="360"/>
      </w:pPr>
      <w:r>
        <w:rPr>
          <w:rFonts w:ascii="Arial" w:cs="Arial" w:eastAsia="Arial" w:hAnsi="Arial"/>
          <w:b/>
          <w:bCs/>
          <w:color w:val="1565C0"/>
          <w:sz w:val="20"/>
          <w:szCs w:val="20"/>
        </w:rPr>
        <w:t xml:space="preserve">PRO TIP: </w:t>
      </w:r>
      <w:r>
        <w:rPr>
          <w:rFonts w:ascii="Arial" w:cs="Arial" w:eastAsia="Arial" w:hAnsi="Arial"/>
          <w:i/>
          <w:iCs/>
          <w:sz w:val="20"/>
          <w:szCs w:val="20"/>
        </w:rPr>
        <w:t xml:space="preserve">POS-ACCUM entries use a Daily Close confirmation by default (same as the breakout setup). The stop is placed at the lowest low of the last 10 bars minus 0.2×ATR14.</w:t>
      </w:r>
    </w:p>
    <w:p>
      <w:pPr>
        <w:pStyle w:val="Heading3"/>
      </w:pPr>
      <w:r>
        <w:t xml:space="preserve">4.3.2 Swing Entries — Full Logic</w:t>
      </w:r>
    </w:p>
    <w:p>
      <w:pPr>
        <w:spacing w:after="130"/>
      </w:pPr>
      <w:r>
        <w:rPr>
          <w:rFonts w:ascii="Arial" w:cs="Arial" w:eastAsia="Arial" w:hAnsi="Arial"/>
          <w:sz w:val="22"/>
          <w:szCs w:val="22"/>
        </w:rPr>
        <w:t xml:space="preserve">All four swing entries share a common prerequisite: the Minervini Trend Template must be satisfied.</w:t>
      </w:r>
    </w:p>
    <w:p>
      <w:pPr>
        <w:spacing w:after="120"/>
      </w:pPr>
    </w:p>
    <w:p>
      <w:pPr>
        <w:spacing w:after="60" w:before="120"/>
      </w:pPr>
      <w:r>
        <w:rPr>
          <w:rFonts w:ascii="Arial" w:cs="Arial" w:eastAsia="Arial" w:hAnsi="Arial"/>
          <w:b/>
          <w:bCs/>
          <w:color w:val="37474F"/>
          <w:sz w:val="22"/>
          <w:szCs w:val="22"/>
        </w:rPr>
        <w:t xml:space="preserve">Minervini Trend Template (minervini_trend)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Condition</w:t>
            </w:r>
          </w:p>
        </w:tc>
        <w:tc>
          <w:tcPr>
            <w:tcW w:type="dxa" w:w="676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Exact Logic</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SMA Alignment</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d_close &gt; d_sma50 &gt; d_sma150 &gt; d_sma200  (all four daily MAs in ascending order)</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52-Week Low Distance</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close ≥ ta.lowest(low, 250) × 1.30  (at least 30% above the 52-week low)</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52-Week High Proximity</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close ≥ ta.highest(high, 250) × 0.75  (within 25% of the 52-week high)</w:t>
            </w:r>
          </w:p>
        </w:tc>
      </w:tr>
    </w:tbl>
    <w:p>
      <w:pPr>
        <w:pBdr>
          <w:left w:val="single" w:color="6A1B9A" w:sz="14" w:space="8"/>
        </w:pBdr>
        <w:spacing w:after="140" w:before="140"/>
        <w:ind w:left="360"/>
      </w:pPr>
      <w:r>
        <w:rPr>
          <w:rFonts w:ascii="Arial" w:cs="Arial" w:eastAsia="Arial" w:hAnsi="Arial"/>
          <w:b/>
          <w:bCs/>
          <w:color w:val="6A1B9A"/>
          <w:sz w:val="20"/>
          <w:szCs w:val="20"/>
        </w:rPr>
        <w:t xml:space="preserve">NOTE: </w:t>
      </w:r>
      <w:r>
        <w:rPr>
          <w:rFonts w:ascii="Arial" w:cs="Arial" w:eastAsia="Arial" w:hAnsi="Arial"/>
          <w:i/>
          <w:iCs/>
          <w:sz w:val="20"/>
          <w:szCs w:val="20"/>
        </w:rPr>
        <w:t xml:space="preserve">The 30% above 52-week low filter (min_dist_52L) and 25% below 52-week high filter (max_dist_52H) are hardcoded. They enforce that only stocks in a strong advancing phase qualify as swing candidates.</w:t>
      </w:r>
    </w:p>
    <w:p>
      <w:pPr>
        <w:spacing w:after="120"/>
      </w:pPr>
    </w:p>
    <w:p>
      <w:pPr>
        <w:spacing w:after="60" w:before="160"/>
      </w:pPr>
      <w:r>
        <w:rPr>
          <w:rFonts w:ascii="Arial" w:cs="Arial" w:eastAsia="Arial" w:hAnsi="Arial"/>
          <w:b/>
          <w:bCs/>
          <w:color w:val="E65100"/>
          <w:sz w:val="22"/>
          <w:szCs w:val="22"/>
        </w:rPr>
        <w:t xml:space="preserve">Edge 1: Swing Pullback / MA Bounce  (trigger_swing_pb)</w:t>
      </w:r>
    </w:p>
    <w:p>
      <w:pPr>
        <w:spacing w:after="130"/>
      </w:pPr>
      <w:r>
        <w:rPr>
          <w:rFonts w:ascii="Arial" w:cs="Arial" w:eastAsia="Arial" w:hAnsi="Arial"/>
          <w:sz w:val="22"/>
          <w:szCs w:val="22"/>
        </w:rPr>
        <w:t xml:space="preserve">The pullback entry has three independent condition groups that all must be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3000"/>
        <w:gridCol w:w="3460"/>
      </w:tblGrid>
      <w:tr>
        <w:tc>
          <w:tcPr>
            <w:tcW w:type="dxa" w:w="14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Group</w:t>
            </w:r>
          </w:p>
        </w:tc>
        <w:tc>
          <w:tcPr>
            <w:tcW w:type="dxa" w:w="15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Variable</w:t>
            </w:r>
          </w:p>
        </w:tc>
        <w:tc>
          <w:tcPr>
            <w:tcW w:type="dxa" w:w="30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Exact Logic</w:t>
            </w:r>
          </w:p>
        </w:tc>
        <w:tc>
          <w:tcPr>
            <w:tcW w:type="dxa" w:w="346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Purpose</w:t>
            </w:r>
          </w:p>
        </w:tc>
      </w:tr>
      <w:tr>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Trend Context</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stage2_pb</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d_close &gt; d_sma150 AND d_close &gt; d_sma200 AND d_sma150 &gt; d_sma200 AND d_sma50 &gt; d_sma150</w:t>
            </w:r>
          </w:p>
        </w:tc>
        <w:tc>
          <w:tcPr>
            <w:tcW w:type="dxa" w:w="34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Strict Minervini daily SMA alignment — all four MAs in order.</w:t>
            </w:r>
          </w:p>
        </w:tc>
      </w:tr>
      <w:tr>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Trend Context</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mom_check</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d_rsi ≥ 40 AND d_rsi ≤ 60  (Pullback Pocket) AND wRSI &gt; 60</w:t>
            </w:r>
          </w:p>
        </w:tc>
        <w:tc>
          <w:tcPr>
            <w:tcW w:type="dxa" w:w="34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Daily RSI is in the 40–60 ‘pocket’ (pulled back but not broken). Weekly RSI must be above 60 (macro momentum intact).</w:t>
            </w:r>
          </w:p>
        </w:tc>
      </w:tr>
      <w:tr>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Zone</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in_zone</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low ≤ EMA20 × 1.015  AND  high ≥ EMA20 × 0.985</w:t>
            </w:r>
          </w:p>
        </w:tc>
        <w:tc>
          <w:tcPr>
            <w:tcW w:type="dxa" w:w="34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The bar must touch or reach within 1.5% of the EMA20 on either side.</w:t>
            </w:r>
          </w:p>
        </w:tc>
      </w:tr>
      <w:tr>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Zone</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depth_ok</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(swing_high − low) / swing_high ≤ 0.15</w:t>
            </w:r>
          </w:p>
        </w:tc>
        <w:tc>
          <w:tcPr>
            <w:tcW w:type="dxa" w:w="34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Maximum pullback depth is 15% from the nearest 20-bar swing high.</w:t>
            </w:r>
          </w:p>
        </w:tc>
      </w:tr>
      <w:tr>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Pattern</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valid_pattern</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Hammer OR Bullish Engulfing OR Morning Star candle</w:t>
            </w:r>
          </w:p>
        </w:tc>
        <w:tc>
          <w:tcPr>
            <w:tcW w:type="dxa" w:w="34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A reversal candlestick pattern must fire at the EMA20 zone.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C3E50" w:sz="1"/>
              <w:left w:val="single" w:color="2C3E50" w:sz="1"/>
              <w:bottom w:val="single" w:color="2C3E50" w:sz="1"/>
              <w:right w:val="single" w:color="2C3E50" w:sz="1"/>
            </w:tcBorders>
            <w:shd w:fill="1B5E20" w:val="clear"/>
            <w:tcMar>
              <w:top w:type="dxa" w:w="70"/>
              <w:left w:type="dxa" w:w="110"/>
              <w:bottom w:type="dxa" w:w="70"/>
              <w:right w:type="dxa" w:w="110"/>
            </w:tcMar>
          </w:tcPr>
          <w:p>
            <w:r>
              <w:rPr>
                <w:rFonts w:ascii="Arial" w:cs="Arial" w:eastAsia="Arial" w:hAnsi="Arial"/>
                <w:b/>
                <w:bCs/>
                <w:color w:val="FFFFFF"/>
                <w:sz w:val="18"/>
                <w:szCs w:val="18"/>
              </w:rPr>
              <w:t xml:space="preserve">Candle Pattern</w:t>
            </w:r>
          </w:p>
        </w:tc>
        <w:tc>
          <w:tcPr>
            <w:tcW w:type="dxa" w:w="7360"/>
            <w:tcBorders>
              <w:top w:val="single" w:color="2C3E50" w:sz="1"/>
              <w:left w:val="single" w:color="2C3E50" w:sz="1"/>
              <w:bottom w:val="single" w:color="2C3E50" w:sz="1"/>
              <w:right w:val="single" w:color="2C3E50" w:sz="1"/>
            </w:tcBorders>
            <w:shd w:fill="1B5E20" w:val="clear"/>
            <w:tcMar>
              <w:top w:type="dxa" w:w="70"/>
              <w:left w:type="dxa" w:w="110"/>
              <w:bottom w:type="dxa" w:w="70"/>
              <w:right w:type="dxa" w:w="110"/>
            </w:tcMar>
          </w:tcPr>
          <w:p>
            <w:r>
              <w:rPr>
                <w:rFonts w:ascii="Arial" w:cs="Arial" w:eastAsia="Arial" w:hAnsi="Arial"/>
                <w:b/>
                <w:bCs/>
                <w:color w:val="FFFFFF"/>
                <w:sz w:val="18"/>
                <w:szCs w:val="18"/>
              </w:rPr>
              <w:t xml:space="preserve">Exact Conditions</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Hammer</w:t>
            </w:r>
          </w:p>
        </w:tc>
        <w:tc>
          <w:tcPr>
            <w:tcW w:type="dxa" w:w="7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close &gt; open  AND  (open − low) &gt; 2×(close − open)  AND  (high − close) &lt; 0.2×(close − open)</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Bullish Engulfing</w:t>
            </w:r>
          </w:p>
        </w:tc>
        <w:tc>
          <w:tcPr>
            <w:tcW w:type="dxa" w:w="7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close &gt; open  AND  close &gt; open[1]  AND  close[1] &lt; open[1]  AND  open &lt; close[1]</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Morning Star</w:t>
            </w:r>
          </w:p>
        </w:tc>
        <w:tc>
          <w:tcPr>
            <w:tcW w:type="dxa" w:w="7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close[2] &lt; open[2]  AND  |close[1]−open[1]| &lt; (high[1]−low[1])×2  AND  close &gt; open  AND  close &gt; (open[2]+close[2])/2</w:t>
            </w:r>
          </w:p>
        </w:tc>
      </w:tr>
    </w:tbl>
    <w:p>
      <w:pPr>
        <w:spacing w:after="130"/>
      </w:pPr>
      <w:r>
        <w:rPr>
          <w:rFonts w:ascii="Arial" w:cs="Arial" w:eastAsia="Arial" w:hAnsi="Arial"/>
          <w:sz w:val="22"/>
          <w:szCs w:val="22"/>
        </w:rPr>
        <w:t xml:space="preserve">Final trigger: trigger_swing_pb = use_swing_pb AND minervini_trend AND trend_ok_pb AND in_zone AND valid_pattern AND alpha_ok</w:t>
      </w:r>
    </w:p>
    <w:p>
      <w:pPr>
        <w:spacing w:after="120"/>
      </w:pPr>
    </w:p>
    <w:p>
      <w:pPr>
        <w:spacing w:after="60" w:before="160"/>
      </w:pPr>
      <w:r>
        <w:rPr>
          <w:rFonts w:ascii="Arial" w:cs="Arial" w:eastAsia="Arial" w:hAnsi="Arial"/>
          <w:b/>
          <w:bCs/>
          <w:color w:val="4A148C"/>
          <w:sz w:val="22"/>
          <w:szCs w:val="22"/>
        </w:rPr>
        <w:t xml:space="preserve">Edge 2: Momentum Breakout / VCP  (trigger_swing_bo)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4460"/>
      </w:tblGrid>
      <w:tr>
        <w:tc>
          <w:tcPr>
            <w:tcW w:type="dxa" w:w="20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Variable</w:t>
            </w:r>
          </w:p>
        </w:tc>
        <w:tc>
          <w:tcPr>
            <w:tcW w:type="dxa" w:w="29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Exact Logic</w:t>
            </w:r>
          </w:p>
        </w:tc>
        <w:tc>
          <w:tcPr>
            <w:tcW w:type="dxa" w:w="446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minervini_trend</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All four daily SMAs aligned + 52-week range filters</w:t>
            </w:r>
          </w:p>
        </w:tc>
        <w:tc>
          <w:tcPr>
            <w:tcW w:type="dxa" w:w="44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Base prerequisite (see above).</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vcp_ok</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ATR(10) &lt; ATR(40) × 1.5  AND  VWMA(vol,5) &lt; SMA(vol,50)</w:t>
            </w:r>
          </w:p>
        </w:tc>
        <w:tc>
          <w:tcPr>
            <w:tcW w:type="dxa" w:w="44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Price range is contracting AND volume is drying up — classic coiling before expansion.</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is_pivot_break</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close &gt; ta.highest(high, 10)[1]</w:t>
            </w:r>
          </w:p>
        </w:tc>
        <w:tc>
          <w:tcPr>
            <w:tcW w:type="dxa" w:w="44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Price closes above the 10-bar pivot high (not the 20-bar high used in positional breakout).</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vol_expansion_ok</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volume &gt; SMA(volume, 50) × 1.5</w:t>
            </w:r>
          </w:p>
        </w:tc>
        <w:tc>
          <w:tcPr>
            <w:tcW w:type="dxa" w:w="44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Volume must expand above 150% of average on the breakout bar.</w:t>
            </w:r>
          </w:p>
        </w:tc>
      </w:tr>
    </w:tbl>
    <w:p>
      <w:pPr>
        <w:pBdr>
          <w:left w:val="single" w:color="6A1B9A" w:sz="14" w:space="8"/>
        </w:pBdr>
        <w:spacing w:after="140" w:before="140"/>
        <w:ind w:left="360"/>
      </w:pPr>
      <w:r>
        <w:rPr>
          <w:rFonts w:ascii="Arial" w:cs="Arial" w:eastAsia="Arial" w:hAnsi="Arial"/>
          <w:b/>
          <w:bCs/>
          <w:color w:val="6A1B9A"/>
          <w:sz w:val="20"/>
          <w:szCs w:val="20"/>
        </w:rPr>
        <w:t xml:space="preserve">NOTE: </w:t>
      </w:r>
      <w:r>
        <w:rPr>
          <w:rFonts w:ascii="Arial" w:cs="Arial" w:eastAsia="Arial" w:hAnsi="Arial"/>
          <w:i/>
          <w:iCs/>
          <w:sz w:val="20"/>
          <w:szCs w:val="20"/>
        </w:rPr>
        <w:t xml:space="preserve">The VCP threshold here is 1.5 (not 0.75 as in the Catalyst Engine). This reflects a looser definition — the strategy accepts moderately contracted ATR (within 150% of the 40-bar ATR) rather than requiring the extremely tight 75% threshold used for labelling.</w:t>
      </w:r>
    </w:p>
    <w:p>
      <w:pPr>
        <w:spacing w:after="120"/>
      </w:pPr>
    </w:p>
    <w:p>
      <w:pPr>
        <w:spacing w:after="60" w:before="160"/>
      </w:pPr>
      <w:r>
        <w:rPr>
          <w:rFonts w:ascii="Arial" w:cs="Arial" w:eastAsia="Arial" w:hAnsi="Arial"/>
          <w:b/>
          <w:bCs/>
          <w:color w:val="B71C1C"/>
          <w:sz w:val="22"/>
          <w:szCs w:val="22"/>
        </w:rPr>
        <w:t xml:space="preserve">Edge 3: Mean Reversion / Oversold  (trigger_swing_rev)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Variable</w:t>
            </w:r>
          </w:p>
        </w:tc>
        <w:tc>
          <w:tcPr>
            <w:tcW w:type="dxa" w:w="26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Exact Logic</w:t>
            </w:r>
          </w:p>
        </w:tc>
        <w:tc>
          <w:tcPr>
            <w:tcW w:type="dxa" w:w="496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Purpose</w:t>
            </w:r>
          </w:p>
        </w:tc>
      </w:tr>
      <w:tr>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rsi_3</w:t>
            </w:r>
          </w:p>
        </w:tc>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ta.rsi(close, 3) &lt; 20</w:t>
            </w:r>
          </w:p>
        </w:tc>
        <w:tc>
          <w:tcPr>
            <w:tcW w:type="dxa" w:w="4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3-period RSI below 20 signals extreme short-term oversold.</w:t>
            </w:r>
          </w:p>
        </w:tc>
      </w:tr>
      <w:tr>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d_rsi</w:t>
            </w:r>
          </w:p>
        </w:tc>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d_rsi &lt; 30 (alternative)</w:t>
            </w:r>
          </w:p>
        </w:tc>
        <w:tc>
          <w:tcPr>
            <w:tcW w:type="dxa" w:w="4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Standard 14-period RSI below 30 (either condition qualifies).</w:t>
            </w:r>
          </w:p>
        </w:tc>
      </w:tr>
      <w:tr>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valid_pattern</w:t>
            </w:r>
          </w:p>
        </w:tc>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Hammer OR Bullish Engulfing OR Morning Star</w:t>
            </w:r>
          </w:p>
        </w:tc>
        <w:tc>
          <w:tcPr>
            <w:tcW w:type="dxa" w:w="4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Reversal candle must confirm the oversold bounce.</w:t>
            </w:r>
          </w:p>
        </w:tc>
      </w:tr>
      <w:tr>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vol_confirm</w:t>
            </w:r>
          </w:p>
        </w:tc>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volume &gt; SMA(volume, 50) × 1.5</w:t>
            </w:r>
          </w:p>
        </w:tc>
        <w:tc>
          <w:tcPr>
            <w:tcW w:type="dxa" w:w="4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Volume expansion on the reversal day confirms buyers stepping in.</w:t>
            </w:r>
          </w:p>
        </w:tc>
      </w:tr>
      <w:tr>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mkt_ok</w:t>
            </w:r>
          </w:p>
        </w:tc>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Nifty 500: close &gt; SMA50 &gt; SMA200</w:t>
            </w:r>
          </w:p>
        </w:tc>
        <w:tc>
          <w:tcPr>
            <w:tcW w:type="dxa" w:w="4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Market must be in confirmed bullish state. No mean-reversion trades in bear markets.</w:t>
            </w:r>
          </w:p>
        </w:tc>
      </w:tr>
    </w:tbl>
    <w:p>
      <w:pPr>
        <w:spacing w:after="120"/>
      </w:pPr>
    </w:p>
    <w:p>
      <w:pPr>
        <w:spacing w:after="60" w:before="160"/>
      </w:pPr>
      <w:r>
        <w:rPr>
          <w:rFonts w:ascii="Arial" w:cs="Arial" w:eastAsia="Arial" w:hAnsi="Arial"/>
          <w:b/>
          <w:bCs/>
          <w:color w:val="006064"/>
          <w:sz w:val="22"/>
          <w:szCs w:val="22"/>
        </w:rPr>
        <w:t xml:space="preserve">Edge 4: Gap &amp; Go  (trigger_swing_gap)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Variable</w:t>
            </w:r>
          </w:p>
        </w:tc>
        <w:tc>
          <w:tcPr>
            <w:tcW w:type="dxa" w:w="32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Exact Logic</w:t>
            </w:r>
          </w:p>
        </w:tc>
        <w:tc>
          <w:tcPr>
            <w:tcW w:type="dxa" w:w="436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Purpose</w:t>
            </w:r>
          </w:p>
        </w:tc>
      </w:tr>
      <w:tr>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gap_up_pct</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(open − high[1]) / high[1] × 100 ≥ 4.0%</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Opening gap must be at least 4% above the prior bar’s high. Distinguishes institutional events from noise gaps.</w:t>
            </w:r>
          </w:p>
        </w:tc>
      </w:tr>
      <w:tr>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vol_confirm</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volume &gt; SMA(volume, 50) × 3.0</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Volume must be at least 300% of average — the most extreme volume requirement in the system. Ensures the gap is event-driven.</w:t>
            </w:r>
          </w:p>
        </w:tc>
      </w:tr>
      <w:tr>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pa_bullish</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close &gt; open</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The gap bar must close bullishly (holds the open).</w:t>
            </w:r>
          </w:p>
        </w:tc>
      </w:tr>
      <w:tr>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mkt_ok</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Nifty 500: close &gt; SMA50 &gt; SMA200</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Market must be in confirmed bullish state.</w:t>
            </w:r>
          </w:p>
        </w:tc>
      </w:tr>
    </w:tbl>
    <w:p>
      <w:pPr>
        <w:pBdr>
          <w:left w:val="single" w:color="BF360C" w:sz="14" w:space="8"/>
        </w:pBdr>
        <w:spacing w:after="140" w:before="140"/>
        <w:ind w:left="360"/>
      </w:pPr>
      <w:r>
        <w:rPr>
          <w:rFonts w:ascii="Arial" w:cs="Arial" w:eastAsia="Arial" w:hAnsi="Arial"/>
          <w:b/>
          <w:bCs/>
          <w:color w:val="BF360C"/>
          <w:sz w:val="20"/>
          <w:szCs w:val="20"/>
        </w:rPr>
        <w:t xml:space="preserve">WARNING: </w:t>
      </w:r>
      <w:r>
        <w:rPr>
          <w:rFonts w:ascii="Arial" w:cs="Arial" w:eastAsia="Arial" w:hAnsi="Arial"/>
          <w:i/>
          <w:iCs/>
          <w:sz w:val="20"/>
          <w:szCs w:val="20"/>
        </w:rPr>
        <w:t xml:space="preserve">SWG-GAP has the strictest volume requirement in the system (3× average). In the Catalyst Engine, the gap threshold is only 2% for labelling purposes, but the strategy will not generate an actual entry unless the full 4% gap + 3× volume conditions are met.</w:t>
      </w:r>
    </w:p>
    <w:p>
      <w:r>
        <w:br w:type="page"/>
      </w:r>
    </w:p>
    <w:p>
      <w:pPr>
        <w:pStyle w:val="Heading2"/>
      </w:pPr>
      <w:r>
        <w:t xml:space="preserve">4.4 Exit &amp; Stop Management</w:t>
      </w:r>
    </w:p>
    <w:p>
      <w:pPr>
        <w:pStyle w:val="Heading3"/>
      </w:pPr>
      <w:r>
        <w:t xml:space="preserve">4.4.1 Positional Stop (Chandelier Exit)</w:t>
      </w:r>
    </w:p>
    <w:p>
      <w:pPr>
        <w:spacing w:after="130"/>
      </w:pPr>
      <w:r>
        <w:rPr>
          <w:rFonts w:ascii="Arial" w:cs="Arial" w:eastAsia="Arial" w:hAnsi="Arial"/>
          <w:sz w:val="22"/>
          <w:szCs w:val="22"/>
        </w:rPr>
        <w:t xml:space="preserve">Positional entries use a ratcheting Chandelier Exit stop. The stop only moves up, never down.</w:t>
      </w:r>
    </w:p>
    <w:p>
      <w:pPr>
        <w:shd w:fill="0D1117" w:val="clear"/>
        <w:spacing w:after="60" w:before="60"/>
        <w:ind w:left="360"/>
      </w:pPr>
      <w:r>
        <w:rPr>
          <w:rFonts w:ascii="Courier New" w:cs="Courier New" w:eastAsia="Courier New" w:hAnsi="Courier New"/>
          <w:b/>
          <w:bCs/>
          <w:color w:val="F8F8F2"/>
          <w:sz w:val="19"/>
          <w:szCs w:val="19"/>
        </w:rPr>
        <w:t xml:space="preserve">raw_long_stop = ta.highest(high, CE_length) − (ATR × CE_mult)</w:t>
      </w:r>
    </w:p>
    <w:p>
      <w:pPr>
        <w:shd w:fill="0D1117" w:val="clear"/>
        <w:spacing w:after="60" w:before="60"/>
        <w:ind w:left="360"/>
      </w:pPr>
      <w:r>
        <w:rPr>
          <w:rFonts w:ascii="Courier New" w:cs="Courier New" w:eastAsia="Courier New" w:hAnsi="Courier New"/>
          <w:b/>
          <w:bCs/>
          <w:color w:val="F8F8F2"/>
          <w:sz w:val="19"/>
          <w:szCs w:val="19"/>
        </w:rPr>
        <w:t xml:space="preserve">ce_trailing_stop = max(raw_long_stop, ce_trailing_stop[1])   if close[1] &gt; stop[1]</w:t>
      </w:r>
    </w:p>
    <w:p>
      <w:pPr>
        <w:shd w:fill="0D1117" w:val="clear"/>
        <w:spacing w:after="60" w:before="60"/>
        <w:ind w:left="360"/>
      </w:pPr>
      <w:r>
        <w:rPr>
          <w:rFonts w:ascii="Courier New" w:cs="Courier New" w:eastAsia="Courier New" w:hAnsi="Courier New"/>
          <w:b/>
          <w:bCs/>
          <w:color w:val="F8F8F2"/>
          <w:sz w:val="19"/>
          <w:szCs w:val="19"/>
        </w:rPr>
        <w:t xml:space="preserve">                 = raw_long_stop                              otherwise (reset)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Chart Timeframe</w:t>
            </w:r>
          </w:p>
        </w:tc>
        <w:tc>
          <w:tcPr>
            <w:tcW w:type="dxa" w:w="312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CE Length</w:t>
            </w:r>
          </w:p>
        </w:tc>
        <w:tc>
          <w:tcPr>
            <w:tcW w:type="dxa" w:w="312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CE Multiplier</w:t>
            </w:r>
          </w:p>
        </w:tc>
      </w:tr>
      <w:tr>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75-min</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25</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2.5×ATR</w:t>
            </w:r>
          </w:p>
        </w:tc>
      </w:tr>
      <w:tr>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125-min</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15</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2.5×ATR</w:t>
            </w:r>
          </w:p>
        </w:tc>
      </w:tr>
      <w:tr>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Daily</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22</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3.0×ATR</w:t>
            </w:r>
          </w:p>
        </w:tc>
      </w:tr>
      <w:tr>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Weekly</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13</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3.0×ATR</w:t>
            </w:r>
          </w:p>
        </w:tc>
      </w:tr>
      <w:tr>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Monthly</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6</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3.0×ATR</w:t>
            </w:r>
          </w:p>
        </w:tc>
      </w:tr>
    </w:tbl>
    <w:p>
      <w:pPr>
        <w:pStyle w:val="ListParagraph"/>
        <w:numPr>
          <w:ilvl w:val="0"/>
          <w:numId w:val="2"/>
        </w:numPr>
        <w:spacing w:after="90"/>
      </w:pPr>
      <w:r>
        <w:rPr>
          <w:rFonts w:ascii="Arial" w:cs="Arial" w:eastAsia="Arial" w:hAnsi="Arial"/>
          <w:sz w:val="22"/>
          <w:szCs w:val="22"/>
        </w:rPr>
        <w:t xml:space="preserve">Stage 4 override: If the weekly stage transitions to Stage 4, an immediate full exit fires regardless of where the CE stop sits.</w:t>
      </w:r>
    </w:p>
    <w:p>
      <w:pPr>
        <w:pStyle w:val="ListParagraph"/>
        <w:numPr>
          <w:ilvl w:val="0"/>
          <w:numId w:val="2"/>
        </w:numPr>
        <w:spacing w:after="90"/>
      </w:pPr>
      <w:r>
        <w:rPr>
          <w:rFonts w:ascii="Arial" w:cs="Arial" w:eastAsia="Arial" w:hAnsi="Arial"/>
          <w:sz w:val="22"/>
          <w:szCs w:val="22"/>
        </w:rPr>
        <w:t xml:space="preserve">Breakeven ratchet: Once Target 1 is hit on a swing portion (if mixed trade), the positional SL is raised to the entry price.</w:t>
      </w:r>
    </w:p>
    <w:p>
      <w:pPr>
        <w:pStyle w:val="Heading3"/>
      </w:pPr>
      <w:r>
        <w:t xml:space="preserve">4.4.2 Swing Stop (EMA 20 Trail)</w:t>
      </w:r>
    </w:p>
    <w:p>
      <w:pPr>
        <w:shd w:fill="0D1117" w:val="clear"/>
        <w:spacing w:after="60" w:before="60"/>
        <w:ind w:left="360"/>
      </w:pPr>
      <w:r>
        <w:rPr>
          <w:rFonts w:ascii="Courier New" w:cs="Courier New" w:eastAsia="Courier New" w:hAnsi="Courier New"/>
          <w:b/>
          <w:bCs/>
          <w:color w:val="F8F8F2"/>
          <w:sz w:val="19"/>
          <w:szCs w:val="19"/>
        </w:rPr>
        <w:t xml:space="preserve">trail_level = EMA20 × (1 − trail_buf_pb)      // Default trail_buf_pb = 1.0%</w:t>
      </w:r>
    </w:p>
    <w:p>
      <w:pPr>
        <w:shd w:fill="0D1117" w:val="clear"/>
        <w:spacing w:after="60" w:before="60"/>
        <w:ind w:left="360"/>
      </w:pPr>
      <w:r>
        <w:rPr>
          <w:rFonts w:ascii="Courier New" w:cs="Courier New" w:eastAsia="Courier New" w:hAnsi="Courier New"/>
          <w:b/>
          <w:bCs/>
          <w:color w:val="F8F8F2"/>
          <w:sz w:val="19"/>
          <w:szCs w:val="19"/>
        </w:rPr>
        <w:t xml:space="preserve">pb_sl = max(pb_sl, trail_level)                 // Only ratchets upward</w:t>
      </w:r>
    </w:p>
    <w:p>
      <w:pPr>
        <w:pStyle w:val="ListParagraph"/>
        <w:numPr>
          <w:ilvl w:val="0"/>
          <w:numId w:val="2"/>
        </w:numPr>
        <w:spacing w:after="90"/>
      </w:pPr>
      <w:r>
        <w:rPr>
          <w:rFonts w:ascii="Arial" w:cs="Arial" w:eastAsia="Arial" w:hAnsi="Arial"/>
          <w:sz w:val="22"/>
          <w:szCs w:val="22"/>
        </w:rPr>
        <w:t xml:space="preserve">50 MA Fail: If daily close drops below SMA50, the swing trade exits immediately.</w:t>
      </w:r>
    </w:p>
    <w:p>
      <w:pPr>
        <w:pStyle w:val="ListParagraph"/>
        <w:numPr>
          <w:ilvl w:val="0"/>
          <w:numId w:val="2"/>
        </w:numPr>
        <w:spacing w:after="90"/>
      </w:pPr>
      <w:r>
        <w:rPr>
          <w:rFonts w:ascii="Arial" w:cs="Arial" w:eastAsia="Arial" w:hAnsi="Arial"/>
          <w:sz w:val="22"/>
          <w:szCs w:val="22"/>
        </w:rPr>
        <w:t xml:space="preserve">SWG-REV Time Stop: Mean-reversion trades exit after 5 bars regardless of outcome.</w:t>
      </w:r>
    </w:p>
    <w:p>
      <w:pPr>
        <w:pStyle w:val="ListParagraph"/>
        <w:numPr>
          <w:ilvl w:val="0"/>
          <w:numId w:val="2"/>
        </w:numPr>
        <w:spacing w:after="90"/>
      </w:pPr>
      <w:r>
        <w:rPr>
          <w:rFonts w:ascii="Arial" w:cs="Arial" w:eastAsia="Arial" w:hAnsi="Arial"/>
          <w:sz w:val="22"/>
          <w:szCs w:val="22"/>
        </w:rPr>
        <w:t xml:space="preserve">General Time Stop: Any trade that has not moved (in breakeven or better) within 10 days triggers a time-stop exit.</w:t>
      </w:r>
    </w:p>
    <w:p>
      <w:pPr>
        <w:pStyle w:val="Heading3"/>
      </w:pPr>
      <w:r>
        <w:t xml:space="preserve">4.4.3 Partial Profits &amp; Breakeven</w:t>
      </w:r>
    </w:p>
    <w:p>
      <w:pPr>
        <w:shd w:fill="0D1117" w:val="clear"/>
        <w:spacing w:after="60" w:before="60"/>
        <w:ind w:left="360"/>
      </w:pPr>
      <w:r>
        <w:rPr>
          <w:rFonts w:ascii="Courier New" w:cs="Courier New" w:eastAsia="Courier New" w:hAnsi="Courier New"/>
          <w:b/>
          <w:bCs/>
          <w:color w:val="F8F8F2"/>
          <w:sz w:val="19"/>
          <w:szCs w:val="19"/>
        </w:rPr>
        <w:t xml:space="preserve">T1_R = 2.5R  in bull market (Nifty500 bullish)</w:t>
      </w:r>
    </w:p>
    <w:p>
      <w:pPr>
        <w:shd w:fill="0D1117" w:val="clear"/>
        <w:spacing w:after="60" w:before="60"/>
        <w:ind w:left="360"/>
      </w:pPr>
      <w:r>
        <w:rPr>
          <w:rFonts w:ascii="Courier New" w:cs="Courier New" w:eastAsia="Courier New" w:hAnsi="Courier New"/>
          <w:b/>
          <w:bCs/>
          <w:color w:val="F8F8F2"/>
          <w:sz w:val="19"/>
          <w:szCs w:val="19"/>
        </w:rPr>
        <w:t xml:space="preserve">     = 1.5R  in correction/bear market</w:t>
      </w:r>
    </w:p>
    <w:p>
      <w:pPr>
        <w:shd w:fill="0D1117" w:val="clear"/>
        <w:spacing w:after="60" w:before="60"/>
        <w:ind w:left="360"/>
      </w:pPr>
      <w:r>
        <w:rPr>
          <w:rFonts w:ascii="Courier New" w:cs="Courier New" w:eastAsia="Courier New" w:hAnsi="Courier New"/>
          <w:b/>
          <w:bCs/>
          <w:color w:val="F8F8F2"/>
          <w:sz w:val="19"/>
          <w:szCs w:val="19"/>
        </w:rPr>
        <w:t xml:space="preserve">     = 1.5R  always for SWG-REV (hard-coded)</w:t>
      </w:r>
    </w:p>
    <w:p>
      <w:pPr>
        <w:shd w:fill="0D1117" w:val="clear"/>
        <w:spacing w:after="60" w:before="60"/>
        <w:ind w:left="360"/>
      </w:pPr>
      <w:r>
        <w:rPr>
          <w:rFonts w:ascii="Courier New" w:cs="Courier New" w:eastAsia="Courier New" w:hAnsi="Courier New"/>
          <w:b/>
          <w:bCs/>
          <w:color w:val="F8F8F2"/>
          <w:sz w:val="19"/>
          <w:szCs w:val="19"/>
        </w:rPr>
        <w:t xml:space="preserve"/>
      </w:r>
    </w:p>
    <w:p>
      <w:pPr>
        <w:shd w:fill="0D1117" w:val="clear"/>
        <w:spacing w:after="60" w:before="60"/>
        <w:ind w:left="360"/>
      </w:pPr>
      <w:r>
        <w:rPr>
          <w:rFonts w:ascii="Courier New" w:cs="Courier New" w:eastAsia="Courier New" w:hAnsi="Courier New"/>
          <w:b/>
          <w:bCs/>
          <w:color w:val="F8F8F2"/>
          <w:sz w:val="19"/>
          <w:szCs w:val="19"/>
        </w:rPr>
        <w:t xml:space="preserve">On T1 hit: 50% of position closed at T1 limit price</w:t>
      </w:r>
    </w:p>
    <w:p>
      <w:pPr>
        <w:shd w:fill="0D1117" w:val="clear"/>
        <w:spacing w:after="60" w:before="60"/>
        <w:ind w:left="360"/>
      </w:pPr>
      <w:r>
        <w:rPr>
          <w:rFonts w:ascii="Courier New" w:cs="Courier New" w:eastAsia="Courier New" w:hAnsi="Courier New"/>
          <w:b/>
          <w:bCs/>
          <w:color w:val="F8F8F2"/>
          <w:sz w:val="19"/>
          <w:szCs w:val="19"/>
        </w:rPr>
        <w:t xml:space="preserve">           remaining 50% stop moved to entry price (breakeven)</w:t>
      </w:r>
    </w:p>
    <w:p>
      <w:pPr>
        <w:pStyle w:val="Heading2"/>
      </w:pPr>
      <w:r>
        <w:t xml:space="preserve">4.5 Risk Allocator Table</w:t>
      </w:r>
    </w:p>
    <w:p>
      <w:pPr>
        <w:spacing w:after="130"/>
      </w:pPr>
      <w:r>
        <w:rPr>
          <w:rFonts w:ascii="Arial" w:cs="Arial" w:eastAsia="Arial" w:hAnsi="Arial"/>
          <w:sz w:val="22"/>
          <w:szCs w:val="22"/>
        </w:rPr>
        <w:t xml:space="preserve">A manual risk calculator renders on the chart when Show Allocator Table is enabled. Set Entry Price and Stop Price via the confirm inputs, then read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Row</w:t>
            </w:r>
          </w:p>
        </w:tc>
        <w:tc>
          <w:tcPr>
            <w:tcW w:type="dxa" w:w="696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Formula</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Adjusted Risk %</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base_risk_pct × regime_discount × vol_discount (floored at 0.25%)</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Quantity</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min(risk_amount / |entry − stop|, max_allocation / entry) ÷ lot_multiplier</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Invested</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final_qty × entry × lot_multiplier</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Risk Amount</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final_qty × |entry − stop| × lot_multiplier</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Target 1 (2R)</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entry + 2 × |entry − stop|</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Target 2 (3R)</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entry + 3 × |entry − stop|</w:t>
            </w:r>
          </w:p>
        </w:tc>
      </w:tr>
    </w:tbl>
    <w:p>
      <w:r>
        <w:br w:type="page"/>
      </w:r>
    </w:p>
    <w:p>
      <w:pPr>
        <w:pStyle w:val="Heading1"/>
      </w:pPr>
      <w:r>
        <w:t xml:space="preserve">Chapter 5: Weinstein Swing Zigzag [Strict v5.2]</w:t>
      </w:r>
    </w:p>
    <w:p>
      <w:pPr>
        <w:spacing w:after="130"/>
      </w:pPr>
      <w:r>
        <w:rPr>
          <w:rFonts w:ascii="Arial" w:cs="Arial" w:eastAsia="Arial" w:hAnsi="Arial"/>
          <w:sz w:val="22"/>
          <w:szCs w:val="22"/>
        </w:rPr>
        <w:t xml:space="preserve">The Zigzag indicator maps the multi-timeframe swing high/low sequence and classifies each pivot relative to its predecessor to determine the prevailing trend state. It operates as a strict state machine — trend changes require specific pivot sequences, not just individual pivots.</w:t>
      </w:r>
    </w:p>
    <w:p>
      <w:pPr>
        <w:pStyle w:val="Heading2"/>
      </w:pPr>
      <w:r>
        <w:t xml:space="preserve">5.1 Pivot Classification</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720"/>
        <w:gridCol w:w="900"/>
        <w:gridCol w:w="4680"/>
        <w:gridCol w:w="1060"/>
      </w:tblGrid>
      <w:tr>
        <w:tc>
          <w:tcPr>
            <w:tcW w:type="dxa" w:w="72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Label</w:t>
            </w:r>
          </w:p>
        </w:tc>
        <w:tc>
          <w:tcPr>
            <w:tcW w:type="dxa" w:w="9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Pivot Type</w:t>
            </w:r>
          </w:p>
        </w:tc>
        <w:tc>
          <w:tcPr>
            <w:tcW w:type="dxa" w:w="468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Condition (vs. Previous Locked Pivot of Same Type)</w:t>
            </w:r>
          </w:p>
        </w:tc>
        <w:tc>
          <w:tcPr>
            <w:tcW w:type="dxa" w:w="106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Colour</w:t>
            </w:r>
          </w:p>
        </w:tc>
      </w:tr>
      <w:tr>
        <w:tc>
          <w:tcPr>
            <w:tcW w:type="dxa" w:w="7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HH</w:t>
            </w:r>
          </w:p>
        </w:tc>
        <w:tc>
          <w:tcPr>
            <w:tcW w:type="dxa" w:w="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High</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New high &gt; prior locked high (by more than 0.1% tolerance)</w:t>
            </w:r>
          </w:p>
        </w:tc>
        <w:tc>
          <w:tcPr>
            <w:tcW w:type="dxa" w:w="1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Green</w:t>
            </w:r>
          </w:p>
        </w:tc>
      </w:tr>
      <w:tr>
        <w:tc>
          <w:tcPr>
            <w:tcW w:type="dxa" w:w="7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LH</w:t>
            </w:r>
          </w:p>
        </w:tc>
        <w:tc>
          <w:tcPr>
            <w:tcW w:type="dxa" w:w="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High</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New high &lt; prior locked high (by more than 0.1% tolerance)</w:t>
            </w:r>
          </w:p>
        </w:tc>
        <w:tc>
          <w:tcPr>
            <w:tcW w:type="dxa" w:w="1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Red</w:t>
            </w:r>
          </w:p>
        </w:tc>
      </w:tr>
      <w:tr>
        <w:tc>
          <w:tcPr>
            <w:tcW w:type="dxa" w:w="7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EH</w:t>
            </w:r>
          </w:p>
        </w:tc>
        <w:tc>
          <w:tcPr>
            <w:tcW w:type="dxa" w:w="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High</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|New high − prior locked high| / prior locked high ≤ 0.001 (equal within 0.1%)</w:t>
            </w:r>
          </w:p>
        </w:tc>
        <w:tc>
          <w:tcPr>
            <w:tcW w:type="dxa" w:w="1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Gray</w:t>
            </w:r>
          </w:p>
        </w:tc>
      </w:tr>
      <w:tr>
        <w:tc>
          <w:tcPr>
            <w:tcW w:type="dxa" w:w="7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HL</w:t>
            </w:r>
          </w:p>
        </w:tc>
        <w:tc>
          <w:tcPr>
            <w:tcW w:type="dxa" w:w="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Low</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New low &gt; prior locked low (by more than 0.1% tolerance)</w:t>
            </w:r>
          </w:p>
        </w:tc>
        <w:tc>
          <w:tcPr>
            <w:tcW w:type="dxa" w:w="1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Green</w:t>
            </w:r>
          </w:p>
        </w:tc>
      </w:tr>
      <w:tr>
        <w:tc>
          <w:tcPr>
            <w:tcW w:type="dxa" w:w="7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LL</w:t>
            </w:r>
          </w:p>
        </w:tc>
        <w:tc>
          <w:tcPr>
            <w:tcW w:type="dxa" w:w="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Low</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New low &lt; prior locked low (by more than 0.1% tolerance)</w:t>
            </w:r>
          </w:p>
        </w:tc>
        <w:tc>
          <w:tcPr>
            <w:tcW w:type="dxa" w:w="1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Red</w:t>
            </w:r>
          </w:p>
        </w:tc>
      </w:tr>
      <w:tr>
        <w:tc>
          <w:tcPr>
            <w:tcW w:type="dxa" w:w="7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EL</w:t>
            </w:r>
          </w:p>
        </w:tc>
        <w:tc>
          <w:tcPr>
            <w:tcW w:type="dxa" w:w="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Low</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|New low − prior locked low| / prior locked low ≤ 0.001 (equal within 0.1%)</w:t>
            </w:r>
          </w:p>
        </w:tc>
        <w:tc>
          <w:tcPr>
            <w:tcW w:type="dxa" w:w="1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Gray</w:t>
            </w:r>
          </w:p>
        </w:tc>
      </w:tr>
    </w:tbl>
    <w:p>
      <w:pPr>
        <w:pStyle w:val="Heading2"/>
      </w:pPr>
      <w:r>
        <w:t xml:space="preserve">5.2 Trend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800"/>
        <w:gridCol w:w="4060"/>
      </w:tblGrid>
      <w:tr>
        <w:tc>
          <w:tcPr>
            <w:tcW w:type="dxa" w:w="15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New Pivot</w:t>
            </w:r>
          </w:p>
        </w:tc>
        <w:tc>
          <w:tcPr>
            <w:tcW w:type="dxa" w:w="20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Previous Pivot</w:t>
            </w:r>
          </w:p>
        </w:tc>
        <w:tc>
          <w:tcPr>
            <w:tcW w:type="dxa" w:w="18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Trend Result</w:t>
            </w:r>
          </w:p>
        </w:tc>
        <w:tc>
          <w:tcPr>
            <w:tcW w:type="dxa" w:w="406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Rationale</w:t>
            </w:r>
          </w:p>
        </w:tc>
      </w:tr>
      <w:tr>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HH</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HL or EL</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+1 UPTREND</w:t>
            </w:r>
          </w:p>
        </w:tc>
        <w:tc>
          <w:tcPr>
            <w:tcW w:type="dxa" w:w="4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Classic: higher high after higher low confirms advance</w:t>
            </w:r>
          </w:p>
        </w:tc>
      </w:tr>
      <w:tr>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HL</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HH or EH</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+1 UPTREND</w:t>
            </w:r>
          </w:p>
        </w:tc>
        <w:tc>
          <w:tcPr>
            <w:tcW w:type="dxa" w:w="4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Continuation: higher low after higher high</w:t>
            </w:r>
          </w:p>
        </w:tc>
      </w:tr>
      <w:tr>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LL</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LH or EH</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−1 DOWNTREND</w:t>
            </w:r>
          </w:p>
        </w:tc>
        <w:tc>
          <w:tcPr>
            <w:tcW w:type="dxa" w:w="4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Classic: lower low after lower high confirms decline</w:t>
            </w:r>
          </w:p>
        </w:tc>
      </w:tr>
      <w:tr>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LH</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LL or EL</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−1 DOWNTREND</w:t>
            </w:r>
          </w:p>
        </w:tc>
        <w:tc>
          <w:tcPr>
            <w:tcW w:type="dxa" w:w="4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Continuation: lower high after lower low</w:t>
            </w:r>
          </w:p>
        </w:tc>
      </w:tr>
      <w:tr>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HH</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LL</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0 SIDEWAYS</w:t>
            </w:r>
          </w:p>
        </w:tc>
        <w:tc>
          <w:tcPr>
            <w:tcW w:type="dxa" w:w="4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Broadening: HH after LL — no clean direction</w:t>
            </w:r>
          </w:p>
        </w:tc>
      </w:tr>
      <w:tr>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LL</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HH</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0 SIDEWAYS</w:t>
            </w:r>
          </w:p>
        </w:tc>
        <w:tc>
          <w:tcPr>
            <w:tcW w:type="dxa" w:w="4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Broadening: LL after HH — no clean direction</w:t>
            </w:r>
          </w:p>
        </w:tc>
      </w:tr>
      <w:tr>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LH</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HL</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0 SIDEWAYS</w:t>
            </w:r>
          </w:p>
        </w:tc>
        <w:tc>
          <w:tcPr>
            <w:tcW w:type="dxa" w:w="4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Narrowing reversal attempt — ambiguous</w:t>
            </w:r>
          </w:p>
        </w:tc>
      </w:tr>
      <w:tr>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EH or EL</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Any</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Maintain current state</w:t>
            </w:r>
          </w:p>
        </w:tc>
        <w:tc>
          <w:tcPr>
            <w:tcW w:type="dxa" w:w="4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Equal highs/lows do not change trend</w:t>
            </w:r>
          </w:p>
        </w:tc>
      </w:tr>
    </w:tbl>
    <w:p>
      <w:pPr>
        <w:pStyle w:val="Heading2"/>
      </w:pPr>
      <w:r>
        <w:t xml:space="preserve">5.3 Break of Structure (Real-Time BoS)</w:t>
      </w:r>
    </w:p>
    <w:p>
      <w:pPr>
        <w:spacing w:after="130"/>
      </w:pPr>
      <w:r>
        <w:rPr>
          <w:rFonts w:ascii="Arial" w:cs="Arial" w:eastAsia="Arial" w:hAnsi="Arial"/>
          <w:sz w:val="22"/>
          <w:szCs w:val="22"/>
        </w:rPr>
        <w:t xml:space="preserve">BoS fires on the current bar (before the next pivot is confirmed), updating the trend state in real time:</w:t>
      </w:r>
    </w:p>
    <w:p>
      <w:pPr>
        <w:pStyle w:val="ListParagraph"/>
        <w:numPr>
          <w:ilvl w:val="0"/>
          <w:numId w:val="2"/>
        </w:numPr>
        <w:spacing w:after="90"/>
      </w:pPr>
      <w:r>
        <w:rPr>
          <w:rFonts w:ascii="Arial" w:cs="Arial" w:eastAsia="Arial" w:hAnsi="Arial"/>
          <w:sz w:val="22"/>
          <w:szCs w:val="22"/>
        </w:rPr>
        <w:t xml:space="preserve">Bullish BoS: close &gt; lockedHigh AND (lastLowClass == HL or EL). Trend flips to +1 immediately. Alert fires.</w:t>
      </w:r>
    </w:p>
    <w:p>
      <w:pPr>
        <w:pStyle w:val="ListParagraph"/>
        <w:numPr>
          <w:ilvl w:val="0"/>
          <w:numId w:val="2"/>
        </w:numPr>
        <w:spacing w:after="90"/>
      </w:pPr>
      <w:r>
        <w:rPr>
          <w:rFonts w:ascii="Arial" w:cs="Arial" w:eastAsia="Arial" w:hAnsi="Arial"/>
          <w:sz w:val="22"/>
          <w:szCs w:val="22"/>
        </w:rPr>
        <w:t xml:space="preserve">Bearish BoS: close &lt; lockedLow AND (lastHighClass == LH or EH). Trend flips to −1 immediately. Alert fires.</w:t>
      </w:r>
    </w:p>
    <w:p>
      <w:pPr>
        <w:pBdr>
          <w:left w:val="single" w:color="6A1B9A" w:sz="14" w:space="8"/>
        </w:pBdr>
        <w:spacing w:after="140" w:before="140"/>
        <w:ind w:left="360"/>
      </w:pPr>
      <w:r>
        <w:rPr>
          <w:rFonts w:ascii="Arial" w:cs="Arial" w:eastAsia="Arial" w:hAnsi="Arial"/>
          <w:b/>
          <w:bCs/>
          <w:color w:val="6A1B9A"/>
          <w:sz w:val="20"/>
          <w:szCs w:val="20"/>
        </w:rPr>
        <w:t xml:space="preserve">NOTE: </w:t>
      </w:r>
      <w:r>
        <w:rPr>
          <w:rFonts w:ascii="Arial" w:cs="Arial" w:eastAsia="Arial" w:hAnsi="Arial"/>
          <w:i/>
          <w:iCs/>
          <w:sz w:val="20"/>
          <w:szCs w:val="20"/>
        </w:rPr>
        <w:t xml:space="preserve">BoS requires the qualifying prior pivot (HL for bullish, LH for bearish). A close above a locked high in a broadening pattern (last low was LL) does NOT trigger bullish BoS — preventing false signals in wide, choppy ranges.</w:t>
      </w:r>
    </w:p>
    <w:p>
      <w:pPr>
        <w:pStyle w:val="Heading2"/>
      </w:pPr>
      <w:r>
        <w:t xml:space="preserve">5.4 Pivot Settings by Timeframe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Timeframe</w:t>
            </w:r>
          </w:p>
        </w:tc>
        <w:tc>
          <w:tcPr>
            <w:tcW w:type="dxa" w:w="312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Pivot Length (Left = Right)</w:t>
            </w:r>
          </w:p>
        </w:tc>
        <w:tc>
          <w:tcPr>
            <w:tcW w:type="dxa" w:w="312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Sensitivity</w:t>
            </w:r>
          </w:p>
        </w:tc>
      </w:tr>
      <w:tr>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Monthly</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1</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Captures major multi-month structural pivots</w:t>
            </w:r>
          </w:p>
        </w:tc>
      </w:tr>
      <w:tr>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Weekly</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5</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Standard multi-week swing detection</w:t>
            </w:r>
          </w:p>
        </w:tc>
      </w:tr>
      <w:tr>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Daily</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2</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Short-term swing structure</w:t>
            </w:r>
          </w:p>
        </w:tc>
      </w:tr>
      <w:tr>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Intraday (all)</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2</w:t>
            </w:r>
          </w:p>
        </w:tc>
        <w:tc>
          <w:tcPr>
            <w:tcW w:type="dxa" w:w="3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Rapid intraday pivots</w:t>
            </w:r>
          </w:p>
        </w:tc>
      </w:tr>
    </w:tbl>
    <w:p>
      <w:pPr>
        <w:pStyle w:val="Heading2"/>
      </w:pPr>
      <w:r>
        <w:t xml:space="preserve">5.5 Info Panel &amp; Projection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Row</w:t>
            </w:r>
          </w:p>
        </w:tc>
        <w:tc>
          <w:tcPr>
            <w:tcW w:type="dxa" w:w="736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Content</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TREND</w:t>
            </w:r>
          </w:p>
        </w:tc>
        <w:tc>
          <w:tcPr>
            <w:tcW w:type="dxa" w:w="7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Current state: UPTREND / DOWNTREND / SIDEWAYS with emoji colour coding</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STRUCTURE</w:t>
            </w:r>
          </w:p>
        </w:tc>
        <w:tc>
          <w:tcPr>
            <w:tcW w:type="dxa" w:w="7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Last high class / Last low class (e.g., HH / HL)</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SWING COUNT</w:t>
            </w:r>
          </w:p>
        </w:tc>
        <w:tc>
          <w:tcPr>
            <w:tcW w:type="dxa" w:w="7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Consecutive swings in the current trend. ≥3 highlighted yellow (potential exhaustion)</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AMPLITUDE</w:t>
            </w:r>
          </w:p>
        </w:tc>
        <w:tc>
          <w:tcPr>
            <w:tcW w:type="dxa" w:w="7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(lockedHigh − lockedLow) / lockedLow × 100 — percentage range of the last complete swing</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CONFIG</w:t>
            </w:r>
          </w:p>
        </w:tc>
        <w:tc>
          <w:tcPr>
            <w:tcW w:type="dxa" w:w="7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Current pivot left/right settings</w:t>
            </w:r>
          </w:p>
        </w:tc>
      </w:tr>
    </w:tbl>
    <w:p>
      <w:pPr>
        <w:spacing w:after="130"/>
      </w:pPr>
      <w:r>
        <w:rPr>
          <w:rFonts w:ascii="Arial" w:cs="Arial" w:eastAsia="Arial" w:hAnsi="Arial"/>
          <w:sz w:val="22"/>
          <w:szCs w:val="22"/>
        </w:rPr>
        <w:t xml:space="preserve">The dashed projection line runs from the last confirmed pivot to the current bar’s opposite extreme: if the last pivot was a high, it projects toward the current developing low; if a low, toward the developing high.</w:t>
      </w:r>
    </w:p>
    <w:p>
      <w:r>
        <w:br w:type="page"/>
      </w:r>
    </w:p>
    <w:p>
      <w:pPr>
        <w:pStyle w:val="Heading1"/>
      </w:pPr>
      <w:r>
        <w:t xml:space="preserve">Chapter 6: Commander Screener Dashboard [ULTIMATE] v3.0</w:t>
      </w:r>
    </w:p>
    <w:p>
      <w:pPr>
        <w:spacing w:after="130"/>
      </w:pPr>
      <w:r>
        <w:rPr>
          <w:rFonts w:ascii="Arial" w:cs="Arial" w:eastAsia="Arial" w:hAnsi="Arial"/>
          <w:sz w:val="22"/>
          <w:szCs w:val="22"/>
        </w:rPr>
        <w:t xml:space="preserve">The Commander Screener scans up to 30 tickers simultaneously, calculating Weinstein Stage, Alpha Score, Mansfield RS, VCP status, and active catalysts for each, then ranking them in a sortable table.</w:t>
      </w:r>
    </w:p>
    <w:p>
      <w:pPr>
        <w:pStyle w:val="Heading2"/>
      </w:pPr>
      <w:r>
        <w:t xml:space="preserve">6.1 Setup</w:t>
      </w:r>
    </w:p>
    <w:p>
      <w:pPr>
        <w:pStyle w:val="ListParagraph"/>
        <w:numPr>
          <w:ilvl w:val="0"/>
          <w:numId w:val="3"/>
        </w:numPr>
        <w:spacing w:after="100"/>
      </w:pPr>
      <w:r>
        <w:rPr>
          <w:rFonts w:ascii="Arial" w:cs="Arial" w:eastAsia="Arial" w:hAnsi="Arial"/>
          <w:sz w:val="22"/>
          <w:szCs w:val="22"/>
        </w:rPr>
        <w:t xml:space="preserve">Add the indicator to any TradingView chart. The screener fetches its own data independently — the chart’s symbol does not affect the output.</w:t>
      </w:r>
    </w:p>
    <w:p>
      <w:pPr>
        <w:pStyle w:val="ListParagraph"/>
        <w:numPr>
          <w:ilvl w:val="0"/>
          <w:numId w:val="3"/>
        </w:numPr>
        <w:spacing w:after="100"/>
      </w:pPr>
      <w:r>
        <w:rPr>
          <w:rFonts w:ascii="Arial" w:cs="Arial" w:eastAsia="Arial" w:hAnsi="Arial"/>
          <w:sz w:val="22"/>
          <w:szCs w:val="22"/>
        </w:rPr>
        <w:t xml:space="preserve">Open the indicator’s Settings panel. Under Watchlist Symbols, enter your comma-separated ticker list in the text area. Use the full TradingView format: NSE:RELIANCE, NSE:TCS, NSE:HDFCBANK (maximum 30 tickers). Avoid trailing spaces inside the list.</w:t>
      </w:r>
    </w:p>
    <w:p>
      <w:pPr>
        <w:pStyle w:val="ListParagraph"/>
        <w:numPr>
          <w:ilvl w:val="0"/>
          <w:numId w:val="3"/>
        </w:numPr>
        <w:spacing w:after="100"/>
      </w:pPr>
      <w:r>
        <w:rPr>
          <w:rFonts w:ascii="Arial" w:cs="Arial" w:eastAsia="Arial" w:hAnsi="Arial"/>
          <w:sz w:val="22"/>
          <w:szCs w:val="22"/>
        </w:rPr>
        <w:t xml:space="preserve">Under Ranking &amp; Table Config, set: Benchmark symbol (default NSE:NIFTY for RS calculations), Sort By criterion, Sort Direction, and Table Position on screen.</w:t>
      </w:r>
    </w:p>
    <w:p>
      <w:pPr>
        <w:pStyle w:val="ListParagraph"/>
        <w:numPr>
          <w:ilvl w:val="0"/>
          <w:numId w:val="3"/>
        </w:numPr>
        <w:spacing w:after="100"/>
      </w:pPr>
      <w:r>
        <w:rPr>
          <w:rFonts w:ascii="Arial" w:cs="Arial" w:eastAsia="Arial" w:hAnsi="Arial"/>
          <w:sz w:val="22"/>
          <w:szCs w:val="22"/>
        </w:rPr>
        <w:t xml:space="preserve">Click OK. The screener re-fetches all data and renders the ranked table on the current bar. Allow 10–20 seconds for all 30 security requests to resolve on first load.</w:t>
      </w:r>
    </w:p>
    <w:p>
      <w:pPr>
        <w:pBdr>
          <w:left w:val="single" w:color="1565C0" w:sz="14" w:space="8"/>
        </w:pBdr>
        <w:spacing w:after="140" w:before="140"/>
        <w:ind w:left="360"/>
      </w:pPr>
      <w:r>
        <w:rPr>
          <w:rFonts w:ascii="Arial" w:cs="Arial" w:eastAsia="Arial" w:hAnsi="Arial"/>
          <w:b/>
          <w:bCs/>
          <w:color w:val="1565C0"/>
          <w:sz w:val="20"/>
          <w:szCs w:val="20"/>
        </w:rPr>
        <w:t xml:space="preserve">PRO TIP: </w:t>
      </w:r>
      <w:r>
        <w:rPr>
          <w:rFonts w:ascii="Arial" w:cs="Arial" w:eastAsia="Arial" w:hAnsi="Arial"/>
          <w:i/>
          <w:iCs/>
          <w:sz w:val="20"/>
          <w:szCs w:val="20"/>
        </w:rPr>
        <w:t xml:space="preserve">Apply the screener to a liquid index chart (e.g., NSE:NIFTY or NSE:CNX500) so the chart’s own data does not interfere with screener rendering. The screener works on any chart but renders most cleanly on an index.</w:t>
      </w:r>
    </w:p>
    <w:p>
      <w:pPr>
        <w:pStyle w:val="Heading2"/>
      </w:pPr>
      <w:r>
        <w:t xml:space="preserve">6.2 Data Fetching Architecture</w:t>
      </w:r>
    </w:p>
    <w:p>
      <w:pPr>
        <w:spacing w:after="130"/>
      </w:pPr>
      <w:r>
        <w:rPr>
          <w:rFonts w:ascii="Arial" w:cs="Arial" w:eastAsia="Arial" w:hAnsi="Arial"/>
          <w:sz w:val="22"/>
          <w:szCs w:val="22"/>
        </w:rPr>
        <w:t xml:space="preserve">The screener uses Pine Script v6 User-Defined Types (UDT) to bypass the 40-tuple limit of request.security. Each stock’s raw metrics are packed into a RawMetrics object, fetched in a single request.security call, then unpacked and processed into a ProcessedStock object. This architecture allows 19+ metrics per stock across 30 stocks within Pine Script’s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RawMetrics Field</w:t>
            </w:r>
          </w:p>
        </w:tc>
        <w:tc>
          <w:tcPr>
            <w:tcW w:type="dxa" w:w="32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Source Calculation</w:t>
            </w:r>
          </w:p>
        </w:tc>
        <w:tc>
          <w:tcPr>
            <w:tcW w:type="dxa" w:w="396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Used For</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 o</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close, open</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Price action, catalyst logic</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e20</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ta.ema(close, 20)</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Pullback zone, SWG-PB detection</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s50, s150, s200</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ta.sma(close, 50/150/200)</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Stage classification, Trend Template</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s200_10</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ta.sma(close, 200)[10]</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Stage 2 confirmation (rising SMA200)</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h250</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ta.highest(high, 250)</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52-week high for POS-BO threshold</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vSma</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ta.sma(volume, 50)</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Volume baseline for all thrust checks</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rsi</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ta.rsi(close, 14)</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Momentum filter</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atr10, atr40</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ta.atr(10), ta.atr(40)</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VCP tightness ratio</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stageWks</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ta.barssince(stage changed) / 5</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Stage duration in approximate weeks</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slope50</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linreg(sma50, 5, 0) − linreg(sma50, 5, 1)</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50-DMA slope direction</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w_slope</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linreg(sma150, 20, 0) − linreg(sma150, 20, 1)</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30-WMA weekly slope proxy (150-day ≈ 30 weeks)</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rs_val</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True Mansfield RS vs benchmark</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RS state classification</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rs_slope</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linreg(rs_val, 40, 0) − linreg(rs_val, 40, 1)</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RS trend direction (40-day ≈ 8 weeks)</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catalystId</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Integer 0–6 from catalyst logic</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Mapped to catalyst name in display</w:t>
            </w:r>
          </w:p>
        </w:tc>
      </w:tr>
    </w:tbl>
    <w:p>
      <w:pPr>
        <w:pStyle w:val="Heading2"/>
      </w:pPr>
      <w:r>
        <w:t xml:space="preserve">6.3 Screening Columns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Column</w:t>
            </w:r>
          </w:p>
        </w:tc>
        <w:tc>
          <w:tcPr>
            <w:tcW w:type="dxa" w:w="38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Source Logic</w:t>
            </w:r>
          </w:p>
        </w:tc>
        <w:tc>
          <w:tcPr>
            <w:tcW w:type="dxa" w:w="356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Colour Signals</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RANK</w:t>
            </w:r>
          </w:p>
        </w:tc>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Position after sort</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TICKER</w:t>
            </w:r>
          </w:p>
        </w:tc>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Symbol with NSE: prefix stripped</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SCORE</w:t>
            </w:r>
          </w:p>
        </w:tc>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Alpha Score + letter grade A/B/C/D</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Background: green (Stage 2 up), yellow (Stage 1), orange (Stage 3/4)</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STAGE</w:t>
            </w:r>
          </w:p>
        </w:tc>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w_slope + s150 position proxy</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Same colour coding as background</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STG WKS</w:t>
            </w:r>
          </w:p>
        </w:tc>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Approximate weeks in stage</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White &lt; 10w | Orange 10–20w | Red &gt; 20w</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R. STRENGTH</w:t>
            </w:r>
          </w:p>
        </w:tc>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Mansfield RS + rs_slope direction</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Lime if LEADING; white otherwise</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50-DMA SLOPE</w:t>
            </w:r>
          </w:p>
        </w:tc>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slope50 vs threshold</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Lime if Rising; Red if Falling</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VOLATILITY</w:t>
            </w:r>
          </w:p>
        </w:tc>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ATR10 vs ATR40 ratio</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Yellow if SQUEEZE (&lt; 0.70); white if Normal</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VOL THRUST%</w:t>
            </w:r>
          </w:p>
        </w:tc>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(volume / vSma) × 100 on up-close bars</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Yellow if &gt; 150% (accumulation signal)</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 FROM ATH</w:t>
            </w:r>
          </w:p>
        </w:tc>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(close − h250) / h250 × 100</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 (negative = below ATH)</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50-SMA DIST%</w:t>
            </w:r>
          </w:p>
        </w:tc>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(close − s50) / s50 × 100</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Lime if |distance| &lt; 5% (tight to SMA)</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RSI (14)</w:t>
            </w:r>
          </w:p>
        </w:tc>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rsi(close, 14)</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Red if &gt; 70 (overbought)</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RECOMMENDATION</w:t>
            </w:r>
          </w:p>
        </w:tc>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Stage + catalyst + EMA logic</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Lime if BUY/SETUP/catalyst; white otherwise</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CATALYST</w:t>
            </w:r>
          </w:p>
        </w:tc>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catalystId mapped to string</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POS-ACCUM=Lime, POS-BO=Blue, SWG-PB=Orange, SWG-BO=Fuchsia, SWG-REV=Red, SWG-GAP=Aqua</w:t>
            </w:r>
          </w:p>
        </w:tc>
      </w:tr>
    </w:tbl>
    <w:p>
      <w:pPr>
        <w:pStyle w:val="Heading2"/>
      </w:pPr>
      <w:r>
        <w:t xml:space="preserve">6.4 Sorting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Sort Criterion</w:t>
            </w:r>
          </w:p>
        </w:tc>
        <w:tc>
          <w:tcPr>
            <w:tcW w:type="dxa" w:w="616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Exact Sort Value Computed</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Score/Grade (default)</w:t>
            </w:r>
          </w:p>
        </w:tc>
        <w:tc>
          <w:tcPr>
            <w:tcW w:type="dxa" w:w="6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score + (volThrust / 1000)  — primary sort on score; tiny volThrust tiebreaker</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Volume Thrust</w:t>
            </w:r>
          </w:p>
        </w:tc>
        <w:tc>
          <w:tcPr>
            <w:tcW w:type="dxa" w:w="6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volThrust  (raw percentage)</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Proximity to 52-Wk High</w:t>
            </w:r>
          </w:p>
        </w:tc>
        <w:tc>
          <w:tcPr>
            <w:tcW w:type="dxa" w:w="6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distFromHigh × −1  (negated so closer-to-high = higher value)</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Proximity to 50-SMA</w:t>
            </w:r>
          </w:p>
        </w:tc>
        <w:tc>
          <w:tcPr>
            <w:tcW w:type="dxa" w:w="6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|distFrom50| × −1  (tighter to SMA = higher value)</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Relative Strength (Qtr)</w:t>
            </w:r>
          </w:p>
        </w:tc>
        <w:tc>
          <w:tcPr>
            <w:tcW w:type="dxa" w:w="6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2 if LEADING | 1 if Improving | 0 otherwise</w:t>
            </w:r>
          </w:p>
        </w:tc>
      </w:tr>
    </w:tbl>
    <w:p>
      <w:pPr>
        <w:pStyle w:val="Heading2"/>
      </w:pPr>
      <w:r>
        <w:t xml:space="preserve">6.5 Weekend Screening Workflow</w:t>
      </w:r>
    </w:p>
    <w:p>
      <w:pPr>
        <w:pStyle w:val="ListParagraph"/>
        <w:numPr>
          <w:ilvl w:val="0"/>
          <w:numId w:val="4"/>
        </w:numPr>
        <w:spacing w:after="90"/>
      </w:pPr>
      <w:r>
        <w:rPr>
          <w:rFonts w:ascii="Arial" w:cs="Arial" w:eastAsia="Arial" w:hAnsi="Arial"/>
          <w:sz w:val="22"/>
          <w:szCs w:val="22"/>
        </w:rPr>
        <w:t xml:space="preserve">Market Check: Read the Market Health Banner at the top of the screener table. This tells you whether to be aggressive (Bullish), cautious (Correction), or defensive (Bearish).</w:t>
      </w:r>
    </w:p>
    <w:p>
      <w:pPr>
        <w:pStyle w:val="ListParagraph"/>
        <w:numPr>
          <w:ilvl w:val="0"/>
          <w:numId w:val="4"/>
        </w:numPr>
        <w:spacing w:after="90"/>
      </w:pPr>
      <w:r>
        <w:rPr>
          <w:rFonts w:ascii="Arial" w:cs="Arial" w:eastAsia="Arial" w:hAnsi="Arial"/>
          <w:sz w:val="22"/>
          <w:szCs w:val="22"/>
        </w:rPr>
        <w:t xml:space="preserve">Sort by Score/Grade descending. Focus on stocks in the top 10 with Score ≥ 60 and Stage 2.</w:t>
      </w:r>
    </w:p>
    <w:p>
      <w:pPr>
        <w:pStyle w:val="ListParagraph"/>
        <w:numPr>
          <w:ilvl w:val="0"/>
          <w:numId w:val="4"/>
        </w:numPr>
        <w:spacing w:after="90"/>
      </w:pPr>
      <w:r>
        <w:rPr>
          <w:rFonts w:ascii="Arial" w:cs="Arial" w:eastAsia="Arial" w:hAnsi="Arial"/>
          <w:sz w:val="22"/>
          <w:szCs w:val="22"/>
        </w:rPr>
        <w:t xml:space="preserve">Filter by Catalyst: Look for POS-ACCUM or POS-BO for positional candidates. Look for SWG-PB or SWG-BO for swing candidates this week.</w:t>
      </w:r>
    </w:p>
    <w:p>
      <w:pPr>
        <w:pStyle w:val="ListParagraph"/>
        <w:numPr>
          <w:ilvl w:val="0"/>
          <w:numId w:val="4"/>
        </w:numPr>
        <w:spacing w:after="90"/>
      </w:pPr>
      <w:r>
        <w:rPr>
          <w:rFonts w:ascii="Arial" w:cs="Arial" w:eastAsia="Arial" w:hAnsi="Arial"/>
          <w:sz w:val="22"/>
          <w:szCs w:val="22"/>
        </w:rPr>
        <w:t xml:space="preserve">Filter by Volatility: Stocks showing VCP SQUEEZE in Stage 2 with Leading RS are the highest-probability setups for the coming week.</w:t>
      </w:r>
    </w:p>
    <w:p>
      <w:pPr>
        <w:pStyle w:val="ListParagraph"/>
        <w:numPr>
          <w:ilvl w:val="0"/>
          <w:numId w:val="4"/>
        </w:numPr>
        <w:spacing w:after="90"/>
      </w:pPr>
      <w:r>
        <w:rPr>
          <w:rFonts w:ascii="Arial" w:cs="Arial" w:eastAsia="Arial" w:hAnsi="Arial"/>
          <w:sz w:val="22"/>
          <w:szCs w:val="22"/>
        </w:rPr>
        <w:t xml:space="preserve">Deep Dive: For each qualifying candidate, switch to that stock’s chart and apply the Dashboard for full single-stock analysis, RS velocity, trade management levels, and the Zigzag for structural confirmation.</w:t>
      </w:r>
    </w:p>
    <w:p>
      <w:pPr>
        <w:pStyle w:val="ListParagraph"/>
        <w:numPr>
          <w:ilvl w:val="0"/>
          <w:numId w:val="4"/>
        </w:numPr>
        <w:spacing w:after="90"/>
      </w:pPr>
      <w:r>
        <w:rPr>
          <w:rFonts w:ascii="Arial" w:cs="Arial" w:eastAsia="Arial" w:hAnsi="Arial"/>
          <w:sz w:val="22"/>
          <w:szCs w:val="22"/>
        </w:rPr>
        <w:t xml:space="preserve">Build the Trade Plan: Use the Strategy’s Risk Allocator to calculate entry, stop, quantity, and targets. Record in the Dashboard’s portfolio slot.</w:t>
      </w:r>
    </w:p>
    <w:p>
      <w:r>
        <w:br w:type="page"/>
      </w:r>
    </w:p>
    <w:p>
      <w:pPr>
        <w:pStyle w:val="Heading1"/>
      </w:pPr>
      <w:r>
        <w:t xml:space="preserve">Chapter 7: Complete Trading Workflow</w:t>
      </w:r>
    </w:p>
    <w:p>
      <w:pPr>
        <w:pStyle w:val="Heading2"/>
      </w:pPr>
      <w:r>
        <w:t xml:space="preserve">7.1 Weekend: Strategic Planning</w:t>
      </w:r>
    </w:p>
    <w:p>
      <w:pPr>
        <w:pStyle w:val="ListParagraph"/>
        <w:numPr>
          <w:ilvl w:val="0"/>
          <w:numId w:val="3"/>
        </w:numPr>
        <w:spacing w:after="100"/>
      </w:pPr>
      <w:r>
        <w:rPr>
          <w:rFonts w:ascii="Arial" w:cs="Arial" w:eastAsia="Arial" w:hAnsi="Arial"/>
          <w:sz w:val="22"/>
          <w:szCs w:val="22"/>
        </w:rPr>
        <w:t xml:space="preserve">Market Health Check: Open Dashboard on NSE:CNX500 chart. Note Market State and Nifty 500 RS Velocity.</w:t>
      </w:r>
    </w:p>
    <w:p>
      <w:pPr>
        <w:pStyle w:val="ListParagraph"/>
        <w:numPr>
          <w:ilvl w:val="0"/>
          <w:numId w:val="3"/>
        </w:numPr>
        <w:spacing w:after="100"/>
      </w:pPr>
      <w:r>
        <w:rPr>
          <w:rFonts w:ascii="Arial" w:cs="Arial" w:eastAsia="Arial" w:hAnsi="Arial"/>
          <w:sz w:val="22"/>
          <w:szCs w:val="22"/>
        </w:rPr>
        <w:t xml:space="preserve">Full Watchlist Screen: Load Commander Screener with complete universe. Sort by Score/Grade descending.</w:t>
      </w:r>
    </w:p>
    <w:p>
      <w:pPr>
        <w:pStyle w:val="ListParagraph"/>
        <w:numPr>
          <w:ilvl w:val="0"/>
          <w:numId w:val="3"/>
        </w:numPr>
        <w:spacing w:after="100"/>
      </w:pPr>
      <w:r>
        <w:rPr>
          <w:rFonts w:ascii="Arial" w:cs="Arial" w:eastAsia="Arial" w:hAnsi="Arial"/>
          <w:sz w:val="22"/>
          <w:szCs w:val="22"/>
        </w:rPr>
        <w:t xml:space="preserve">Hunter Picks: Identify Stage 2 stocks near 52-week high with POS-BO or POS-ACCUM catalyst and Leading RS. These are your positional breakout candidates.</w:t>
      </w:r>
    </w:p>
    <w:p>
      <w:pPr>
        <w:pStyle w:val="ListParagraph"/>
        <w:numPr>
          <w:ilvl w:val="0"/>
          <w:numId w:val="3"/>
        </w:numPr>
        <w:spacing w:after="100"/>
      </w:pPr>
      <w:r>
        <w:rPr>
          <w:rFonts w:ascii="Arial" w:cs="Arial" w:eastAsia="Arial" w:hAnsi="Arial"/>
          <w:sz w:val="22"/>
          <w:szCs w:val="22"/>
        </w:rPr>
        <w:t xml:space="preserve">EarlyBird Picks: Find Stage 1 (Constructive) stocks showing Hidden Accumulation in RS Velocity. Watch for Stage 2 transition.</w:t>
      </w:r>
    </w:p>
    <w:p>
      <w:pPr>
        <w:pStyle w:val="ListParagraph"/>
        <w:numPr>
          <w:ilvl w:val="0"/>
          <w:numId w:val="3"/>
        </w:numPr>
        <w:spacing w:after="100"/>
      </w:pPr>
      <w:r>
        <w:rPr>
          <w:rFonts w:ascii="Arial" w:cs="Arial" w:eastAsia="Arial" w:hAnsi="Arial"/>
          <w:sz w:val="22"/>
          <w:szCs w:val="22"/>
        </w:rPr>
        <w:t xml:space="preserve">Pullback Picks: Find Stage 2 stocks with SWG-PB catalyst, price near EMA 20, volume drying up. These are weekday swing entries.</w:t>
      </w:r>
    </w:p>
    <w:p>
      <w:pPr>
        <w:pStyle w:val="Heading2"/>
      </w:pPr>
      <w:r>
        <w:t xml:space="preserve">7.2 Weekday: Tactical Execution</w:t>
      </w:r>
    </w:p>
    <w:p>
      <w:pPr>
        <w:pStyle w:val="ListParagraph"/>
        <w:numPr>
          <w:ilvl w:val="0"/>
          <w:numId w:val="3"/>
        </w:numPr>
        <w:spacing w:after="100"/>
      </w:pPr>
      <w:r>
        <w:rPr>
          <w:rFonts w:ascii="Arial" w:cs="Arial" w:eastAsia="Arial" w:hAnsi="Arial"/>
          <w:sz w:val="22"/>
          <w:szCs w:val="22"/>
        </w:rPr>
        <w:t xml:space="preserve">Pre-Market (9:00 AM IST): Review any gap-ups in Hunter Picks. A gap ≥4% on 3× volume triggers SWG-GAP entry protocol.</w:t>
      </w:r>
    </w:p>
    <w:p>
      <w:pPr>
        <w:pStyle w:val="ListParagraph"/>
        <w:numPr>
          <w:ilvl w:val="0"/>
          <w:numId w:val="3"/>
        </w:numPr>
        <w:spacing w:after="100"/>
      </w:pPr>
      <w:r>
        <w:rPr>
          <w:rFonts w:ascii="Arial" w:cs="Arial" w:eastAsia="Arial" w:hAnsi="Arial"/>
          <w:sz w:val="22"/>
          <w:szCs w:val="22"/>
        </w:rPr>
        <w:t xml:space="preserve">Opening (9:15 AM): Monitor Pullback Pick candidates on 125-min chart. Confirm Zigzag shows HL forming within weekly uptrend.</w:t>
      </w:r>
    </w:p>
    <w:p>
      <w:pPr>
        <w:pStyle w:val="ListParagraph"/>
        <w:numPr>
          <w:ilvl w:val="0"/>
          <w:numId w:val="3"/>
        </w:numPr>
        <w:spacing w:after="100"/>
      </w:pPr>
      <w:r>
        <w:rPr>
          <w:rFonts w:ascii="Arial" w:cs="Arial" w:eastAsia="Arial" w:hAnsi="Arial"/>
          <w:sz w:val="22"/>
          <w:szCs w:val="22"/>
        </w:rPr>
        <w:t xml:space="preserve">Signal Confirmation: Dashboard shows SWG-PB catalyst + Zigzag uptrend + Confluence ≥4 stars = entry criteria met.</w:t>
      </w:r>
    </w:p>
    <w:p>
      <w:pPr>
        <w:pStyle w:val="ListParagraph"/>
        <w:numPr>
          <w:ilvl w:val="0"/>
          <w:numId w:val="3"/>
        </w:numPr>
        <w:spacing w:after="100"/>
      </w:pPr>
      <w:r>
        <w:rPr>
          <w:rFonts w:ascii="Arial" w:cs="Arial" w:eastAsia="Arial" w:hAnsi="Arial"/>
          <w:sz w:val="22"/>
          <w:szCs w:val="22"/>
        </w:rPr>
        <w:t xml:space="preserve">Position Sizing: Risk Allocator calculates exact quantity. Risk = 1% of portfolio, adjusted for volatility and market regime.</w:t>
      </w:r>
    </w:p>
    <w:p>
      <w:pPr>
        <w:pStyle w:val="ListParagraph"/>
        <w:numPr>
          <w:ilvl w:val="0"/>
          <w:numId w:val="3"/>
        </w:numPr>
        <w:spacing w:after="100"/>
      </w:pPr>
      <w:r>
        <w:rPr>
          <w:rFonts w:ascii="Arial" w:cs="Arial" w:eastAsia="Arial" w:hAnsi="Arial"/>
          <w:sz w:val="22"/>
          <w:szCs w:val="22"/>
        </w:rPr>
        <w:t xml:space="preserve">Entry &amp; Record: Execute order. Update Dashboard Portfolio Slot immediately (Ticker, Entry, SL, Date, Sector).</w:t>
      </w:r>
    </w:p>
    <w:p>
      <w:pPr>
        <w:pStyle w:val="ListParagraph"/>
        <w:numPr>
          <w:ilvl w:val="0"/>
          <w:numId w:val="3"/>
        </w:numPr>
        <w:spacing w:after="100"/>
      </w:pPr>
      <w:r>
        <w:rPr>
          <w:rFonts w:ascii="Arial" w:cs="Arial" w:eastAsia="Arial" w:hAnsi="Arial"/>
          <w:sz w:val="22"/>
          <w:szCs w:val="22"/>
        </w:rPr>
        <w:t xml:space="preserve">Daily Monitoring: Dashboard auto-shows P&amp;L, R-multiple, trade status. Action on TRIM (RSI &gt; 75 or &gt;15% from EMA), SCALE IN (uptrend + RSI &lt; 70 + near EMA), or STOP HIT.</w:t>
      </w:r>
    </w:p>
    <w:p>
      <w:pPr>
        <w:pStyle w:val="Heading2"/>
      </w:pPr>
      <w:r>
        <w:t xml:space="preserve">7.3 Trade Management Decision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Dashboard Signal</w:t>
            </w:r>
          </w:p>
        </w:tc>
        <w:tc>
          <w:tcPr>
            <w:tcW w:type="dxa" w:w="38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Action</w:t>
            </w:r>
          </w:p>
        </w:tc>
        <w:tc>
          <w:tcPr>
            <w:tcW w:type="dxa" w:w="276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Priority</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STOP HIT</w:t>
            </w:r>
          </w:p>
        </w:tc>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Exit 100% immediately. No exceptions.</w:t>
            </w:r>
          </w:p>
        </w:tc>
        <w:tc>
          <w:tcPr>
            <w:tcW w:type="dxa" w:w="2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CRITICAL</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EXIT NOW (40WMA Break)</w:t>
            </w:r>
          </w:p>
        </w:tc>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Emergency full exit of all positions.</w:t>
            </w:r>
          </w:p>
        </w:tc>
        <w:tc>
          <w:tcPr>
            <w:tcW w:type="dxa" w:w="2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CRITICAL</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Stage 4 transition</w:t>
            </w:r>
          </w:p>
        </w:tc>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Strategy auto-exits; manually confirm on Dashboard.</w:t>
            </w:r>
          </w:p>
        </w:tc>
        <w:tc>
          <w:tcPr>
            <w:tcW w:type="dxa" w:w="2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HIGH</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TRIM (RSI &gt; 75 or &gt; 15% from EMA)</w:t>
            </w:r>
          </w:p>
        </w:tc>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Reduce 25–50% of position.</w:t>
            </w:r>
          </w:p>
        </w:tc>
        <w:tc>
          <w:tcPr>
            <w:tcW w:type="dxa" w:w="2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HIGH</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50MA Fail (swing close &lt; SMA50)</w:t>
            </w:r>
          </w:p>
        </w:tc>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Exit swing portion immediately.</w:t>
            </w:r>
          </w:p>
        </w:tc>
        <w:tc>
          <w:tcPr>
            <w:tcW w:type="dxa" w:w="2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HIGH</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Target 1 Hit (2.5R bull / 1.5R bear)</w:t>
            </w:r>
          </w:p>
        </w:tc>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Close 50%, move stop to breakeven.</w:t>
            </w:r>
          </w:p>
        </w:tc>
        <w:tc>
          <w:tcPr>
            <w:tcW w:type="dxa" w:w="2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MEDIUM</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SCALE IN (uptrend + RSI &lt; 70 + near EMA 20)</w:t>
            </w:r>
          </w:p>
        </w:tc>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Add up to 50% more to position (risk-adjust).</w:t>
            </w:r>
          </w:p>
        </w:tc>
        <w:tc>
          <w:tcPr>
            <w:tcW w:type="dxa" w:w="2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MEDIUM</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HOLD (trend intact)</w:t>
            </w:r>
          </w:p>
        </w:tc>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No action. Let the trade run.</w:t>
            </w:r>
          </w:p>
        </w:tc>
        <w:tc>
          <w:tcPr>
            <w:tcW w:type="dxa" w:w="2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LOW</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STRONG BUY on new stock</w:t>
            </w:r>
          </w:p>
        </w:tc>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Evaluate via Screener ranking before entry.</w:t>
            </w:r>
          </w:p>
        </w:tc>
        <w:tc>
          <w:tcPr>
            <w:tcW w:type="dxa" w:w="2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LOW</w:t>
            </w:r>
          </w:p>
        </w:tc>
      </w:tr>
    </w:tbl>
    <w:p>
      <w:r>
        <w:br w:type="page"/>
      </w:r>
    </w:p>
    <w:p>
      <w:pPr>
        <w:pStyle w:val="Heading1"/>
      </w:pPr>
      <w:r>
        <w:t xml:space="preserve">Chapter 8: Alerts Configuration</w:t>
      </w:r>
    </w:p>
    <w:p>
      <w:pPr>
        <w:pStyle w:val="Heading2"/>
      </w:pPr>
      <w:r>
        <w:t xml:space="preserve">8.1 Zigzag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Alert Name</w:t>
            </w:r>
          </w:p>
        </w:tc>
        <w:tc>
          <w:tcPr>
            <w:tcW w:type="dxa" w:w="38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Trigger Condition</w:t>
            </w:r>
          </w:p>
        </w:tc>
        <w:tc>
          <w:tcPr>
            <w:tcW w:type="dxa" w:w="356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Use Case</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Bullish BoS</w:t>
            </w:r>
          </w:p>
        </w:tc>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close &gt; lockedHigh AND lastLowClass in {HL, EL} AND trendState was NOT +1</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Trend reversal to uptrend confirmed</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Bearish BoS</w:t>
            </w:r>
          </w:p>
        </w:tc>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close &lt; lockedLow AND lastHighClass in {LH, EH} AND trendState was NOT -1</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Trend reversal to downtrend confirmed</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Uptrend Confirmed</w:t>
            </w:r>
          </w:p>
        </w:tc>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trendState == +1 AND trendState[1] != +1</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HH+HL sequence completes an uptrend</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Downtrend Confirmed</w:t>
            </w:r>
          </w:p>
        </w:tc>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trendState == -1 AND trendState[1] != -1</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LH+LL sequence completes a downtrend</w:t>
            </w:r>
          </w:p>
        </w:tc>
      </w:tr>
    </w:tbl>
    <w:p>
      <w:pPr>
        <w:pStyle w:val="Heading2"/>
      </w:pPr>
      <w:r>
        <w:t xml:space="preserve">8.2 Dashboard &amp; Strategy Alerts</w:t>
      </w:r>
    </w:p>
    <w:p>
      <w:pPr>
        <w:spacing w:after="130"/>
      </w:pPr>
      <w:r>
        <w:rPr>
          <w:rFonts w:ascii="Arial" w:cs="Arial" w:eastAsia="Arial" w:hAnsi="Arial"/>
          <w:sz w:val="22"/>
          <w:szCs w:val="22"/>
        </w:rPr>
        <w:t xml:space="preserve">In TradingView, right-click any plotshape (Buy/Breakout/Pullback labels) on the Dashboard and select “Add Alert on...” to create notification-based alerts. The Strategy’s entry and exit comments (e.g., POS-BO, SWG-PB, CE Structural SL, Target 1 Hit) populate the alert message field automatically.</w:t>
      </w:r>
    </w:p>
    <w:p>
      <w:r>
        <w:br w:type="page"/>
      </w:r>
    </w:p>
    <w:p>
      <w:pPr>
        <w:pStyle w:val="Heading1"/>
      </w:pPr>
      <w:r>
        <w:t xml:space="preserve">Chapter 9: Complete Parameter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800"/>
        <w:gridCol w:w="3560"/>
      </w:tblGrid>
      <w:tr>
        <w:tc>
          <w:tcPr>
            <w:tcW w:type="dxa" w:w="26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Parameter</w:t>
            </w:r>
          </w:p>
        </w:tc>
        <w:tc>
          <w:tcPr>
            <w:tcW w:type="dxa" w:w="14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Default</w:t>
            </w:r>
          </w:p>
        </w:tc>
        <w:tc>
          <w:tcPr>
            <w:tcW w:type="dxa" w:w="180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Used In</w:t>
            </w:r>
          </w:p>
        </w:tc>
        <w:tc>
          <w:tcPr>
            <w:tcW w:type="dxa" w:w="3560"/>
            <w:tcBorders>
              <w:top w:val="single" w:color="2C3E50" w:sz="1"/>
              <w:left w:val="single" w:color="2C3E50" w:sz="1"/>
              <w:bottom w:val="single" w:color="2C3E50" w:sz="1"/>
              <w:right w:val="single" w:color="2C3E50" w:sz="1"/>
            </w:tcBorders>
            <w:shd w:fill="1A237E" w:val="clear"/>
            <w:tcMar>
              <w:top w:type="dxa" w:w="70"/>
              <w:left w:type="dxa" w:w="110"/>
              <w:bottom w:type="dxa" w:w="70"/>
              <w:right w:type="dxa" w:w="110"/>
            </w:tcMar>
          </w:tcPr>
          <w:p>
            <w:r>
              <w:rPr>
                <w:rFonts w:ascii="Arial" w:cs="Arial" w:eastAsia="Arial" w:hAnsi="Arial"/>
                <w:b/>
                <w:bCs/>
                <w:color w:val="FFFFFF"/>
                <w:sz w:val="18"/>
                <w:szCs w:val="18"/>
              </w:rPr>
              <w:t xml:space="preserve">Notes</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30-WMA Length</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30 wks</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All</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Weekly anchor. Hardcoded in Strategy.</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30-WMA Slope Lookback</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4 wks</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Dash / Strat</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linreg window for slope.</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Slope Threshold</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0.0005 (dynamic)</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All</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Multiplied by MA value each bar.</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RS Length</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26 wks / 130 days</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All</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SMA on the RS ratio.</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RS Slope Lookback</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8 wks / 40 days</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Dash / Strat / Screen</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linreg window on Mansfield RS.</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EMA 20</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20 bars</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All</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Short-term trend + pullback zone.</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SMA 50 / 150 / 200</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50 / 150 / 200</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All</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Minervini MA alignment.</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ATR Length</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14 bars</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Dash / Strat</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Stop distance and position sizing.</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ATR10 / ATR40</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10 / 40 bars</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All</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VCP tightness ratio (0.75 threshold).</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Breakout Lookback</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20 bars</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Strat</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Highest high for breakout level.</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Stage 2 Max Duration</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20 weeks</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Strat</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Anti-extended filter.</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Max Gap Extension</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Strat</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Anti-chase filter on breakout.</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RSI Pullback Min/Max</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40 / 60</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Strat</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Daily RSI pocket range.</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Weekly RSI Min</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60</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Strat</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Macro momentum floor.</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EMA Zone Tolerance</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1.5%</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Strat</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Pullback proximity band.</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Max Pullback Depth</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15%</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Strat</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From swing high to current low.</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Volume Accum Lookback</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10 bars</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Dash / Strat</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Macro Edge accumulation check.</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Volume Accum Min Days</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2 bars</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Dash / Strat</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Min qualifying bars in lookback.</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Vol Dry-Up Threshold</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30%</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All</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volume &lt; vSma × (1 − 0.30).</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CE Length (Daily)</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22 bars</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Strat</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Chandelier Exit trailing stop.</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CE Multiplier (Daily)</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3.0×ATR</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Strat</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Chandelier Exit ATR distance.</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T1 Target (Bull)</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2.5R</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Strat</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Swing partial exit in bull market.</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T1 Target (Bear)</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1.5R</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Strat</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Swing partial exit in correction/bear.</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Time Stop</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10 days</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Strat</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Stagnation exit trigger.</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Zigzag Pivot (Weekly)</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5 bars L/R</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Zigzag</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Swing detection sensitivity.</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EQ Tolerance (Zigzag)</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0.1%</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Zigzag</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Equal high/low classification band.</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OBV Lookback (POS-ACCUM)</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50 bars</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All</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Highest OBV for breakout check.</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Price Lag Threshold</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10% below 50H</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Strat (POS-ACCUM)</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Confirmed: price &lt; high50 × 0.90.</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MA Squeeze Threshold</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6%</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Dash / Strat</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|EMA20 − SMA50| / SMA50 ≤ 0.06.</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BB Squeeze Lookback</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100 bars</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Strat</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BBW vs 100-bar average BBW.</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Gap Threshold (Strategy)</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Strat</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Minimum gap for SWG-GAP entry.</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Gap Threshold (Catalyst)</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2%</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Dash / Screen</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Label-only threshold.</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Gap Volume (Strategy)</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3× average</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Strat</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SWG-GAP entry volume requirement.</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Alpha Score Min</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70</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Strat</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8"/>
                <w:szCs w:val="18"/>
              </w:rPr>
              <w:t xml:space="preserve">Minimum score for entry gate.</w:t>
            </w:r>
          </w:p>
        </w:tc>
      </w:tr>
    </w:tbl>
    <w:p>
      <w:r>
        <w:br w:type="page"/>
      </w:r>
    </w:p>
    <w:p>
      <w:pPr>
        <w:pStyle w:val="Heading1"/>
      </w:pPr>
      <w:r>
        <w:t xml:space="preserve">Chapter 10: Troubleshooting &amp; Best Practices</w:t>
      </w:r>
    </w:p>
    <w:p>
      <w:pPr>
        <w:pStyle w:val="Heading2"/>
      </w:pPr>
      <w:r>
        <w:t xml:space="preserve">10.1 Common Issues</w:t>
      </w:r>
    </w:p>
    <w:p>
      <w:pPr>
        <w:pStyle w:val="ListParagraph"/>
        <w:numPr>
          <w:ilvl w:val="0"/>
          <w:numId w:val="2"/>
        </w:numPr>
        <w:spacing w:after="90"/>
      </w:pPr>
      <w:r>
        <w:rPr>
          <w:rFonts w:ascii="Arial" w:cs="Arial" w:eastAsia="Arial" w:hAnsi="Arial"/>
          <w:sz w:val="22"/>
          <w:szCs w:val="22"/>
        </w:rPr>
        <w:t xml:space="preserve">Dashboard shows N/A for RS: Verify Benchmark 1 and 2 are valid TradingView symbols with exchange prefix (NSE:NIFTY, not NIFTY).</w:t>
      </w:r>
    </w:p>
    <w:p>
      <w:pPr>
        <w:pStyle w:val="ListParagraph"/>
        <w:numPr>
          <w:ilvl w:val="0"/>
          <w:numId w:val="2"/>
        </w:numPr>
        <w:spacing w:after="90"/>
      </w:pPr>
      <w:r>
        <w:rPr>
          <w:rFonts w:ascii="Arial" w:cs="Arial" w:eastAsia="Arial" w:hAnsi="Arial"/>
          <w:sz w:val="22"/>
          <w:szCs w:val="22"/>
        </w:rPr>
        <w:t xml:space="preserve">Screener shows empty rows: Check comma-separated format with NSE: prefix. Remove trailing spaces inside the text area.</w:t>
      </w:r>
    </w:p>
    <w:p>
      <w:pPr>
        <w:pStyle w:val="ListParagraph"/>
        <w:numPr>
          <w:ilvl w:val="0"/>
          <w:numId w:val="2"/>
        </w:numPr>
        <w:spacing w:after="90"/>
      </w:pPr>
      <w:r>
        <w:rPr>
          <w:rFonts w:ascii="Arial" w:cs="Arial" w:eastAsia="Arial" w:hAnsi="Arial"/>
          <w:sz w:val="22"/>
          <w:szCs w:val="22"/>
        </w:rPr>
        <w:t xml:space="preserve">Stage reads TRANSITION unexpectedly: The 30-WMA slope is at the threshold boundary. Wait for a clean weekly close. Do not adjust the threshold.</w:t>
      </w:r>
    </w:p>
    <w:p>
      <w:pPr>
        <w:pStyle w:val="ListParagraph"/>
        <w:numPr>
          <w:ilvl w:val="0"/>
          <w:numId w:val="2"/>
        </w:numPr>
        <w:spacing w:after="90"/>
      </w:pPr>
      <w:r>
        <w:rPr>
          <w:rFonts w:ascii="Arial" w:cs="Arial" w:eastAsia="Arial" w:hAnsi="Arial"/>
          <w:sz w:val="22"/>
          <w:szCs w:val="22"/>
        </w:rPr>
        <w:t xml:space="preserve">No Strategy trades in backtest: Verify date range filter is off or correctly set. Confirm strategy mode includes the expected entry type (Breakout / Pullback / Hybrid).</w:t>
      </w:r>
    </w:p>
    <w:p>
      <w:pPr>
        <w:pStyle w:val="ListParagraph"/>
        <w:numPr>
          <w:ilvl w:val="0"/>
          <w:numId w:val="2"/>
        </w:numPr>
        <w:spacing w:after="90"/>
      </w:pPr>
      <w:r>
        <w:rPr>
          <w:rFonts w:ascii="Arial" w:cs="Arial" w:eastAsia="Arial" w:hAnsi="Arial"/>
          <w:sz w:val="22"/>
          <w:szCs w:val="22"/>
        </w:rPr>
        <w:t xml:space="preserve">Zigzag erratic on 5-min charts: Reduce pivot length from 2 to 1 for very short intraday timeframes.</w:t>
      </w:r>
    </w:p>
    <w:p>
      <w:pPr>
        <w:pStyle w:val="ListParagraph"/>
        <w:numPr>
          <w:ilvl w:val="0"/>
          <w:numId w:val="2"/>
        </w:numPr>
        <w:spacing w:after="90"/>
      </w:pPr>
      <w:r>
        <w:rPr>
          <w:rFonts w:ascii="Arial" w:cs="Arial" w:eastAsia="Arial" w:hAnsi="Arial"/>
          <w:sz w:val="22"/>
          <w:szCs w:val="22"/>
        </w:rPr>
        <w:t xml:space="preserve">POS-ACCUM fires on extended stocks: This should not happen. If it does, check that the d_flat condition (&gt;8% below 50-bar high) is being evaluated on a daily security context, not the chart’s native timeframe.</w:t>
      </w:r>
    </w:p>
    <w:p>
      <w:pPr>
        <w:pStyle w:val="Heading2"/>
      </w:pPr>
      <w:r>
        <w:t xml:space="preserve">10.2 Non-Negotiable Rules</w:t>
      </w:r>
    </w:p>
    <w:p>
      <w:pPr>
        <w:pStyle w:val="ListParagraph"/>
        <w:numPr>
          <w:ilvl w:val="0"/>
          <w:numId w:val="2"/>
        </w:numPr>
        <w:spacing w:after="90"/>
      </w:pPr>
      <w:r>
        <w:rPr>
          <w:rFonts w:ascii="Arial" w:cs="Arial" w:eastAsia="Arial" w:hAnsi="Arial"/>
          <w:sz w:val="22"/>
          <w:szCs w:val="22"/>
        </w:rPr>
        <w:t xml:space="preserve">Always use the Weekly chart for canonical Stage classification. The Dashboard’s stage label is a proxy via daily request.security; the weekly chart is the primary source.</w:t>
      </w:r>
    </w:p>
    <w:p>
      <w:pPr>
        <w:pStyle w:val="ListParagraph"/>
        <w:numPr>
          <w:ilvl w:val="0"/>
          <w:numId w:val="2"/>
        </w:numPr>
        <w:spacing w:after="90"/>
      </w:pPr>
      <w:r>
        <w:rPr>
          <w:rFonts w:ascii="Arial" w:cs="Arial" w:eastAsia="Arial" w:hAnsi="Arial"/>
          <w:sz w:val="22"/>
          <w:szCs w:val="22"/>
        </w:rPr>
        <w:t xml:space="preserve">Never override stops. The entire risk framework is built on mandatory stop discipline.</w:t>
      </w:r>
    </w:p>
    <w:p>
      <w:pPr>
        <w:pStyle w:val="ListParagraph"/>
        <w:numPr>
          <w:ilvl w:val="0"/>
          <w:numId w:val="2"/>
        </w:numPr>
        <w:spacing w:after="90"/>
      </w:pPr>
      <w:r>
        <w:rPr>
          <w:rFonts w:ascii="Arial" w:cs="Arial" w:eastAsia="Arial" w:hAnsi="Arial"/>
          <w:sz w:val="22"/>
          <w:szCs w:val="22"/>
        </w:rPr>
        <w:t xml:space="preserve">Run the Screener on weekends for strategic planning. Use the Dashboard for weekday tactical decisions only.</w:t>
      </w:r>
    </w:p>
    <w:p>
      <w:pPr>
        <w:pStyle w:val="ListParagraph"/>
        <w:numPr>
          <w:ilvl w:val="0"/>
          <w:numId w:val="2"/>
        </w:numPr>
        <w:spacing w:after="90"/>
      </w:pPr>
      <w:r>
        <w:rPr>
          <w:rFonts w:ascii="Arial" w:cs="Arial" w:eastAsia="Arial" w:hAnsi="Arial"/>
          <w:sz w:val="22"/>
          <w:szCs w:val="22"/>
        </w:rPr>
        <w:t xml:space="preserve">Cross-validate across all four instruments before entering. The strongest setups show alignment in Dashboard (STRONG BUY), Strategy (entry signal), Zigzag (uptrend), and Screener (top-ranked).</w:t>
      </w:r>
    </w:p>
    <w:p>
      <w:pPr>
        <w:pStyle w:val="ListParagraph"/>
        <w:numPr>
          <w:ilvl w:val="0"/>
          <w:numId w:val="2"/>
        </w:numPr>
        <w:spacing w:after="90"/>
      </w:pPr>
      <w:r>
        <w:rPr>
          <w:rFonts w:ascii="Arial" w:cs="Arial" w:eastAsia="Arial" w:hAnsi="Arial"/>
          <w:sz w:val="22"/>
          <w:szCs w:val="22"/>
        </w:rPr>
        <w:t xml:space="preserve">Keep both Mathematical Edge filters enabled. Five years of backtesting showed these two filters produce the largest improvement in profit factor. Disabling them substantially increases false signals.</w:t>
      </w:r>
    </w:p>
    <w:p>
      <w:pPr>
        <w:pStyle w:val="ListParagraph"/>
        <w:numPr>
          <w:ilvl w:val="0"/>
          <w:numId w:val="2"/>
        </w:numPr>
        <w:spacing w:after="90"/>
      </w:pPr>
      <w:r>
        <w:rPr>
          <w:rFonts w:ascii="Arial" w:cs="Arial" w:eastAsia="Arial" w:hAnsi="Arial"/>
          <w:sz w:val="22"/>
          <w:szCs w:val="22"/>
        </w:rPr>
        <w:t xml:space="preserve">Always update portfolio slots immediately after entry. Stale entries produce incorrect trade status signals and distort the Alpha Screener ranking.</w:t>
      </w:r>
    </w:p>
    <w:p>
      <w:pPr>
        <w:spacing w:after="240"/>
      </w:pPr>
    </w:p>
    <w:p>
      <w:pPr>
        <w:pBdr>
          <w:top w:val="single" w:color="1A237E" w:sz="4" w:space="12"/>
        </w:pBdr>
        <w:spacing w:after="100" w:before="240"/>
        <w:jc w:val="center"/>
      </w:pPr>
      <w:r>
        <w:rPr>
          <w:rFonts w:ascii="Arial" w:cs="Arial" w:eastAsia="Arial" w:hAnsi="Arial"/>
          <w:i/>
          <w:iCs/>
          <w:color w:val="78909C"/>
          <w:sz w:val="22"/>
          <w:szCs w:val="22"/>
        </w:rPr>
        <w:t xml:space="preserve">End of The ULTIMATE Trading System User Guide</w:t>
      </w:r>
    </w:p>
    <w:p>
      <w:pPr>
        <w:jc w:val="center"/>
      </w:pPr>
      <w:r>
        <w:rPr>
          <w:rFonts w:ascii="Arial" w:cs="Arial" w:eastAsia="Arial" w:hAnsi="Arial"/>
          <w:color w:val="B0BEC5"/>
          <w:sz w:val="18"/>
          <w:szCs w:val="18"/>
        </w:rPr>
        <w:t xml:space="preserve">Version March 2026  |  Pine Script v6  |  NSE (India)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4" w:space="4"/>
      </w:pBdr>
    </w:pPr>
    <w:r>
      <w:rPr>
        <w:rFonts w:ascii="Arial" w:cs="Arial" w:eastAsia="Arial" w:hAnsi="Arial"/>
        <w:i/>
        <w:iCs/>
        <w:color w:val="78909C"/>
        <w:sz w:val="16"/>
        <w:szCs w:val="16"/>
      </w:rPr>
      <w:t xml:space="preserve">The ULTIMATE Trading System — User Guide &amp; Trading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Arial" w:cs="Arial" w:eastAsia="Arial" w:hAnsi="Arial"/>
      <w:b/>
      <w:bCs/>
      <w:color w:val="1A237E"/>
      <w:sz w:val="38"/>
      <w:szCs w:val="38"/>
    </w:rPr>
  </w:style>
  <w:style w:type="paragraph" w:styleId="Heading2">
    <w:name w:val="Heading 2"/>
    <w:basedOn w:val="Normal"/>
    <w:next w:val="Normal"/>
    <w:qFormat/>
    <w:pPr>
      <w:spacing w:after="160" w:before="300"/>
      <w:outlineLvl w:val="1"/>
    </w:pPr>
    <w:rPr>
      <w:rFonts w:ascii="Arial" w:cs="Arial" w:eastAsia="Arial" w:hAnsi="Arial"/>
      <w:b/>
      <w:bCs/>
      <w:color w:val="283593"/>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1565C0"/>
      <w:sz w:val="26"/>
      <w:szCs w:val="26"/>
    </w:rPr>
  </w:style>
  <w:style w:type="paragraph" w:styleId="Heading4">
    <w:name w:val="Heading 4"/>
    <w:basedOn w:val="Normal"/>
    <w:next w:val="Normal"/>
    <w:qFormat/>
    <w:pPr>
      <w:spacing w:after="8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2026-04-01T05:44:44.029Z</dcterms:created>
  <dcterms:modified xsi:type="dcterms:W3CDTF">2026-04-01T05:44:44.029Z</dcterms:modified>
</cp:coreProperties>
</file>

<file path=docProps/custom.xml><?xml version="1.0" encoding="utf-8"?>
<Properties xmlns="http://schemas.openxmlformats.org/officeDocument/2006/custom-properties" xmlns:vt="http://schemas.openxmlformats.org/officeDocument/2006/docPropsVTypes"/>
</file>