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6E0A" w14:textId="77777777" w:rsidR="005204FE" w:rsidRPr="003B1924" w:rsidRDefault="005204FE" w:rsidP="005204FE">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Albany County Juvenile Justice Coordination and Research</w:t>
      </w:r>
    </w:p>
    <w:p w14:paraId="4B2B5E3B" w14:textId="77777777" w:rsidR="005204FE" w:rsidRPr="003D7A5A" w:rsidRDefault="005204FE" w:rsidP="005204FE">
      <w:pPr>
        <w:spacing w:before="100" w:beforeAutospacing="1" w:after="100" w:afterAutospacing="1" w:line="240" w:lineRule="auto"/>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The Center for Human Services Research (CHSR) worked with the </w:t>
      </w:r>
      <w:hyperlink r:id="rId8" w:tgtFrame="_blank" w:history="1">
        <w:r w:rsidRPr="00E235EA">
          <w:rPr>
            <w:rFonts w:ascii="Roboto Condensed" w:eastAsia="Times New Roman" w:hAnsi="Roboto Condensed" w:cs="Arial"/>
            <w:b/>
            <w:bCs/>
            <w:color w:val="46166B"/>
            <w:sz w:val="24"/>
            <w:szCs w:val="24"/>
            <w:u w:val="single"/>
          </w:rPr>
          <w:t>Albany County Department for Children, Youth, and Families</w:t>
        </w:r>
      </w:hyperlink>
      <w:r w:rsidRPr="00E235EA">
        <w:rPr>
          <w:rFonts w:ascii="Roboto Condensed" w:eastAsia="Times New Roman" w:hAnsi="Roboto Condensed" w:cs="Arial"/>
          <w:color w:val="333333"/>
          <w:sz w:val="24"/>
          <w:szCs w:val="24"/>
        </w:rPr>
        <w:t> </w:t>
      </w:r>
      <w:r w:rsidRPr="003D7A5A">
        <w:rPr>
          <w:rFonts w:ascii="Roboto Condensed" w:eastAsia="Times New Roman" w:hAnsi="Roboto Condensed" w:cs="Arial"/>
          <w:color w:val="333333"/>
          <w:sz w:val="24"/>
          <w:szCs w:val="24"/>
        </w:rPr>
        <w:t xml:space="preserve">to provide data collection and analysis for research centered furthering the goals of the Juvenile Detention Alternatives Initiative (JDAI) through community engagement and interagency </w:t>
      </w:r>
      <w:proofErr w:type="gramStart"/>
      <w:r w:rsidRPr="003D7A5A">
        <w:rPr>
          <w:rFonts w:ascii="Roboto Condensed" w:eastAsia="Times New Roman" w:hAnsi="Roboto Condensed" w:cs="Arial"/>
          <w:color w:val="333333"/>
          <w:sz w:val="24"/>
          <w:szCs w:val="24"/>
        </w:rPr>
        <w:t>collaboration..</w:t>
      </w:r>
      <w:proofErr w:type="gramEnd"/>
    </w:p>
    <w:p w14:paraId="59CAED27" w14:textId="77777777" w:rsidR="005204FE" w:rsidRPr="003D7A5A" w:rsidRDefault="005204FE" w:rsidP="005204FE">
      <w:pPr>
        <w:spacing w:before="100" w:beforeAutospacing="1" w:after="100" w:afterAutospacing="1" w:line="240" w:lineRule="auto"/>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 xml:space="preserve">JDAI began in Albany in 2013 and aimed to reduce juvenile detention admissions and expand the array of local detention alternatives, minimize re-arrest and failure to appear rates pending adjudication, and reduce racial and ethnic disparities in juvenile detention. </w:t>
      </w:r>
    </w:p>
    <w:p w14:paraId="58F8C456" w14:textId="77777777" w:rsidR="005204FE" w:rsidRPr="00EE3937" w:rsidRDefault="005204FE" w:rsidP="005204F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090F9B2E" w14:textId="2074F97E" w:rsidR="005204FE" w:rsidRDefault="005204FE" w:rsidP="005204FE">
      <w:pPr>
        <w:spacing w:before="100" w:beforeAutospacing="1" w:after="100" w:afterAutospacing="1" w:line="240" w:lineRule="auto"/>
        <w:rPr>
          <w:rFonts w:ascii="Roboto Condensed" w:eastAsia="Times New Roman" w:hAnsi="Roboto Condensed" w:cs="Arial"/>
          <w:color w:val="333333"/>
          <w:sz w:val="21"/>
          <w:szCs w:val="21"/>
        </w:rPr>
      </w:pPr>
      <w:r w:rsidRPr="003D7A5A">
        <w:rPr>
          <w:rFonts w:ascii="Roboto Condensed" w:eastAsia="Times New Roman" w:hAnsi="Roboto Condensed" w:cs="Arial"/>
          <w:color w:val="333333"/>
          <w:sz w:val="24"/>
          <w:szCs w:val="24"/>
        </w:rPr>
        <w:t>CHSR worked with local agencies to identify and utilize data in making policy and case-level decisions and in developing strategies to improve the local juvenile justice system. Data pertaining to juvenile justice processes and alternatives to detention were collected, analyzed, and presented to local stakeholders.</w:t>
      </w:r>
    </w:p>
    <w:p w14:paraId="15FC41EE" w14:textId="40E557A3" w:rsidR="00C80CFB" w:rsidRPr="007871D2" w:rsidRDefault="00C80CFB" w:rsidP="007871D2"/>
    <w:sectPr w:rsidR="00C80CFB" w:rsidRPr="007871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42208"/>
    <w:rsid w:val="00045091"/>
    <w:rsid w:val="00051D89"/>
    <w:rsid w:val="0005782B"/>
    <w:rsid w:val="0006031A"/>
    <w:rsid w:val="000960A2"/>
    <w:rsid w:val="000A2747"/>
    <w:rsid w:val="000B26D7"/>
    <w:rsid w:val="000C0B60"/>
    <w:rsid w:val="000D55D3"/>
    <w:rsid w:val="00100A56"/>
    <w:rsid w:val="001162BD"/>
    <w:rsid w:val="00142EF7"/>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B63CC"/>
    <w:rsid w:val="003D7A5A"/>
    <w:rsid w:val="003E4457"/>
    <w:rsid w:val="0042145D"/>
    <w:rsid w:val="00431E52"/>
    <w:rsid w:val="004372CA"/>
    <w:rsid w:val="00440381"/>
    <w:rsid w:val="00444F15"/>
    <w:rsid w:val="00450F87"/>
    <w:rsid w:val="00481A9C"/>
    <w:rsid w:val="00481E42"/>
    <w:rsid w:val="00483647"/>
    <w:rsid w:val="00496085"/>
    <w:rsid w:val="004A266C"/>
    <w:rsid w:val="004A53CD"/>
    <w:rsid w:val="004C0792"/>
    <w:rsid w:val="004F5ADB"/>
    <w:rsid w:val="00500322"/>
    <w:rsid w:val="00500780"/>
    <w:rsid w:val="005204FE"/>
    <w:rsid w:val="00532812"/>
    <w:rsid w:val="00573A26"/>
    <w:rsid w:val="0057520D"/>
    <w:rsid w:val="0058190B"/>
    <w:rsid w:val="00585104"/>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871D2"/>
    <w:rsid w:val="007C7B0E"/>
    <w:rsid w:val="007E2447"/>
    <w:rsid w:val="007E2606"/>
    <w:rsid w:val="007E500A"/>
    <w:rsid w:val="007E534D"/>
    <w:rsid w:val="007F4C3A"/>
    <w:rsid w:val="00801C88"/>
    <w:rsid w:val="00805073"/>
    <w:rsid w:val="00822B79"/>
    <w:rsid w:val="0082334C"/>
    <w:rsid w:val="008302AB"/>
    <w:rsid w:val="00831995"/>
    <w:rsid w:val="00834D70"/>
    <w:rsid w:val="00855A4C"/>
    <w:rsid w:val="00856FEF"/>
    <w:rsid w:val="00875479"/>
    <w:rsid w:val="0089307A"/>
    <w:rsid w:val="008A78A2"/>
    <w:rsid w:val="008C4036"/>
    <w:rsid w:val="008D30E8"/>
    <w:rsid w:val="008D35F6"/>
    <w:rsid w:val="008E1AD9"/>
    <w:rsid w:val="008E618D"/>
    <w:rsid w:val="00934BA3"/>
    <w:rsid w:val="00963447"/>
    <w:rsid w:val="009643C4"/>
    <w:rsid w:val="00981BB5"/>
    <w:rsid w:val="00983885"/>
    <w:rsid w:val="00984D82"/>
    <w:rsid w:val="00985F01"/>
    <w:rsid w:val="00994385"/>
    <w:rsid w:val="00997B22"/>
    <w:rsid w:val="009B68A4"/>
    <w:rsid w:val="009B7280"/>
    <w:rsid w:val="009C4950"/>
    <w:rsid w:val="00A0096E"/>
    <w:rsid w:val="00A074A2"/>
    <w:rsid w:val="00A50D69"/>
    <w:rsid w:val="00AB1EF2"/>
    <w:rsid w:val="00AF2FAA"/>
    <w:rsid w:val="00AF5E2A"/>
    <w:rsid w:val="00B02519"/>
    <w:rsid w:val="00B4447E"/>
    <w:rsid w:val="00B5640E"/>
    <w:rsid w:val="00B7139D"/>
    <w:rsid w:val="00BC265C"/>
    <w:rsid w:val="00BC4FC8"/>
    <w:rsid w:val="00BE662E"/>
    <w:rsid w:val="00BE7CC1"/>
    <w:rsid w:val="00C05127"/>
    <w:rsid w:val="00C30A10"/>
    <w:rsid w:val="00C60328"/>
    <w:rsid w:val="00C8082B"/>
    <w:rsid w:val="00C80CFB"/>
    <w:rsid w:val="00CA4883"/>
    <w:rsid w:val="00CD334B"/>
    <w:rsid w:val="00CD4705"/>
    <w:rsid w:val="00CF745D"/>
    <w:rsid w:val="00D14FFF"/>
    <w:rsid w:val="00D163AA"/>
    <w:rsid w:val="00D53068"/>
    <w:rsid w:val="00D5319E"/>
    <w:rsid w:val="00D53224"/>
    <w:rsid w:val="00D57C35"/>
    <w:rsid w:val="00D6096B"/>
    <w:rsid w:val="00D94E75"/>
    <w:rsid w:val="00DB2B64"/>
    <w:rsid w:val="00DC35FE"/>
    <w:rsid w:val="00E06219"/>
    <w:rsid w:val="00E20A03"/>
    <w:rsid w:val="00E235EA"/>
    <w:rsid w:val="00E54BB0"/>
    <w:rsid w:val="00EC1EEB"/>
    <w:rsid w:val="00EE0500"/>
    <w:rsid w:val="00EE20E4"/>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4FE"/>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anycounty.com/cy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2022-04-28T17:06:00Z</cp:lastPrinted>
  <dcterms:created xsi:type="dcterms:W3CDTF">2022-04-28T17:07:00Z</dcterms:created>
  <dcterms:modified xsi:type="dcterms:W3CDTF">2022-04-28T17:07:00Z</dcterms:modified>
</cp:coreProperties>
</file>