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0C12" w14:textId="77777777" w:rsidR="0005782B" w:rsidRPr="004A53CD" w:rsidRDefault="0005782B" w:rsidP="0005782B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OPWDD Direct Care Employee Trust Survey</w:t>
      </w:r>
    </w:p>
    <w:p w14:paraId="78F7FCC1" w14:textId="77777777" w:rsidR="0005782B" w:rsidRPr="00E235EA" w:rsidRDefault="0005782B" w:rsidP="0005782B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work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with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New York State</w:t>
      </w:r>
      <w:r w:rsidRPr="00D53068">
        <w:rPr>
          <w:rFonts w:ascii="Roboto Condensed" w:eastAsia="Times New Roman" w:hAnsi="Roboto Condensed" w:cs="Times New Roman"/>
          <w:b/>
          <w:bCs/>
          <w:color w:val="7030A0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</w:rPr>
          <w:t>Office for People with Developmental Disabilities (OPWDD)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to examine the challenges faced by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irect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are employees working with people with developmental disabilities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. This research specifically focused on state-run services, which comprised approximately 20 percent of all services provided.</w:t>
      </w:r>
    </w:p>
    <w:p w14:paraId="5CA87FBB" w14:textId="77777777" w:rsidR="0005782B" w:rsidRDefault="0005782B" w:rsidP="0005782B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OPWDD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coordinate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services for more than 126,000 New Yorkers with developmental disabilities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by providing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services both directly and through a network of approximately 700 non-profit service providers throughout the state. </w:t>
      </w:r>
    </w:p>
    <w:p w14:paraId="47392072" w14:textId="77777777" w:rsidR="0005782B" w:rsidRPr="00EE3937" w:rsidRDefault="0005782B" w:rsidP="0005782B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759E8463" w14:textId="77777777" w:rsidR="0005782B" w:rsidRPr="00E235EA" w:rsidRDefault="0005782B" w:rsidP="0005782B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CHSR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conducted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mail and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web-based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worker survey and a series of worker focus groups to obtain insights and perceptions of direct care staff. Both methods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focused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on employee skills and support in dealing with safety issues facing their clients.</w:t>
      </w:r>
    </w:p>
    <w:p w14:paraId="15FC41EE" w14:textId="7F8BF7E7" w:rsidR="00C80CFB" w:rsidRPr="00500780" w:rsidRDefault="00C80CFB" w:rsidP="00500780"/>
    <w:sectPr w:rsidR="00C80CFB" w:rsidRPr="005007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2B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wdd.ny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2022-04-28T16:59:00Z</cp:lastPrinted>
  <dcterms:created xsi:type="dcterms:W3CDTF">2022-04-28T16:59:00Z</dcterms:created>
  <dcterms:modified xsi:type="dcterms:W3CDTF">2022-04-28T16:59:00Z</dcterms:modified>
</cp:coreProperties>
</file>