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Pr>
        <w:drawing>
          <wp:inline distB="114300" distT="114300" distL="114300" distR="114300">
            <wp:extent cx="1757363" cy="17573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57363"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Senate Resolution No. 2016/2017-072</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b w:val="1"/>
          <w:i w:val="1"/>
          <w:sz w:val="36"/>
          <w:szCs w:val="36"/>
        </w:rPr>
      </w:pPr>
      <w:r w:rsidDel="00000000" w:rsidR="00000000" w:rsidRPr="00000000">
        <w:rPr>
          <w:rFonts w:ascii="Cambria" w:cs="Cambria" w:eastAsia="Cambria" w:hAnsi="Cambria"/>
          <w:b w:val="1"/>
          <w:i w:val="1"/>
          <w:sz w:val="28"/>
          <w:szCs w:val="28"/>
          <w:rtl w:val="0"/>
        </w:rPr>
        <w:t xml:space="preserve">The Big C(ommunity) Referendum</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Primary Sponsor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Zaynab AbdulQadir-Morris (ASUC Senator)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Cosponsors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Alana Banks (Former ASUC Senator), Rigel Robinson (ASUC Senator), Marandah Field-Elliot (ASUC Senator), Jenny Kim (ASUC Senator), Alyssa Liu (ASUC Senator), Rosa Kwak (ASUC Senator)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THEREFORE BE IT RESOLVED</w:t>
      </w:r>
      <w:r w:rsidDel="00000000" w:rsidR="00000000" w:rsidRPr="00000000">
        <w:rPr>
          <w:rFonts w:ascii="Cambria" w:cs="Cambria" w:eastAsia="Cambria" w:hAnsi="Cambria"/>
          <w:sz w:val="24"/>
          <w:szCs w:val="24"/>
          <w:highlight w:val="white"/>
          <w:rtl w:val="0"/>
        </w:rPr>
        <w:t xml:space="preserve"> ​that the proposition title of this propositions shall be “The Big C(ommunity) Referendum” and the proposition question shall be: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 </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“Beginning Fall 2017, the Campus Climate &amp; Equity Fee will be $29 per student per semester ($58 total per year) and will be assessed to all undergraduate and graduate students in the Fall and Spring semesters (the fee will not be assessed during Summer Sessions) for a period of 10 years to ensure the success of underrepresented and/or underserved students, as well as foster greater understanding across all undergraduate and graduate communities by expanding EJCE’s ability to incorporate a broader spectrum of student perspectives. This referendum will </w:t>
      </w:r>
      <w:r w:rsidDel="00000000" w:rsidR="00000000" w:rsidRPr="00000000">
        <w:rPr>
          <w:rFonts w:ascii="Cambria" w:cs="Cambria" w:eastAsia="Cambria" w:hAnsi="Cambria"/>
          <w:sz w:val="24"/>
          <w:szCs w:val="24"/>
          <w:highlight w:val="yellow"/>
          <w:rtl w:val="0"/>
        </w:rPr>
        <w:t xml:space="preserve">directly expand the services of the programs provided by the Centers for Educational Justice &amp; Community Engagement (EJCE)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Multicultural Student Development (MSD)</w:t>
      </w:r>
      <w:r w:rsidDel="00000000" w:rsidR="00000000" w:rsidRPr="00000000">
        <w:rPr>
          <w:rFonts w:ascii="Cambria" w:cs="Cambria" w:eastAsia="Cambria" w:hAnsi="Cambria"/>
          <w:sz w:val="24"/>
          <w:szCs w:val="24"/>
          <w:rtl w:val="0"/>
        </w:rPr>
        <w:t xml:space="preserve">, including African American Student Development (AASD), Asian Pacific American Student Development (APASD), Chicanx Latinx Student Development (CLSD), Multicultural Community Center (MCC), Native American Student Development (NASD); and the </w:t>
      </w:r>
      <w:r w:rsidDel="00000000" w:rsidR="00000000" w:rsidRPr="00000000">
        <w:rPr>
          <w:rFonts w:ascii="Cambria" w:cs="Cambria" w:eastAsia="Cambria" w:hAnsi="Cambria"/>
          <w:sz w:val="24"/>
          <w:szCs w:val="24"/>
          <w:highlight w:val="yellow"/>
          <w:rtl w:val="0"/>
        </w:rPr>
        <w:t xml:space="preserve">Gender Equity Resource Center (GenEq</w:t>
      </w:r>
      <w:r w:rsidDel="00000000" w:rsidR="00000000" w:rsidRPr="00000000">
        <w:rPr>
          <w:rFonts w:ascii="Cambria" w:cs="Cambria" w:eastAsia="Cambria" w:hAnsi="Cambria"/>
          <w:sz w:val="24"/>
          <w:szCs w:val="24"/>
          <w:rtl w:val="0"/>
        </w:rPr>
        <w:t xml:space="preserve">), including, Lesbian, Gay Bisexual, Transgender and Queer (LGBTQ+) resources, Women’s resources, and resources addressing sexual and dating violence.  Campus policy requires that thirty-three percent (33%) of the fee is allocated for return-to-aid.”</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pageBreakBefore w:val="0"/>
        <w:spacing w:line="240" w:lineRule="auto"/>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THEREFORE BE IT RESOLVED </w:t>
      </w:r>
      <w:r w:rsidDel="00000000" w:rsidR="00000000" w:rsidRPr="00000000">
        <w:rPr>
          <w:rFonts w:ascii="Cambria" w:cs="Cambria" w:eastAsia="Cambria" w:hAnsi="Cambria"/>
          <w:sz w:val="24"/>
          <w:szCs w:val="24"/>
          <w:highlight w:val="white"/>
          <w:rtl w:val="0"/>
        </w:rPr>
        <w:t xml:space="preserve">that the primary proponent of this referendum is Ifechukwu Maryhilda Okeke.</w:t>
      </w:r>
    </w:p>
    <w:p w:rsidR="00000000" w:rsidDel="00000000" w:rsidP="00000000" w:rsidRDefault="00000000" w:rsidRPr="00000000" w14:paraId="00000010">
      <w:pPr>
        <w:pageBreakBefore w:val="0"/>
        <w:spacing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Fonts w:ascii="Cambria" w:cs="Cambria" w:eastAsia="Cambria" w:hAnsi="Cambria"/>
          <w:b w:val="1"/>
          <w:sz w:val="24"/>
          <w:szCs w:val="24"/>
          <w:highlight w:val="white"/>
          <w:rtl w:val="0"/>
        </w:rPr>
        <w:t xml:space="preserve">THEREFORE BE IT RESOLVED</w:t>
      </w:r>
      <w:r w:rsidDel="00000000" w:rsidR="00000000" w:rsidRPr="00000000">
        <w:rPr>
          <w:rFonts w:ascii="Cambria" w:cs="Cambria" w:eastAsia="Cambria" w:hAnsi="Cambria"/>
          <w:sz w:val="24"/>
          <w:szCs w:val="24"/>
          <w:highlight w:val="white"/>
          <w:rtl w:val="0"/>
        </w:rPr>
        <w:t xml:space="preserve"> ​that the Senate of the Associated Students of the University of California ​officially endorses this proposition.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the exact title and wording of this proposition shall be subject to certification, and if need be, adjustment by the Elections Council pursuant to ASUCBL 4302.</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b w:val="1"/>
          <w:sz w:val="24"/>
          <w:szCs w:val="24"/>
          <w:highlight w:val="whit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jc w:val="center"/>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APPENDIX</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Introductory Statement: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before="51" w:line="271" w:lineRule="auto"/>
        <w:ind w:right="1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purpose of this referendum is to </w:t>
      </w:r>
      <w:r w:rsidDel="00000000" w:rsidR="00000000" w:rsidRPr="00000000">
        <w:rPr>
          <w:rFonts w:ascii="Cambria" w:cs="Cambria" w:eastAsia="Cambria" w:hAnsi="Cambria"/>
          <w:sz w:val="24"/>
          <w:szCs w:val="24"/>
          <w:highlight w:val="yellow"/>
          <w:rtl w:val="0"/>
        </w:rPr>
        <w:t xml:space="preserve">provide direct support for a wide-range of underrepresented and/or underserved undergraduate and graduate students at UC Berkele</w:t>
      </w:r>
      <w:r w:rsidDel="00000000" w:rsidR="00000000" w:rsidRPr="00000000">
        <w:rPr>
          <w:rFonts w:ascii="Cambria" w:cs="Cambria" w:eastAsia="Cambria" w:hAnsi="Cambria"/>
          <w:sz w:val="24"/>
          <w:szCs w:val="24"/>
          <w:rtl w:val="0"/>
        </w:rPr>
        <w:t xml:space="preserve">y (including first generation, low-income, undocumented, queer and/or trans, and women). It will enable the growth and creation of comprehensive support services and programs increasing academic persistence, professional and leadership development for underserved student populations. These services provide positive enhancement to the Berkeley community at large by creating spaces &amp; services for individuals &amp; communities. Additionally, the referendum will help to provide campus education and resources to address and improve identified campus climate issues.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before="5"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line="271" w:lineRule="auto"/>
        <w:ind w:right="10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order to address increasing student needs and demand</w:t>
      </w:r>
      <w:r w:rsidDel="00000000" w:rsidR="00000000" w:rsidRPr="00000000">
        <w:rPr>
          <w:rFonts w:ascii="Cambria" w:cs="Cambria" w:eastAsia="Cambria" w:hAnsi="Cambria"/>
          <w:sz w:val="24"/>
          <w:szCs w:val="24"/>
          <w:vertAlign w:val="superscript"/>
        </w:rPr>
        <w:footnoteReference w:customMarkFollows="0" w:id="0"/>
      </w:r>
      <w:r w:rsidDel="00000000" w:rsidR="00000000" w:rsidRPr="00000000">
        <w:rPr>
          <w:rFonts w:ascii="Cambria" w:cs="Cambria" w:eastAsia="Cambria" w:hAnsi="Cambria"/>
          <w:sz w:val="24"/>
          <w:szCs w:val="24"/>
          <w:rtl w:val="0"/>
        </w:rPr>
        <w:t xml:space="preserve">, this fee will enable the expansion of the</w:t>
      </w:r>
      <w:r w:rsidDel="00000000" w:rsidR="00000000" w:rsidRPr="00000000">
        <w:rPr>
          <w:rFonts w:ascii="Cambria" w:cs="Cambria" w:eastAsia="Cambria" w:hAnsi="Cambria"/>
          <w:sz w:val="24"/>
          <w:szCs w:val="24"/>
          <w:highlight w:val="yellow"/>
          <w:rtl w:val="0"/>
        </w:rPr>
        <w:t xml:space="preserve"> two areas </w:t>
      </w:r>
      <w:r w:rsidDel="00000000" w:rsidR="00000000" w:rsidRPr="00000000">
        <w:rPr>
          <w:rFonts w:ascii="Cambria" w:cs="Cambria" w:eastAsia="Cambria" w:hAnsi="Cambria"/>
          <w:sz w:val="24"/>
          <w:szCs w:val="24"/>
          <w:rtl w:val="0"/>
        </w:rPr>
        <w:t xml:space="preserve">that make up the </w:t>
      </w:r>
      <w:r w:rsidDel="00000000" w:rsidR="00000000" w:rsidRPr="00000000">
        <w:rPr>
          <w:rFonts w:ascii="Cambria" w:cs="Cambria" w:eastAsia="Cambria" w:hAnsi="Cambria"/>
          <w:b w:val="1"/>
          <w:sz w:val="24"/>
          <w:szCs w:val="24"/>
          <w:rtl w:val="0"/>
        </w:rPr>
        <w:t xml:space="preserve">Centers for Educational Justice &amp; Community Engagement (EJCE)</w:t>
      </w:r>
      <w:r w:rsidDel="00000000" w:rsidR="00000000" w:rsidRPr="00000000">
        <w:rPr>
          <w:rFonts w:ascii="Cambria" w:cs="Cambria" w:eastAsia="Cambria" w:hAnsi="Cambria"/>
          <w:sz w:val="24"/>
          <w:szCs w:val="24"/>
          <w:rtl w:val="0"/>
        </w:rPr>
        <w:t xml:space="preserve">, both of which have been historically underfunded: </w:t>
      </w:r>
      <w:r w:rsidDel="00000000" w:rsidR="00000000" w:rsidRPr="00000000">
        <w:rPr>
          <w:rFonts w:ascii="Cambria" w:cs="Cambria" w:eastAsia="Cambria" w:hAnsi="Cambria"/>
          <w:b w:val="1"/>
          <w:sz w:val="24"/>
          <w:szCs w:val="24"/>
          <w:highlight w:val="yellow"/>
          <w:rtl w:val="0"/>
        </w:rPr>
        <w:t xml:space="preserve">Multicultural Student Development </w:t>
      </w:r>
      <w:r w:rsidDel="00000000" w:rsidR="00000000" w:rsidRPr="00000000">
        <w:rPr>
          <w:rFonts w:ascii="Cambria" w:cs="Cambria" w:eastAsia="Cambria" w:hAnsi="Cambria"/>
          <w:sz w:val="24"/>
          <w:szCs w:val="24"/>
          <w:highlight w:val="yellow"/>
          <w:rtl w:val="0"/>
        </w:rPr>
        <w:t xml:space="preserve">(MSD)</w:t>
      </w:r>
      <w:r w:rsidDel="00000000" w:rsidR="00000000" w:rsidRPr="00000000">
        <w:rPr>
          <w:rFonts w:ascii="Cambria" w:cs="Cambria" w:eastAsia="Cambria" w:hAnsi="Cambria"/>
          <w:sz w:val="24"/>
          <w:szCs w:val="24"/>
          <w:rtl w:val="0"/>
        </w:rPr>
        <w:t xml:space="preserve">, including African American Student Development (AASD), Asian Pacific American Student Development (APASD), Chicanx Latinx Student Development (CLSD), Multicultural Community Center (MCC), Native American Student Development (NASD); and the </w:t>
      </w:r>
      <w:r w:rsidDel="00000000" w:rsidR="00000000" w:rsidRPr="00000000">
        <w:rPr>
          <w:rFonts w:ascii="Cambria" w:cs="Cambria" w:eastAsia="Cambria" w:hAnsi="Cambria"/>
          <w:b w:val="1"/>
          <w:sz w:val="24"/>
          <w:szCs w:val="24"/>
          <w:highlight w:val="yellow"/>
          <w:rtl w:val="0"/>
        </w:rPr>
        <w:t xml:space="preserve">Gender Equity Resource Center</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(GenEq), including, Lesbian, Gay Bisexual, Transgender and Queer (LGBTQ+) resources, Women’s resources, and resources addressing sexual and dating violence.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u w:val="single"/>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u w:val="single"/>
          <w:rtl w:val="0"/>
        </w:rPr>
        <w:t xml:space="preserve">Background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before="26" w:line="271" w:lineRule="auto"/>
        <w:ind w:right="9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b w:val="1"/>
          <w:sz w:val="24"/>
          <w:szCs w:val="24"/>
          <w:rtl w:val="0"/>
        </w:rPr>
        <w:t xml:space="preserve">C</w:t>
      </w:r>
      <w:r w:rsidDel="00000000" w:rsidR="00000000" w:rsidRPr="00000000">
        <w:rPr>
          <w:rFonts w:ascii="Cambria" w:cs="Cambria" w:eastAsia="Cambria" w:hAnsi="Cambria"/>
          <w:b w:val="1"/>
          <w:sz w:val="24"/>
          <w:szCs w:val="24"/>
          <w:highlight w:val="yellow"/>
          <w:rtl w:val="0"/>
        </w:rPr>
        <w:t xml:space="preserve">enters for Educational Justice &amp; Community Engagement (EJCE)</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at UC Berkeley is a cluster of offices and centers that collaborate, advocate for, build capacity with, and dialogue among and across diverse communities. EJCE’s community engagement approach enriches the academic success of students while fostering a campus climate that honors the dignity of all people. Each partner space is steeped in rich and vibrant legacies and established community-centered praxes of educational justice: leadership development, access, activism, academic excellence and social justice. EJCE’s work reflects interconnected identities and experiences through its collective and individual commitments to support and advance future global leaders while upholding Berkeley’s mission.</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before="179" w:line="271" w:lineRule="auto"/>
        <w:ind w:right="165"/>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almost 30 years, </w:t>
      </w:r>
      <w:r w:rsidDel="00000000" w:rsidR="00000000" w:rsidRPr="00000000">
        <w:rPr>
          <w:rFonts w:ascii="Cambria" w:cs="Cambria" w:eastAsia="Cambria" w:hAnsi="Cambria"/>
          <w:b w:val="1"/>
          <w:sz w:val="24"/>
          <w:szCs w:val="24"/>
          <w:rtl w:val="0"/>
        </w:rPr>
        <w:t xml:space="preserve">Multicultural Student Development (MSD) </w:t>
      </w:r>
      <w:r w:rsidDel="00000000" w:rsidR="00000000" w:rsidRPr="00000000">
        <w:rPr>
          <w:rFonts w:ascii="Cambria" w:cs="Cambria" w:eastAsia="Cambria" w:hAnsi="Cambria"/>
          <w:sz w:val="24"/>
          <w:szCs w:val="24"/>
          <w:rtl w:val="0"/>
        </w:rPr>
        <w:t xml:space="preserve">has provided underrepresented and marginalized students wit</w:t>
      </w:r>
      <w:r w:rsidDel="00000000" w:rsidR="00000000" w:rsidRPr="00000000">
        <w:rPr>
          <w:rFonts w:ascii="Cambria" w:cs="Cambria" w:eastAsia="Cambria" w:hAnsi="Cambria"/>
          <w:sz w:val="24"/>
          <w:szCs w:val="24"/>
          <w:highlight w:val="yellow"/>
          <w:rtl w:val="0"/>
        </w:rPr>
        <w:t xml:space="preserve">h support, spaces, and resources to be successful in the rigorous academic culture of the flagship campus of the University of California</w:t>
      </w:r>
      <w:r w:rsidDel="00000000" w:rsidR="00000000" w:rsidRPr="00000000">
        <w:rPr>
          <w:rFonts w:ascii="Cambria" w:cs="Cambria" w:eastAsia="Cambria" w:hAnsi="Cambria"/>
          <w:sz w:val="24"/>
          <w:szCs w:val="24"/>
          <w:rtl w:val="0"/>
        </w:rPr>
        <w:t xml:space="preserve">. Beginning with the formation of the African American Student Development Office, MSD has grown to represent students from many different backgrounds. MSD offices and centers support students through direct student support, with the guidance and resources necessary to succeed at the best public university in the world, while at the same time influencing change in university culture through advocacy and community development. Today this unit is comprised of five offices: African American Student Development, Asian Pacific American Student Development, Chicanx/Latinx Student Development, Multicultural Community Center, and Native American Student Development.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before="164" w:line="271" w:lineRule="auto"/>
        <w:ind w:right="217"/>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Formerly the Women's Resource Center, the </w:t>
      </w:r>
      <w:r w:rsidDel="00000000" w:rsidR="00000000" w:rsidRPr="00000000">
        <w:rPr>
          <w:rFonts w:ascii="Cambria" w:cs="Cambria" w:eastAsia="Cambria" w:hAnsi="Cambria"/>
          <w:b w:val="1"/>
          <w:sz w:val="24"/>
          <w:szCs w:val="24"/>
          <w:rtl w:val="0"/>
        </w:rPr>
        <w:t xml:space="preserve">Gender Equity Resource Center's (GenEq) </w:t>
      </w:r>
      <w:r w:rsidDel="00000000" w:rsidR="00000000" w:rsidRPr="00000000">
        <w:rPr>
          <w:rFonts w:ascii="Cambria" w:cs="Cambria" w:eastAsia="Cambria" w:hAnsi="Cambria"/>
          <w:sz w:val="24"/>
          <w:szCs w:val="24"/>
          <w:rtl w:val="0"/>
        </w:rPr>
        <w:t xml:space="preserve">evolution spans more than decades and is a reflection of the sustained commitment of women faculty, staff, students and alumnae. Officially established in October 1972, as The Center for The Continuing Education Of Women, the Women’s Resource Center, underwent another name change to the Gender Equity Resource Center in 1999 recognizing the changing populations being served as well as acknowledging a shift in educational philosophy. GenEq now serves not only women but also the lesbian, gay, bisexual, and transgender (LGBT) community, with a focus on gender, sexual orientation, and their intersections.</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u w:val="single"/>
        </w:rPr>
      </w:pPr>
      <w:r w:rsidDel="00000000" w:rsidR="00000000" w:rsidRPr="00000000">
        <w:rPr>
          <w:rFonts w:ascii="Cambria" w:cs="Cambria" w:eastAsia="Cambria" w:hAnsi="Cambria"/>
          <w:b w:val="1"/>
          <w:sz w:val="24"/>
          <w:szCs w:val="24"/>
          <w:highlight w:val="white"/>
          <w:u w:val="single"/>
          <w:rtl w:val="0"/>
        </w:rPr>
        <w:t xml:space="preserve">Purpose of the Big C(ommunity) Referendum</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u w:val="single"/>
        </w:rPr>
      </w:pPr>
      <w:r w:rsidDel="00000000" w:rsidR="00000000" w:rsidRPr="00000000">
        <w:rPr>
          <w:rFonts w:ascii="Cambria" w:cs="Cambria" w:eastAsia="Cambria" w:hAnsi="Cambria"/>
          <w:b w:val="1"/>
          <w:sz w:val="24"/>
          <w:szCs w:val="24"/>
          <w:highlight w:val="white"/>
          <w:u w:val="single"/>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before="37" w:line="240" w:lineRule="auto"/>
        <w:ind w:right="9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Campus Climate and Equity Fee will provide funding for EJCE to increase programming budgets, provide funding for student initiated projects, and increase MSD &amp; Gen Eq student staffing  through internships and research and increase MSD and Gen Eq staffing</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37" w:line="240" w:lineRule="auto"/>
        <w:ind w:right="9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pageBreakBefore w:val="0"/>
        <w:widowControl w:val="0"/>
        <w:numPr>
          <w:ilvl w:val="0"/>
          <w:numId w:val="4"/>
        </w:numPr>
        <w:pBdr>
          <w:top w:space="0" w:sz="0" w:val="nil"/>
          <w:left w:space="0" w:sz="0" w:val="nil"/>
          <w:bottom w:space="0" w:sz="0" w:val="nil"/>
          <w:right w:space="0" w:sz="0" w:val="nil"/>
          <w:between w:space="0" w:sz="0" w:val="nil"/>
        </w:pBdr>
        <w:shd w:fill="auto" w:val="clear"/>
        <w:spacing w:before="37" w:line="240" w:lineRule="auto"/>
        <w:ind w:left="810" w:right="94"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Increase MSD and Gen Eq Programming Budgets </w:t>
      </w:r>
    </w:p>
    <w:p w:rsidR="00000000" w:rsidDel="00000000" w:rsidP="00000000" w:rsidRDefault="00000000" w:rsidRPr="00000000" w14:paraId="00000028">
      <w:pPr>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before="44" w:line="271" w:lineRule="auto"/>
        <w:ind w:left="1260" w:right="1307" w:hanging="36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Re-establish the Peer Facilitators Internship program formerly housed in Cross-Cultural Student Development, through which students are trained to facilitate workshops on a variety of relevant campus climate and equity issues.</w:t>
      </w:r>
      <w:r w:rsidDel="00000000" w:rsidR="00000000" w:rsidRPr="00000000">
        <w:rPr>
          <w:rtl w:val="0"/>
        </w:rPr>
      </w:r>
    </w:p>
    <w:p w:rsidR="00000000" w:rsidDel="00000000" w:rsidP="00000000" w:rsidRDefault="00000000" w:rsidRPr="00000000" w14:paraId="00000029">
      <w:pPr>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before="44" w:line="271" w:lineRule="auto"/>
        <w:ind w:left="1260" w:right="622"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Increase and enhance programs that work to support and actively engage students who reflect the diversity of the state of California.</w:t>
      </w:r>
    </w:p>
    <w:p w:rsidR="00000000" w:rsidDel="00000000" w:rsidP="00000000" w:rsidRDefault="00000000" w:rsidRPr="00000000" w14:paraId="0000002A">
      <w:pPr>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before="44" w:line="271" w:lineRule="auto"/>
        <w:ind w:left="1260" w:right="966"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Increase educational workshops available for students, faculty, and staff around campus climate issues (e.g. Inclusive classrooms and labs, non-violent communication, sexual violence prevention, etc.)</w:t>
      </w:r>
    </w:p>
    <w:p w:rsidR="00000000" w:rsidDel="00000000" w:rsidP="00000000" w:rsidRDefault="00000000" w:rsidRPr="00000000" w14:paraId="0000002B">
      <w:pPr>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before="44" w:line="240" w:lineRule="auto"/>
        <w:ind w:left="12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Address the needs of emerging communities on campus.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820"/>
        </w:tabs>
        <w:spacing w:before="29" w:line="271" w:lineRule="auto"/>
        <w:ind w:left="450" w:right="23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40"/>
        </w:tabs>
        <w:spacing w:before="37" w:line="271" w:lineRule="auto"/>
        <w:ind w:left="810" w:right="509" w:hanging="360"/>
        <w:rPr/>
      </w:pPr>
      <w:r w:rsidDel="00000000" w:rsidR="00000000" w:rsidRPr="00000000">
        <w:rPr>
          <w:rFonts w:ascii="Cambria" w:cs="Cambria" w:eastAsia="Cambria" w:hAnsi="Cambria"/>
          <w:b w:val="1"/>
          <w:sz w:val="24"/>
          <w:szCs w:val="24"/>
          <w:rtl w:val="0"/>
        </w:rPr>
        <w:t xml:space="preserve">Provide funding for student-centered and student-initiated direct service projects </w:t>
      </w:r>
      <w:r w:rsidDel="00000000" w:rsidR="00000000" w:rsidRPr="00000000">
        <w:rPr>
          <w:rFonts w:ascii="Cambria" w:cs="Cambria" w:eastAsia="Cambria" w:hAnsi="Cambria"/>
          <w:sz w:val="24"/>
          <w:szCs w:val="24"/>
          <w:rtl w:val="0"/>
        </w:rPr>
        <w:t xml:space="preserve">that focus on needs of underrepresented and historically marginalized populations including educational projects &amp; programs impacting the broader community and the climate of the Berkeley campus.</w:t>
      </w: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left" w:leader="none" w:pos="820"/>
        </w:tabs>
        <w:spacing w:before="29" w:line="271" w:lineRule="auto"/>
        <w:ind w:left="1070" w:right="23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s>
        <w:spacing w:before="29" w:line="271" w:lineRule="auto"/>
        <w:ind w:left="810" w:right="238" w:hanging="360"/>
        <w:rPr/>
      </w:pPr>
      <w:r w:rsidDel="00000000" w:rsidR="00000000" w:rsidRPr="00000000">
        <w:rPr>
          <w:rFonts w:ascii="Cambria" w:cs="Cambria" w:eastAsia="Cambria" w:hAnsi="Cambria"/>
          <w:b w:val="1"/>
          <w:sz w:val="24"/>
          <w:szCs w:val="24"/>
          <w:rtl w:val="0"/>
        </w:rPr>
        <w:t xml:space="preserve">Expand EJCE student staffing and employment opportunities</w:t>
      </w:r>
      <w:r w:rsidDel="00000000" w:rsidR="00000000" w:rsidRPr="00000000">
        <w:rPr>
          <w:rFonts w:ascii="Cambria" w:cs="Cambria" w:eastAsia="Cambria" w:hAnsi="Cambria"/>
          <w:sz w:val="24"/>
          <w:szCs w:val="24"/>
          <w:rtl w:val="0"/>
        </w:rPr>
        <w:t xml:space="preserve">. Student employees play a critical role in meeting the needs of students and delivering programs/services that EJCE offers. Currently, the majority of student work is done on a volunteer basis, which limits the diversity of students who are able to participate in our current professional and academic opportunities.  MSD and GenEq will add at least five student internships/research opportunities to each of the seven areas within the EJCE cluster, for both undergraduate and graduate students, thus expanding EJCE’s ability to incorporate a broader spectrum of student perspectives. </w:t>
      </w: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820"/>
        </w:tabs>
        <w:spacing w:before="29" w:line="271" w:lineRule="auto"/>
        <w:ind w:right="238"/>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s>
        <w:spacing w:before="29" w:line="271" w:lineRule="auto"/>
        <w:ind w:left="720" w:right="238" w:hanging="360"/>
        <w:rPr/>
      </w:pPr>
      <w:r w:rsidDel="00000000" w:rsidR="00000000" w:rsidRPr="00000000">
        <w:rPr>
          <w:rFonts w:ascii="Cambria" w:cs="Cambria" w:eastAsia="Cambria" w:hAnsi="Cambria"/>
          <w:b w:val="1"/>
          <w:sz w:val="24"/>
          <w:szCs w:val="24"/>
          <w:rtl w:val="0"/>
        </w:rPr>
        <w:t xml:space="preserve">Increase EJCE staffing</w:t>
      </w:r>
      <w:r w:rsidDel="00000000" w:rsidR="00000000" w:rsidRPr="00000000">
        <w:rPr>
          <w:rFonts w:ascii="Cambria" w:cs="Cambria" w:eastAsia="Cambria" w:hAnsi="Cambria"/>
          <w:sz w:val="24"/>
          <w:szCs w:val="24"/>
          <w:rtl w:val="0"/>
        </w:rPr>
        <w:t xml:space="preserve">. EJCE is currently staffed to serve a small percentage of the entire campus community. By creating new positions to serve students, the fee supports holistic student support and development. The fee would also allow the cluster to be fully staffed to address the historical understaffing, specifically in Native American Student Development and Gender Equity Resource Center, which have never had the staff necessary to adequately support students.</w:t>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tabs>
          <w:tab w:val="left" w:leader="none" w:pos="820"/>
        </w:tabs>
        <w:spacing w:before="29" w:line="271" w:lineRule="auto"/>
        <w:ind w:left="1640" w:right="23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3">
      <w:pPr>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0"/>
        </w:tabs>
        <w:spacing w:before="29" w:line="24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Address recent staff losses due to layoffs and retirements, particularly in the Multicultural Community Center and Cross-Cultural Student Development.</w:t>
      </w: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820"/>
        </w:tabs>
        <w:spacing w:before="29" w:line="271" w:lineRule="auto"/>
        <w:ind w:left="1640" w:right="23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0"/>
        </w:tabs>
        <w:spacing w:before="29" w:line="24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Address staffing inequities within the cluster.</w:t>
      </w: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left" w:leader="none" w:pos="820"/>
        </w:tabs>
        <w:spacing w:before="29" w:line="271" w:lineRule="auto"/>
        <w:ind w:left="1640" w:right="23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0"/>
        </w:tabs>
        <w:spacing w:before="29" w:line="24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Address campus climate issues across campus through increase in staffing, reach and availability of staff to do more work on internal campus climate as well as outward facing work in the public eye.</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u w:val="single"/>
        </w:rPr>
      </w:pPr>
      <w:r w:rsidDel="00000000" w:rsidR="00000000" w:rsidRPr="00000000">
        <w:rPr>
          <w:rFonts w:ascii="Cambria" w:cs="Cambria" w:eastAsia="Cambria" w:hAnsi="Cambria"/>
          <w:b w:val="1"/>
          <w:sz w:val="24"/>
          <w:szCs w:val="24"/>
          <w:highlight w:val="white"/>
          <w:u w:val="single"/>
          <w:rtl w:val="0"/>
        </w:rPr>
        <w:t xml:space="preserve">Breakdown of the Fee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u w:val="single"/>
        </w:rPr>
      </w:pPr>
      <w:r w:rsidDel="00000000" w:rsidR="00000000" w:rsidRPr="00000000">
        <w:rPr>
          <w:rFonts w:ascii="Cambria" w:cs="Cambria" w:eastAsia="Cambria" w:hAnsi="Cambria"/>
          <w:b w:val="1"/>
          <w:sz w:val="24"/>
          <w:szCs w:val="24"/>
          <w:highlight w:val="white"/>
          <w:u w:val="single"/>
          <w:rtl w:val="0"/>
        </w:rPr>
        <w:t xml:space="preserve"> </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The fee will be assessed to all undergraduate and graduate students starting in Fall 2017 at the rate of </w:t>
      </w:r>
      <w:r w:rsidDel="00000000" w:rsidR="00000000" w:rsidRPr="00000000">
        <w:rPr>
          <w:rFonts w:ascii="Cambria" w:cs="Cambria" w:eastAsia="Cambria" w:hAnsi="Cambria"/>
          <w:sz w:val="24"/>
          <w:szCs w:val="24"/>
          <w:highlight w:val="yellow"/>
          <w:rtl w:val="0"/>
        </w:rPr>
        <w:t xml:space="preserve">$29 per semester ($58 per year</w:t>
      </w:r>
      <w:r w:rsidDel="00000000" w:rsidR="00000000" w:rsidRPr="00000000">
        <w:rPr>
          <w:rFonts w:ascii="Cambria" w:cs="Cambria" w:eastAsia="Cambria" w:hAnsi="Cambria"/>
          <w:sz w:val="24"/>
          <w:szCs w:val="24"/>
          <w:rtl w:val="0"/>
        </w:rPr>
        <w:t xml:space="preserve">), for a period of ten years (terminating in Spring 2027). The fee will not be assessed to summer session students. In accordance with campus policy, thirty-three percent (33%) of the fee ($9.57 per semester in 2017-18) will be returned to financial aid to help offset the cost of this fee for students who are eligible for financial aid. The fee is estimated to generate approximately $2,098,440 in net revenue for 2017-18 (based on projected undergraduate and graduate student enrollment). These funds will be allocated as detailed in the table below.</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u w:val="single"/>
        </w:rPr>
      </w:pPr>
      <w:r w:rsidDel="00000000" w:rsidR="00000000" w:rsidRPr="00000000">
        <w:rPr>
          <w:rFonts w:ascii="Cambria" w:cs="Cambria" w:eastAsia="Cambria" w:hAnsi="Cambria"/>
          <w:b w:val="1"/>
          <w:sz w:val="24"/>
          <w:szCs w:val="24"/>
          <w:highlight w:val="white"/>
          <w:u w:val="single"/>
          <w:rtl w:val="0"/>
        </w:rPr>
        <w:t xml:space="preserve">Breakdown of fund allocation per semester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u w:val="single"/>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line="240" w:lineRule="auto"/>
        <w:ind w:right="94"/>
        <w:jc w:val="center"/>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Table 1:  Initial breakdown of the $29 fee per semester</w:t>
      </w: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before="9" w:line="240" w:lineRule="auto"/>
        <w:rPr>
          <w:rFonts w:ascii="Cambria" w:cs="Cambria" w:eastAsia="Cambria" w:hAnsi="Cambria"/>
          <w:sz w:val="24"/>
          <w:szCs w:val="24"/>
        </w:rPr>
      </w:pPr>
      <w:r w:rsidDel="00000000" w:rsidR="00000000" w:rsidRPr="00000000">
        <w:rPr>
          <w:rtl w:val="0"/>
        </w:rPr>
      </w:r>
    </w:p>
    <w:tbl>
      <w:tblPr>
        <w:tblStyle w:val="Table1"/>
        <w:tblW w:w="9135.0" w:type="dxa"/>
        <w:jc w:val="left"/>
        <w:tblInd w:w="315.0" w:type="dxa"/>
        <w:tblLayout w:type="fixed"/>
        <w:tblLook w:val="0000"/>
      </w:tblPr>
      <w:tblGrid>
        <w:gridCol w:w="3045"/>
        <w:gridCol w:w="3045"/>
        <w:gridCol w:w="3045"/>
        <w:tblGridChange w:id="0">
          <w:tblGrid>
            <w:gridCol w:w="3045"/>
            <w:gridCol w:w="3045"/>
            <w:gridCol w:w="3045"/>
          </w:tblGrid>
        </w:tblGridChange>
      </w:tblGrid>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spacing w:before="15"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Return-to-aid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hd w:fill="auto" w:val="clear"/>
              <w:spacing w:before="15" w:line="240" w:lineRule="auto"/>
              <w:ind w:right="25"/>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hd w:fill="auto" w:val="clear"/>
              <w:spacing w:before="15" w:line="240" w:lineRule="auto"/>
              <w:ind w:right="1"/>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33%</w:t>
            </w:r>
          </w:p>
        </w:tc>
      </w:tr>
      <w:tr>
        <w:trPr>
          <w:cantSplit w:val="0"/>
          <w:trHeight w:val="8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hd w:fill="auto" w:val="clear"/>
              <w:spacing w:before="15" w:line="240" w:lineRule="auto"/>
              <w:ind w:right="58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 initiated projects (Direct Service and Educational)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auto" w:val="clear"/>
              <w:spacing w:before="15" w:line="240" w:lineRule="auto"/>
              <w:ind w:right="25"/>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hd w:fill="auto" w:val="clear"/>
              <w:spacing w:before="15" w:line="240" w:lineRule="auto"/>
              <w:ind w:right="2"/>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9.24%</w:t>
            </w:r>
          </w:p>
        </w:tc>
      </w:tr>
      <w:tr>
        <w:trPr>
          <w:cantSplit w:val="0"/>
          <w:trHeight w:val="8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spacing w:before="15" w:line="240" w:lineRule="auto"/>
              <w:ind w:right="442"/>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MSD/Gen Eq programming divided across 7 individual units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hd w:fill="auto" w:val="clear"/>
              <w:spacing w:before="15" w:line="240" w:lineRule="auto"/>
              <w:ind w:right="25"/>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spacing w:before="15" w:line="240" w:lineRule="auto"/>
              <w:ind w:right="8"/>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20.79%</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hd w:fill="auto" w:val="clear"/>
              <w:spacing w:before="15" w:line="240" w:lineRule="auto"/>
              <w:ind w:right="37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MSD &amp; Gen Eq student staffing  through work study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spacing w:before="15" w:line="240" w:lineRule="auto"/>
              <w:ind w:right="25"/>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$3.52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before="15" w:line="240" w:lineRule="auto"/>
              <w:ind w:right="8"/>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12.14%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keepNext w:val="1"/>
              <w:keepLines w:val="1"/>
              <w:pBdr>
                <w:top w:space="0" w:sz="0" w:val="nil"/>
                <w:left w:space="0" w:sz="0" w:val="nil"/>
                <w:bottom w:space="0" w:sz="0" w:val="nil"/>
                <w:right w:space="0" w:sz="0" w:val="nil"/>
                <w:between w:space="0" w:sz="0" w:val="nil"/>
              </w:pBdr>
              <w:shd w:fill="auto" w:val="clear"/>
              <w:spacing w:before="15" w:line="240" w:lineRule="auto"/>
              <w:ind w:right="371"/>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MSD &amp; Gen Eq Staffing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keepNext w:val="1"/>
              <w:keepLines w:val="1"/>
              <w:pBdr>
                <w:top w:space="0" w:sz="0" w:val="nil"/>
                <w:left w:space="0" w:sz="0" w:val="nil"/>
                <w:bottom w:space="0" w:sz="0" w:val="nil"/>
                <w:right w:space="0" w:sz="0" w:val="nil"/>
                <w:between w:space="0" w:sz="0" w:val="nil"/>
              </w:pBdr>
              <w:shd w:fill="auto" w:val="clear"/>
              <w:spacing w:before="15" w:line="240" w:lineRule="auto"/>
              <w:ind w:right="25"/>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keepNext w:val="1"/>
              <w:keepLines w:val="1"/>
              <w:pBdr>
                <w:top w:space="0" w:sz="0" w:val="nil"/>
                <w:left w:space="0" w:sz="0" w:val="nil"/>
                <w:bottom w:space="0" w:sz="0" w:val="nil"/>
                <w:right w:space="0" w:sz="0" w:val="nil"/>
                <w:between w:space="0" w:sz="0" w:val="nil"/>
              </w:pBdr>
              <w:shd w:fill="auto" w:val="clear"/>
              <w:spacing w:before="15" w:line="240" w:lineRule="auto"/>
              <w:ind w:right="8"/>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24.83%</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spacing w:before="15"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hd w:fill="auto" w:val="clear"/>
              <w:spacing w:before="15" w:line="240" w:lineRule="auto"/>
              <w:ind w:right="1"/>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$29.00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spacing w:before="15" w:line="240" w:lineRule="auto"/>
              <w:ind w:right="5"/>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w:t>
            </w:r>
          </w:p>
        </w:tc>
      </w:tr>
    </w:tbl>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u w:val="single"/>
        </w:rPr>
      </w:pPr>
      <w:r w:rsidDel="00000000" w:rsidR="00000000" w:rsidRPr="00000000">
        <w:rPr>
          <w:rFonts w:ascii="Cambria" w:cs="Cambria" w:eastAsia="Cambria" w:hAnsi="Cambria"/>
          <w:b w:val="1"/>
          <w:sz w:val="24"/>
          <w:szCs w:val="24"/>
          <w:highlight w:val="white"/>
          <w:u w:val="single"/>
          <w:rtl w:val="0"/>
        </w:rPr>
        <w:t xml:space="preserve">Oversight of the Fee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u w:val="single"/>
        </w:rPr>
      </w:pPr>
      <w:r w:rsidDel="00000000" w:rsidR="00000000" w:rsidRPr="00000000">
        <w:rPr>
          <w:rFonts w:ascii="Cambria" w:cs="Cambria" w:eastAsia="Cambria" w:hAnsi="Cambria"/>
          <w:b w:val="1"/>
          <w:sz w:val="24"/>
          <w:szCs w:val="24"/>
          <w:highlight w:val="white"/>
          <w:u w:val="single"/>
          <w:rtl w:val="0"/>
        </w:rPr>
        <w:t xml:space="preserve"> </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before="51" w:line="244" w:lineRule="auto"/>
        <w:ind w:right="9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Oversight of the fee will be conducted by the EJCE Fee Advisory Board convening once per semester:</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before="16"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EJCE Fee Advisory Board comprised of:</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before="16"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10"/>
        </w:tabs>
        <w:spacing w:line="240" w:lineRule="auto"/>
        <w:ind w:left="2155"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One elected ASUC representative</w:t>
      </w:r>
      <w:r w:rsidDel="00000000" w:rsidR="00000000" w:rsidRPr="00000000">
        <w:rPr>
          <w:rtl w:val="0"/>
        </w:rPr>
      </w:r>
    </w:p>
    <w:p w:rsidR="00000000" w:rsidDel="00000000" w:rsidP="00000000" w:rsidRDefault="00000000" w:rsidRPr="00000000" w14:paraId="0000005B">
      <w:pPr>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10"/>
        </w:tabs>
        <w:spacing w:line="240" w:lineRule="auto"/>
        <w:ind w:left="2155"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One elected Graduate Assembly representative</w:t>
      </w:r>
      <w:r w:rsidDel="00000000" w:rsidR="00000000" w:rsidRPr="00000000">
        <w:rPr>
          <w:rtl w:val="0"/>
        </w:rPr>
      </w:r>
    </w:p>
    <w:p w:rsidR="00000000" w:rsidDel="00000000" w:rsidP="00000000" w:rsidRDefault="00000000" w:rsidRPr="00000000" w14:paraId="0000005C">
      <w:pPr>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10"/>
        </w:tabs>
        <w:spacing w:line="240" w:lineRule="auto"/>
        <w:ind w:left="2155"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Two at large student representatives:</w:t>
      </w:r>
      <w:r w:rsidDel="00000000" w:rsidR="00000000" w:rsidRPr="00000000">
        <w:rPr>
          <w:rtl w:val="0"/>
        </w:rPr>
      </w:r>
    </w:p>
    <w:p w:rsidR="00000000" w:rsidDel="00000000" w:rsidP="00000000" w:rsidRDefault="00000000" w:rsidRPr="00000000" w14:paraId="0000005D">
      <w:pPr>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90"/>
          <w:tab w:val="left" w:leader="none" w:pos="1260"/>
        </w:tabs>
        <w:spacing w:line="240" w:lineRule="auto"/>
        <w:ind w:left="2875"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One graduate student</w:t>
      </w:r>
      <w:r w:rsidDel="00000000" w:rsidR="00000000" w:rsidRPr="00000000">
        <w:rPr>
          <w:rtl w:val="0"/>
        </w:rPr>
      </w:r>
    </w:p>
    <w:p w:rsidR="00000000" w:rsidDel="00000000" w:rsidP="00000000" w:rsidRDefault="00000000" w:rsidRPr="00000000" w14:paraId="0000005E">
      <w:pPr>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990"/>
          <w:tab w:val="left" w:leader="none" w:pos="1260"/>
        </w:tabs>
        <w:spacing w:line="240" w:lineRule="auto"/>
        <w:ind w:left="2875"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One undergraduate student</w:t>
      </w:r>
      <w:r w:rsidDel="00000000" w:rsidR="00000000" w:rsidRPr="00000000">
        <w:rPr>
          <w:rtl w:val="0"/>
        </w:rPr>
      </w:r>
    </w:p>
    <w:p w:rsidR="00000000" w:rsidDel="00000000" w:rsidP="00000000" w:rsidRDefault="00000000" w:rsidRPr="00000000" w14:paraId="0000005F">
      <w:pPr>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10"/>
        </w:tabs>
        <w:spacing w:line="240" w:lineRule="auto"/>
        <w:ind w:left="2155" w:right="1027"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Two student representative from the GenEq/MSD spaces</w:t>
      </w: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tabs>
          <w:tab w:val="left" w:leader="none" w:pos="810"/>
        </w:tabs>
        <w:spacing w:line="240" w:lineRule="auto"/>
        <w:ind w:left="720" w:right="102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(Through application process)</w:t>
      </w:r>
    </w:p>
    <w:p w:rsidR="00000000" w:rsidDel="00000000" w:rsidP="00000000" w:rsidRDefault="00000000" w:rsidRPr="00000000" w14:paraId="00000061">
      <w:pPr>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10"/>
        </w:tabs>
        <w:spacing w:line="240" w:lineRule="auto"/>
        <w:ind w:left="2155"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One staff representative from GenEq</w:t>
      </w:r>
      <w:r w:rsidDel="00000000" w:rsidR="00000000" w:rsidRPr="00000000">
        <w:rPr>
          <w:rtl w:val="0"/>
        </w:rPr>
      </w:r>
    </w:p>
    <w:p w:rsidR="00000000" w:rsidDel="00000000" w:rsidP="00000000" w:rsidRDefault="00000000" w:rsidRPr="00000000" w14:paraId="00000062">
      <w:pPr>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10"/>
        </w:tabs>
        <w:spacing w:line="240" w:lineRule="auto"/>
        <w:ind w:left="2155"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One staff representative from MSD</w:t>
      </w:r>
      <w:r w:rsidDel="00000000" w:rsidR="00000000" w:rsidRPr="00000000">
        <w:rPr>
          <w:rtl w:val="0"/>
        </w:rPr>
      </w:r>
    </w:p>
    <w:p w:rsidR="00000000" w:rsidDel="00000000" w:rsidP="00000000" w:rsidRDefault="00000000" w:rsidRPr="00000000" w14:paraId="00000063">
      <w:pPr>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10"/>
        </w:tabs>
        <w:spacing w:line="240" w:lineRule="auto"/>
        <w:ind w:left="2155" w:firstLine="446.0000000000002"/>
        <w:rPr>
          <w:rFonts w:ascii="Cambria" w:cs="Cambria" w:eastAsia="Cambria" w:hAnsi="Cambria"/>
        </w:rPr>
      </w:pPr>
      <w:r w:rsidDel="00000000" w:rsidR="00000000" w:rsidRPr="00000000">
        <w:rPr>
          <w:rFonts w:ascii="Cambria" w:cs="Cambria" w:eastAsia="Cambria" w:hAnsi="Cambria"/>
          <w:sz w:val="24"/>
          <w:szCs w:val="24"/>
          <w:rtl w:val="0"/>
        </w:rPr>
        <w:t xml:space="preserve">One representative from the Committee on Student Fees</w:t>
      </w: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before="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line="240" w:lineRule="auto"/>
        <w:ind w:right="469"/>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EJCE Fee Advisory Board will review proposals for student-initiated projects each semester and collectively allocate funds for those projects as specified in proportions listed in Table 1, as well as provide general oversight for the fee revenue.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before="5"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line="271" w:lineRule="auto"/>
        <w:ind w:right="284"/>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Beginning Fall 2018, the fee may be increased, subject to review by the Chancellor’s Advisory Committee on Student Services and Fees and the Chancellor’s approval, up to 3% per year to adjust for annual inflation according to the SF Bay Area Consumer Price Index for all Urban Consumers.</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Sunset Clause: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240" w:lineRule="auto"/>
        <w:rPr>
          <w:rFonts w:ascii="Cambria" w:cs="Cambria" w:eastAsia="Cambria" w:hAnsi="Cambria"/>
          <w:b w:val="1"/>
          <w:sz w:val="24"/>
          <w:szCs w:val="24"/>
          <w:highlight w:val="white"/>
        </w:rPr>
      </w:pPr>
      <w:r w:rsidDel="00000000" w:rsidR="00000000" w:rsidRPr="00000000">
        <w:rPr>
          <w:rFonts w:ascii="Cambria" w:cs="Cambria" w:eastAsia="Cambria" w:hAnsi="Cambria"/>
          <w:sz w:val="24"/>
          <w:szCs w:val="24"/>
          <w:highlight w:val="white"/>
          <w:rtl w:val="0"/>
        </w:rPr>
        <w:t xml:space="preserve">10 years from the passage of this referendum, this fee will be reassessed and a recommendation put forward regarding its continuation or cessation.  </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6F">
      <w:pPr>
        <w:pageBreakBefore w:val="0"/>
        <w:shd w:fill="auto" w:val="clear"/>
        <w:spacing w:line="240" w:lineRule="auto"/>
        <w:rPr>
          <w:sz w:val="24"/>
          <w:szCs w:val="24"/>
          <w:highlight w:val="white"/>
        </w:rPr>
      </w:pPr>
      <w:r w:rsidDel="00000000" w:rsidR="00000000" w:rsidRPr="00000000">
        <w:rPr>
          <w:sz w:val="24"/>
          <w:szCs w:val="24"/>
          <w:rtl w:val="0"/>
        </w:rPr>
        <w:t xml:space="preserve"> </w:t>
      </w: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sz w:val="18"/>
          <w:szCs w:val="18"/>
        </w:rPr>
      </w:pPr>
      <w:r w:rsidDel="00000000" w:rsidR="00000000" w:rsidRPr="00000000">
        <w:rPr>
          <w:rStyle w:val="FootnoteReference"/>
          <w:vertAlign w:val="superscript"/>
        </w:rPr>
        <w:footnoteRef/>
      </w:r>
      <w:r w:rsidDel="00000000" w:rsidR="00000000" w:rsidRPr="00000000">
        <w:rPr>
          <w:rFonts w:ascii="Calibri" w:cs="Calibri" w:eastAsia="Calibri" w:hAnsi="Calibri"/>
          <w:sz w:val="18"/>
          <w:szCs w:val="18"/>
          <w:rtl w:val="0"/>
        </w:rPr>
        <w:t xml:space="preserve"> Based on undergraduate and graduate student responses to the Campus Climate Survey (March 2014),  the Multicultural Student Development Task Force Report (2013), and feedback collected through consultation processes for the African American Initiative, Chicanx/Latinx Taskforce, various LGBTQIA+ townhalls and demands, among others venues.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tabs>
        <w:tab w:val="center" w:leader="none" w:pos="5760"/>
        <w:tab w:val="right" w:leader="none" w:pos="8640"/>
      </w:tabs>
      <w:spacing w:line="240" w:lineRule="auto"/>
      <w:jc w:val="center"/>
      <w:rPr>
        <w:rFonts w:ascii="Cambria" w:cs="Cambria" w:eastAsia="Cambria" w:hAnsi="Cambria"/>
        <w:b w:val="1"/>
        <w:sz w:val="18"/>
        <w:szCs w:val="18"/>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line="240" w:lineRule="auto"/>
      <w:jc w:val="right"/>
      <w:rPr>
        <w:rFonts w:ascii="Cambria" w:cs="Cambria" w:eastAsia="Cambria" w:hAnsi="Cambria"/>
        <w:b w:val="1"/>
        <w:sz w:val="18"/>
        <w:szCs w:val="18"/>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20" w:firstLine="460"/>
      </w:pPr>
      <w:rPr>
        <w:rFonts w:ascii="Arial" w:cs="Arial" w:eastAsia="Arial" w:hAnsi="Arial"/>
        <w:sz w:val="24"/>
        <w:szCs w:val="24"/>
      </w:rPr>
    </w:lvl>
    <w:lvl w:ilvl="1">
      <w:start w:val="1"/>
      <w:numFmt w:val="bullet"/>
      <w:lvlText w:val="●"/>
      <w:lvlJc w:val="left"/>
      <w:pPr>
        <w:ind w:left="2155" w:firstLine="1795"/>
      </w:pPr>
      <w:rPr>
        <w:rFonts w:ascii="Arial" w:cs="Arial" w:eastAsia="Arial" w:hAnsi="Arial"/>
        <w:sz w:val="24"/>
        <w:szCs w:val="24"/>
      </w:rPr>
    </w:lvl>
    <w:lvl w:ilvl="2">
      <w:start w:val="1"/>
      <w:numFmt w:val="bullet"/>
      <w:lvlText w:val="○"/>
      <w:lvlJc w:val="left"/>
      <w:pPr>
        <w:ind w:left="2875" w:firstLine="2515"/>
      </w:pPr>
      <w:rPr>
        <w:rFonts w:ascii="Arial" w:cs="Arial" w:eastAsia="Arial" w:hAnsi="Arial"/>
        <w:sz w:val="24"/>
        <w:szCs w:val="24"/>
      </w:rPr>
    </w:lvl>
    <w:lvl w:ilvl="3">
      <w:start w:val="1"/>
      <w:numFmt w:val="bullet"/>
      <w:lvlText w:val="•"/>
      <w:lvlJc w:val="left"/>
      <w:pPr>
        <w:ind w:left="3710" w:firstLine="3350"/>
      </w:pPr>
      <w:rPr>
        <w:rFonts w:ascii="Arial" w:cs="Arial" w:eastAsia="Arial" w:hAnsi="Arial"/>
      </w:rPr>
    </w:lvl>
    <w:lvl w:ilvl="4">
      <w:start w:val="1"/>
      <w:numFmt w:val="bullet"/>
      <w:lvlText w:val="•"/>
      <w:lvlJc w:val="left"/>
      <w:pPr>
        <w:ind w:left="4540" w:firstLine="4180"/>
      </w:pPr>
      <w:rPr>
        <w:rFonts w:ascii="Arial" w:cs="Arial" w:eastAsia="Arial" w:hAnsi="Arial"/>
      </w:rPr>
    </w:lvl>
    <w:lvl w:ilvl="5">
      <w:start w:val="1"/>
      <w:numFmt w:val="bullet"/>
      <w:lvlText w:val="•"/>
      <w:lvlJc w:val="left"/>
      <w:pPr>
        <w:ind w:left="5370" w:firstLine="5010"/>
      </w:pPr>
      <w:rPr>
        <w:rFonts w:ascii="Arial" w:cs="Arial" w:eastAsia="Arial" w:hAnsi="Arial"/>
      </w:rPr>
    </w:lvl>
    <w:lvl w:ilvl="6">
      <w:start w:val="1"/>
      <w:numFmt w:val="bullet"/>
      <w:lvlText w:val="•"/>
      <w:lvlJc w:val="left"/>
      <w:pPr>
        <w:ind w:left="6200" w:firstLine="5840"/>
      </w:pPr>
      <w:rPr>
        <w:rFonts w:ascii="Arial" w:cs="Arial" w:eastAsia="Arial" w:hAnsi="Arial"/>
      </w:rPr>
    </w:lvl>
    <w:lvl w:ilvl="7">
      <w:start w:val="1"/>
      <w:numFmt w:val="bullet"/>
      <w:lvlText w:val="•"/>
      <w:lvlJc w:val="left"/>
      <w:pPr>
        <w:ind w:left="7030" w:firstLine="6670"/>
      </w:pPr>
      <w:rPr>
        <w:rFonts w:ascii="Arial" w:cs="Arial" w:eastAsia="Arial" w:hAnsi="Arial"/>
      </w:rPr>
    </w:lvl>
    <w:lvl w:ilvl="8">
      <w:start w:val="1"/>
      <w:numFmt w:val="bullet"/>
      <w:lvlText w:val="•"/>
      <w:lvlJc w:val="left"/>
      <w:pPr>
        <w:ind w:left="7860" w:firstLine="7500"/>
      </w:pPr>
      <w:rPr>
        <w:rFonts w:ascii="Arial" w:cs="Arial" w:eastAsia="Arial" w:hAnsi="Arial"/>
      </w:rPr>
    </w:lvl>
  </w:abstractNum>
  <w:abstractNum w:abstractNumId="2">
    <w:lvl w:ilvl="0">
      <w:start w:val="1"/>
      <w:numFmt w:val="upperRoman"/>
      <w:lvlText w:val="%1."/>
      <w:lvlJc w:val="left"/>
      <w:pPr>
        <w:ind w:left="400" w:firstLine="220"/>
      </w:pPr>
      <w:rPr>
        <w:rFonts w:ascii="Calibri" w:cs="Calibri" w:eastAsia="Calibri" w:hAnsi="Calibri"/>
        <w:b w:val="1"/>
      </w:rPr>
    </w:lvl>
    <w:lvl w:ilvl="1">
      <w:start w:val="1"/>
      <w:numFmt w:val="bullet"/>
      <w:lvlText w:val="●"/>
      <w:lvlJc w:val="left"/>
      <w:pPr>
        <w:ind w:left="940" w:firstLine="580"/>
      </w:pPr>
      <w:rPr>
        <w:rFonts w:ascii="Arial" w:cs="Arial" w:eastAsia="Arial" w:hAnsi="Arial"/>
        <w:sz w:val="24"/>
        <w:szCs w:val="24"/>
      </w:rPr>
    </w:lvl>
    <w:lvl w:ilvl="2">
      <w:start w:val="1"/>
      <w:numFmt w:val="bullet"/>
      <w:lvlText w:val="•"/>
      <w:lvlJc w:val="left"/>
      <w:pPr>
        <w:ind w:left="1893" w:firstLine="1533"/>
      </w:pPr>
      <w:rPr>
        <w:rFonts w:ascii="Arial" w:cs="Arial" w:eastAsia="Arial" w:hAnsi="Arial"/>
      </w:rPr>
    </w:lvl>
    <w:lvl w:ilvl="3">
      <w:start w:val="1"/>
      <w:numFmt w:val="bullet"/>
      <w:lvlText w:val="•"/>
      <w:lvlJc w:val="left"/>
      <w:pPr>
        <w:ind w:left="2846" w:firstLine="2486"/>
      </w:pPr>
      <w:rPr>
        <w:rFonts w:ascii="Arial" w:cs="Arial" w:eastAsia="Arial" w:hAnsi="Arial"/>
      </w:rPr>
    </w:lvl>
    <w:lvl w:ilvl="4">
      <w:start w:val="1"/>
      <w:numFmt w:val="bullet"/>
      <w:lvlText w:val="•"/>
      <w:lvlJc w:val="left"/>
      <w:pPr>
        <w:ind w:left="3800" w:firstLine="3440"/>
      </w:pPr>
      <w:rPr>
        <w:rFonts w:ascii="Arial" w:cs="Arial" w:eastAsia="Arial" w:hAnsi="Arial"/>
      </w:rPr>
    </w:lvl>
    <w:lvl w:ilvl="5">
      <w:start w:val="1"/>
      <w:numFmt w:val="bullet"/>
      <w:lvlText w:val="•"/>
      <w:lvlJc w:val="left"/>
      <w:pPr>
        <w:ind w:left="4753" w:firstLine="4393"/>
      </w:pPr>
      <w:rPr>
        <w:rFonts w:ascii="Arial" w:cs="Arial" w:eastAsia="Arial" w:hAnsi="Arial"/>
      </w:rPr>
    </w:lvl>
    <w:lvl w:ilvl="6">
      <w:start w:val="1"/>
      <w:numFmt w:val="bullet"/>
      <w:lvlText w:val="•"/>
      <w:lvlJc w:val="left"/>
      <w:pPr>
        <w:ind w:left="5706" w:firstLine="5346"/>
      </w:pPr>
      <w:rPr>
        <w:rFonts w:ascii="Arial" w:cs="Arial" w:eastAsia="Arial" w:hAnsi="Arial"/>
      </w:rPr>
    </w:lvl>
    <w:lvl w:ilvl="7">
      <w:start w:val="1"/>
      <w:numFmt w:val="bullet"/>
      <w:lvlText w:val="•"/>
      <w:lvlJc w:val="left"/>
      <w:pPr>
        <w:ind w:left="6660" w:firstLine="6300"/>
      </w:pPr>
      <w:rPr>
        <w:rFonts w:ascii="Arial" w:cs="Arial" w:eastAsia="Arial" w:hAnsi="Arial"/>
      </w:rPr>
    </w:lvl>
    <w:lvl w:ilvl="8">
      <w:start w:val="1"/>
      <w:numFmt w:val="bullet"/>
      <w:lvlText w:val="•"/>
      <w:lvlJc w:val="left"/>
      <w:pPr>
        <w:ind w:left="7613" w:firstLine="7253"/>
      </w:pPr>
      <w:rPr>
        <w:rFonts w:ascii="Arial" w:cs="Arial" w:eastAsia="Arial" w:hAnsi="Arial"/>
      </w:rPr>
    </w:lvl>
  </w:abstractNum>
  <w:abstractNum w:abstractNumId="3">
    <w:lvl w:ilvl="0">
      <w:start w:val="1"/>
      <w:numFmt w:val="bullet"/>
      <w:lvlText w:val="●"/>
      <w:lvlJc w:val="left"/>
      <w:pPr>
        <w:ind w:left="820" w:firstLine="460"/>
      </w:pPr>
      <w:rPr>
        <w:rFonts w:ascii="Arial" w:cs="Arial" w:eastAsia="Arial" w:hAnsi="Arial"/>
        <w:sz w:val="24"/>
        <w:szCs w:val="24"/>
      </w:rPr>
    </w:lvl>
    <w:lvl w:ilvl="1">
      <w:start w:val="1"/>
      <w:numFmt w:val="bullet"/>
      <w:lvlText w:val="●"/>
      <w:lvlJc w:val="left"/>
      <w:pPr>
        <w:ind w:left="2155" w:firstLine="1795"/>
      </w:pPr>
      <w:rPr>
        <w:rFonts w:ascii="Arial" w:cs="Arial" w:eastAsia="Arial" w:hAnsi="Arial"/>
        <w:sz w:val="24"/>
        <w:szCs w:val="24"/>
      </w:rPr>
    </w:lvl>
    <w:lvl w:ilvl="2">
      <w:start w:val="1"/>
      <w:numFmt w:val="bullet"/>
      <w:lvlText w:val="○"/>
      <w:lvlJc w:val="left"/>
      <w:pPr>
        <w:ind w:left="2875" w:firstLine="2515"/>
      </w:pPr>
      <w:rPr>
        <w:rFonts w:ascii="Arial" w:cs="Arial" w:eastAsia="Arial" w:hAnsi="Arial"/>
        <w:sz w:val="24"/>
        <w:szCs w:val="24"/>
      </w:rPr>
    </w:lvl>
    <w:lvl w:ilvl="3">
      <w:start w:val="1"/>
      <w:numFmt w:val="bullet"/>
      <w:lvlText w:val="•"/>
      <w:lvlJc w:val="left"/>
      <w:pPr>
        <w:ind w:left="3710" w:firstLine="3350"/>
      </w:pPr>
      <w:rPr>
        <w:rFonts w:ascii="Arial" w:cs="Arial" w:eastAsia="Arial" w:hAnsi="Arial"/>
      </w:rPr>
    </w:lvl>
    <w:lvl w:ilvl="4">
      <w:start w:val="1"/>
      <w:numFmt w:val="bullet"/>
      <w:lvlText w:val="•"/>
      <w:lvlJc w:val="left"/>
      <w:pPr>
        <w:ind w:left="4540" w:firstLine="4180"/>
      </w:pPr>
      <w:rPr>
        <w:rFonts w:ascii="Arial" w:cs="Arial" w:eastAsia="Arial" w:hAnsi="Arial"/>
      </w:rPr>
    </w:lvl>
    <w:lvl w:ilvl="5">
      <w:start w:val="1"/>
      <w:numFmt w:val="bullet"/>
      <w:lvlText w:val="•"/>
      <w:lvlJc w:val="left"/>
      <w:pPr>
        <w:ind w:left="5370" w:firstLine="5010"/>
      </w:pPr>
      <w:rPr>
        <w:rFonts w:ascii="Arial" w:cs="Arial" w:eastAsia="Arial" w:hAnsi="Arial"/>
      </w:rPr>
    </w:lvl>
    <w:lvl w:ilvl="6">
      <w:start w:val="1"/>
      <w:numFmt w:val="bullet"/>
      <w:lvlText w:val="•"/>
      <w:lvlJc w:val="left"/>
      <w:pPr>
        <w:ind w:left="6200" w:firstLine="5840"/>
      </w:pPr>
      <w:rPr>
        <w:rFonts w:ascii="Arial" w:cs="Arial" w:eastAsia="Arial" w:hAnsi="Arial"/>
      </w:rPr>
    </w:lvl>
    <w:lvl w:ilvl="7">
      <w:start w:val="1"/>
      <w:numFmt w:val="bullet"/>
      <w:lvlText w:val="•"/>
      <w:lvlJc w:val="left"/>
      <w:pPr>
        <w:ind w:left="7030" w:firstLine="6670"/>
      </w:pPr>
      <w:rPr>
        <w:rFonts w:ascii="Arial" w:cs="Arial" w:eastAsia="Arial" w:hAnsi="Arial"/>
      </w:rPr>
    </w:lvl>
    <w:lvl w:ilvl="8">
      <w:start w:val="1"/>
      <w:numFmt w:val="bullet"/>
      <w:lvlText w:val="•"/>
      <w:lvlJc w:val="left"/>
      <w:pPr>
        <w:ind w:left="7860" w:firstLine="750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NeQCC2RamCxqgcEuo/5x30Pd/g==">CgMxLjA4AHIhMURpeEttWWFUWUROU051ZEU0UlhIMWc0MFNiejlUeDlW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