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Caffeine Haven</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(Promotional Material for a New Cafe Opening)</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Promotional materials are vital for generating awareness and excitement around a new café opening. These include digital and print assets such as flyers, posters, social media graphics, and banners designed to communicate your café’s theme, key offerings, and special launch promotions. A standout campaign blends eye-catching visuals, concise messaging, and a cohesive brand story that reflects your café’s unique personality and values.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traditional tactics, storytelling and immersive experiences help deepen engagement. Share the cafe’s origin story or coffee sourcing process to build emotional resonance. Host expert talks by coffee roasters or tastings to create an interactive launch event. Implement phased engagement like VIP previews or soft launches to collect feedback and build early buzz. Incorporate strategic giveaways such as branded merchandise and limited-time offers to attract visitors. On the digital side, optimize your reach with a professional website, email campaigns, and active social media with video content and influencer collaborations—to convert interest into foot traffic.</w:t>
      </w:r>
    </w:p>
    <w:p w:rsidR="00000000" w:rsidDel="00000000" w:rsidP="00000000" w:rsidRDefault="00000000" w:rsidRPr="00000000" w14:paraId="00000007">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Source Links:</w:t>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https://coffeeshopstartups.com/how-to-prepare-for-your-coffee-shop-grand-opening/</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https://pos.toasttab.com/blog/on-the-line/cafe-marketing-ideas</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ffeeshopstartups.com/how-to-prepare-for-your-coffee-shop-grand-op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