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l7vh4nkm2lc" w:id="0"/>
      <w:bookmarkEnd w:id="0"/>
      <w:r w:rsidDel="00000000" w:rsidR="00000000" w:rsidRPr="00000000">
        <w:rPr>
          <w:rtl w:val="0"/>
        </w:rPr>
        <w:t xml:space="preserve">Website Content Updates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e87o55esyzsf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Below are two updates to content for the CSB Law website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https://www.csblawpdx.com/</w:t>
        </w:r>
      </w:hyperlink>
      <w:r w:rsidDel="00000000" w:rsidR="00000000" w:rsidRPr="00000000">
        <w:rPr>
          <w:rtl w:val="0"/>
        </w:rPr>
        <w:t xml:space="preserve">). Screenshots have been included to show the location of text to be altered. The text can be replaced in whole with the text provided below.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believe everyone deserves access to thoughtful, high-quality legal representation, whether planning for the future or navigating a complex legal dispute. Our team at Carson Seegmuller &amp; Baker LLP is proud to serve a diverse community, providing personalized guidance that respects your unique circumstances, values, and goals. Call today to book your consultation with one of our attorneys.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Our experienced team of attorneys and legal professionals provide compassionate and professional legal </w:t>
      </w:r>
      <w:r w:rsidDel="00000000" w:rsidR="00000000" w:rsidRPr="00000000">
        <w:rPr>
          <w:rtl w:val="0"/>
        </w:rPr>
        <w:t xml:space="preserve">services 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representation to you in targeted practice areas. From estate planning to civil litigation, we help our clients identify practical legal solutions to your unique circumstances.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sblawpdx.com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