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i w:val="0"/>
          <w:sz w:val="24"/>
        </w:rPr>
        <w:t>Highlights</w:t>
      </w:r>
    </w:p>
    <w:p>
      <w:r>
        <w:rPr>
          <w:rFonts w:ascii="Arial" w:hAnsi="Arial" w:eastAsia="Arial"/>
          <w:b w:val="0"/>
          <w:i w:val="0"/>
          <w:sz w:val="24"/>
        </w:rPr>
        <w:t>Highlights</w:t>
      </w:r>
    </w:p>
    <w:p>
      <w:r>
        <w:rPr>
          <w:rFonts w:ascii="Arial" w:hAnsi="Arial" w:eastAsia="Arial"/>
          <w:b w:val="0"/>
          <w:i w:val="0"/>
          <w:sz w:val="24"/>
        </w:rPr>
        <w:t>- Ten independent Chinese cohorts compared schistosomiasis-associated (SACC) with non-schistosomal colorectal cancer, after resolving 17 overlapping hospital reports.</w:t>
      </w:r>
    </w:p>
    <w:p>
      <w:r>
        <w:rPr>
          <w:rFonts w:ascii="Arial" w:hAnsi="Arial" w:eastAsia="Arial"/>
          <w:b w:val="0"/>
          <w:i w:val="0"/>
          <w:sz w:val="24"/>
        </w:rPr>
        <w:t>- SACC patients were consistently older and more often male (OR 1.38), with low-certainty evidence.</w:t>
      </w:r>
    </w:p>
    <w:p>
      <w:r>
        <w:rPr>
          <w:rFonts w:ascii="Arial" w:hAnsi="Arial" w:eastAsia="Arial"/>
          <w:b w:val="0"/>
          <w:i w:val="0"/>
          <w:sz w:val="24"/>
        </w:rPr>
        <w:t>- Stage, nodal and distant metastasis, differentiation, and vascular or perineural invasion did not differ reproducibly.</w:t>
      </w:r>
    </w:p>
    <w:p>
      <w:r>
        <w:rPr>
          <w:rFonts w:ascii="Arial" w:hAnsi="Arial" w:eastAsia="Arial"/>
          <w:b w:val="0"/>
          <w:i w:val="0"/>
          <w:sz w:val="24"/>
        </w:rPr>
        <w:t>- Adjusted overall survival was worse in SACC (HR 2.10, 3 cohorts), but survival evidence was of very low certainty.</w:t>
      </w:r>
    </w:p>
    <w:p>
      <w:r>
        <w:rPr>
          <w:rFonts w:ascii="Arial" w:hAnsi="Arial" w:eastAsia="Arial"/>
          <w:b w:val="0"/>
          <w:i w:val="0"/>
          <w:sz w:val="24"/>
        </w:rPr>
        <w:t>- No comparative cohort from the Philippines or Indonesia exists; routine recording of schistosome eggs in resection reports is recommended.</w:t>
      </w:r>
    </w:p>
    <w:p/>
    <w:p>
      <w:r>
        <w:rPr>
          <w:rFonts w:ascii="Arial" w:hAnsi="Arial" w:eastAsia="Arial"/>
          <w:b w:val="0"/>
          <w:i w:val="0"/>
          <w:sz w:val="24"/>
        </w:rPr>
        <w:t>Graphical abstract: Figure 8 (conceptual model) on the left and Figure 3 (pooled phenotype forest plot) on the right, titled 'SACC: a distinct host population rather than a distinct tumour?'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