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b/>
          <w:i w:val="0"/>
          <w:sz w:val="24"/>
        </w:rPr>
        <w:t>Legends</w:t>
      </w:r>
    </w:p>
    <w:p>
      <w:r>
        <w:rPr>
          <w:rFonts w:ascii="Arial" w:hAnsi="Arial" w:eastAsia="Arial"/>
          <w:b w:val="0"/>
          <w:i w:val="0"/>
          <w:sz w:val="24"/>
        </w:rPr>
        <w:t>Figure and table legends (as embedded in the manuscript)</w:t>
      </w:r>
    </w:p>
    <w:p>
      <w:r>
        <w:rPr>
          <w:rFonts w:ascii="Arial" w:hAnsi="Arial" w:eastAsia="Arial"/>
          <w:b/>
          <w:i w:val="0"/>
          <w:sz w:val="24"/>
        </w:rPr>
        <w:t>Figure 1.</w:t>
      </w:r>
      <w:r>
        <w:rPr>
          <w:rFonts w:ascii="Arial" w:hAnsi="Arial" w:eastAsia="Arial"/>
          <w:b w:val="0"/>
          <w:i w:val="0"/>
          <w:sz w:val="24"/>
        </w:rPr>
        <w:t xml:space="preserve"> PRISMA 2020 flow diagram of study selection. Reports whose full text could not be obtained were excluded. Subscription databases that could not be searched are discussed under Limitations.</w:t>
      </w:r>
    </w:p>
    <w:p>
      <w:r>
        <w:rPr>
          <w:rFonts w:ascii="Arial" w:hAnsi="Arial" w:eastAsia="Arial"/>
          <w:b/>
          <w:i w:val="0"/>
          <w:sz w:val="24"/>
        </w:rPr>
        <w:t>Table 1.</w:t>
      </w:r>
      <w:r>
        <w:rPr>
          <w:rFonts w:ascii="Arial" w:hAnsi="Arial" w:eastAsia="Arial"/>
          <w:b w:val="0"/>
          <w:i w:val="0"/>
          <w:sz w:val="24"/>
        </w:rPr>
        <w:t xml:space="preserve"> Characteristics of identified studies Extracted from full texts on 5 October 2026 except where marked 'no full text'. NR, not reported; mo, months; </w:t>
      </w:r>
      <w:r>
        <w:rPr>
          <w:rFonts w:ascii="Arial" w:hAnsi="Arial" w:eastAsia="Arial"/>
          <w:b w:val="0"/>
          <w:i/>
          <w:sz w:val="24"/>
        </w:rPr>
        <w:t>S. japonicum</w:t>
      </w:r>
      <w:r>
        <w:rPr>
          <w:rFonts w:ascii="Arial" w:hAnsi="Arial" w:eastAsia="Arial"/>
          <w:b w:val="0"/>
          <w:i w:val="0"/>
          <w:sz w:val="24"/>
        </w:rPr>
        <w:t xml:space="preserve"> presumed = endemic-area cohort, species not confirmed. Overlap groups are defined in Supplementary Table S6. Five further reports could not be obtained and were excluded (Supplementary Table S2). Ge 2023, Zhou 2025, and Pan 2022 are preprints. Madbouly 2007 and Zalata 2005 concern </w:t>
      </w:r>
      <w:r>
        <w:rPr>
          <w:rFonts w:ascii="Arial" w:hAnsi="Arial" w:eastAsia="Arial"/>
          <w:b w:val="0"/>
          <w:i/>
          <w:sz w:val="24"/>
        </w:rPr>
        <w:t>S. mansoni</w:t>
      </w:r>
      <w:r>
        <w:rPr>
          <w:rFonts w:ascii="Arial" w:hAnsi="Arial" w:eastAsia="Arial"/>
          <w:b w:val="0"/>
          <w:i w:val="0"/>
          <w:sz w:val="24"/>
        </w:rPr>
        <w:t xml:space="preserve"> and were analysed separately.</w:t>
      </w:r>
    </w:p>
    <w:p>
      <w:r>
        <w:rPr>
          <w:rFonts w:ascii="Arial" w:hAnsi="Arial" w:eastAsia="Arial"/>
          <w:b/>
          <w:i w:val="0"/>
          <w:sz w:val="24"/>
        </w:rPr>
        <w:t>Figure 2.</w:t>
      </w:r>
      <w:r>
        <w:rPr>
          <w:rFonts w:ascii="Arial" w:hAnsi="Arial" w:eastAsia="Arial"/>
          <w:b w:val="0"/>
          <w:i w:val="0"/>
          <w:sz w:val="24"/>
        </w:rPr>
        <w:t xml:space="preserve"> Chronological landscape of the 25 included reports. Bars show recruitment periods; diamonds show publication year. Right column: SACC/NSACC sample sizes (NR, not reported; dash, SACC-only cohort). Labels give city or province.</w:t>
      </w:r>
    </w:p>
    <w:p>
      <w:r>
        <w:rPr>
          <w:rFonts w:ascii="Arial" w:hAnsi="Arial" w:eastAsia="Arial"/>
          <w:b/>
          <w:i w:val="0"/>
          <w:sz w:val="24"/>
        </w:rPr>
        <w:t>Table 2.</w:t>
      </w:r>
      <w:r>
        <w:rPr>
          <w:rFonts w:ascii="Arial" w:hAnsi="Arial" w:eastAsia="Arial"/>
          <w:b w:val="0"/>
          <w:i w:val="0"/>
          <w:sz w:val="24"/>
        </w:rPr>
        <w:t xml:space="preserve"> Clinicopathological outcomes by study: events/total in SACC vs NSACC Only the report used for each outcome within an overlap group is shown (Supplementary Table S6). -, not reported or taken from another report of the same cohort. LN+, lymph-node metastasis; M1, distant metastasis (stage IV where M stage was not given separately); PNI, perineural invasion. Definitions differ between studies (see notes in the extraction file).</w:t>
      </w:r>
    </w:p>
    <w:p>
      <w:r>
        <w:rPr>
          <w:rFonts w:ascii="Arial" w:hAnsi="Arial" w:eastAsia="Arial"/>
          <w:b/>
          <w:i w:val="0"/>
          <w:sz w:val="24"/>
        </w:rPr>
        <w:t>Figure 3.</w:t>
      </w:r>
      <w:r>
        <w:rPr>
          <w:rFonts w:ascii="Arial" w:hAnsi="Arial" w:eastAsia="Arial"/>
          <w:b w:val="0"/>
          <w:i w:val="0"/>
          <w:sz w:val="24"/>
        </w:rPr>
        <w:t xml:space="preserve"> Clinicopathological phenotype of SACC versus NSACC: pooled odds ratios (random effects, REML) with 95% confidence intervals for each outcome with at least two independent cohorts. Red, primary outcomes; blue, secondary outcomes. Study-level forest plots are in the Supplementary Material.</w:t>
      </w:r>
    </w:p>
    <w:p>
      <w:r>
        <w:rPr>
          <w:rFonts w:ascii="Arial" w:hAnsi="Arial" w:eastAsia="Arial"/>
          <w:b/>
          <w:i w:val="0"/>
          <w:sz w:val="24"/>
        </w:rPr>
        <w:t>Table 3.</w:t>
      </w:r>
      <w:r>
        <w:rPr>
          <w:rFonts w:ascii="Arial" w:hAnsi="Arial" w:eastAsia="Arial"/>
          <w:b w:val="0"/>
          <w:i w:val="0"/>
          <w:sz w:val="24"/>
        </w:rPr>
        <w:t xml:space="preserve"> Molecular evidence map for SACC versus NSACC All Qingpu reports (Wang 2021, Wang 2023, Pan 2020, Cheng 2023, Chai 2026) describe one cohort; each biomarker appears once. Biomarkers were pooled only with at least two independent internal-comparator cohorts. Rows marked </w:t>
      </w:r>
      <w:r>
        <w:rPr>
          <w:rFonts w:ascii="Arial" w:hAnsi="Arial" w:eastAsia="Arial"/>
          <w:b w:val="0"/>
          <w:i/>
          <w:sz w:val="24"/>
        </w:rPr>
        <w:t>S. mansoni</w:t>
      </w:r>
      <w:r>
        <w:rPr>
          <w:rFonts w:ascii="Arial" w:hAnsi="Arial" w:eastAsia="Arial"/>
          <w:b w:val="0"/>
          <w:i w:val="0"/>
          <w:sz w:val="24"/>
        </w:rPr>
        <w:t xml:space="preserve"> (Madbouly 2007, Zalata 2005) are shown for completeness and were not pooled with </w:t>
      </w:r>
      <w:r>
        <w:rPr>
          <w:rFonts w:ascii="Arial" w:hAnsi="Arial" w:eastAsia="Arial"/>
          <w:b w:val="0"/>
          <w:i/>
          <w:sz w:val="24"/>
        </w:rPr>
        <w:t>S. japonicum</w:t>
      </w:r>
      <w:r>
        <w:rPr>
          <w:rFonts w:ascii="Arial" w:hAnsi="Arial" w:eastAsia="Arial"/>
          <w:b w:val="0"/>
          <w:i w:val="0"/>
          <w:sz w:val="24"/>
        </w:rPr>
        <w:t>.</w:t>
      </w:r>
    </w:p>
    <w:p>
      <w:r>
        <w:rPr>
          <w:rFonts w:ascii="Arial" w:hAnsi="Arial" w:eastAsia="Arial"/>
          <w:b/>
          <w:i w:val="0"/>
          <w:sz w:val="24"/>
        </w:rPr>
        <w:t>Figure 6.</w:t>
      </w:r>
      <w:r>
        <w:rPr>
          <w:rFonts w:ascii="Arial" w:hAnsi="Arial" w:eastAsia="Arial"/>
          <w:b w:val="0"/>
          <w:i w:val="0"/>
          <w:sz w:val="24"/>
        </w:rPr>
        <w:t xml:space="preserve"> Molecular phenotype: pooled odds ratio for the only biomarker reported by two independent cohorts with internal comparators (KRAS mutation). All other biomarkers are mapped in Table 3.</w:t>
      </w:r>
    </w:p>
    <w:p>
      <w:r>
        <w:rPr>
          <w:rFonts w:ascii="Arial" w:hAnsi="Arial" w:eastAsia="Arial"/>
          <w:b/>
          <w:i w:val="0"/>
          <w:sz w:val="24"/>
        </w:rPr>
        <w:t>Figure 4.</w:t>
      </w:r>
      <w:r>
        <w:rPr>
          <w:rFonts w:ascii="Arial" w:hAnsi="Arial" w:eastAsia="Arial"/>
          <w:b w:val="0"/>
          <w:i w:val="0"/>
          <w:sz w:val="24"/>
        </w:rPr>
        <w:t xml:space="preserve"> Overall survival in SACC versus NSACC. Hazard ratios with 95% CI; multivariable-adjusted and unadjusted/derived estimates are pooled separately (random effects, REML). Source: P1, adjusted HR reported; P2, unadjusted HR reported; P3, derived from log-rank P and events or from 5-year survival proportions.</w:t>
      </w:r>
    </w:p>
    <w:p>
      <w:r>
        <w:rPr>
          <w:rFonts w:ascii="Arial" w:hAnsi="Arial" w:eastAsia="Arial"/>
          <w:b/>
          <w:i w:val="0"/>
          <w:sz w:val="24"/>
        </w:rPr>
        <w:t>Figure 5.</w:t>
      </w:r>
      <w:r>
        <w:rPr>
          <w:rFonts w:ascii="Arial" w:hAnsi="Arial" w:eastAsia="Arial"/>
          <w:b w:val="0"/>
          <w:i w:val="0"/>
          <w:sz w:val="24"/>
        </w:rPr>
        <w:t xml:space="preserve"> Disease-free/recurrence-free survival in SACC versus NSACC (hazard ratios, random effects).</w:t>
      </w:r>
    </w:p>
    <w:p>
      <w:r>
        <w:rPr>
          <w:rFonts w:ascii="Arial" w:hAnsi="Arial" w:eastAsia="Arial"/>
          <w:b/>
          <w:i w:val="0"/>
          <w:sz w:val="24"/>
        </w:rPr>
        <w:t>Table 5.</w:t>
      </w:r>
      <w:r>
        <w:rPr>
          <w:rFonts w:ascii="Arial" w:hAnsi="Arial" w:eastAsia="Arial"/>
          <w:b w:val="0"/>
          <w:i w:val="0"/>
          <w:sz w:val="24"/>
        </w:rPr>
        <w:t xml:space="preserve"> Within-SACC prognostic factors SACC-only analyses; not combined with the SACC-versus-NSACC comparison. Wang 2021 and Wang 2023 report P = 0.045 for HRs whose 95% CI includes 1. Factors from the Qingpu cohort (Wang 2021, Wang 2023, Pan 2020, Cheng 2023) describe the same patients.</w:t>
      </w:r>
    </w:p>
    <w:p>
      <w:r>
        <w:rPr>
          <w:rFonts w:ascii="Arial" w:hAnsi="Arial" w:eastAsia="Arial"/>
          <w:b/>
          <w:i w:val="0"/>
          <w:sz w:val="24"/>
        </w:rPr>
        <w:t>Table 4.</w:t>
      </w:r>
      <w:r>
        <w:rPr>
          <w:rFonts w:ascii="Arial" w:hAnsi="Arial" w:eastAsia="Arial"/>
          <w:b w:val="0"/>
          <w:i w:val="0"/>
          <w:sz w:val="24"/>
        </w:rPr>
        <w:t xml:space="preserve"> Summary of meta-analyses: SACC versus NSACC Random-effects models with REML estimation; </w:t>
      </w:r>
      <w:r>
        <w:rPr>
          <w:rFonts w:ascii="Arial" w:hAnsi="Arial" w:eastAsia="Arial"/>
          <w:b w:val="0"/>
          <w:i/>
          <w:sz w:val="24"/>
        </w:rPr>
        <w:t>S. japonicum</w:t>
      </w:r>
      <w:r>
        <w:rPr>
          <w:rFonts w:ascii="Arial" w:hAnsi="Arial" w:eastAsia="Arial"/>
          <w:b w:val="0"/>
          <w:i w:val="0"/>
          <w:sz w:val="24"/>
        </w:rPr>
        <w:t xml:space="preserve"> (presumed) cohorts; one report per overlap group per outcome. HR &gt; 1 and OR &gt; 1 indicate higher hazard or higher odds in SACC; MD &gt; 0, older SACC patients. Generated from output/tables/Table4_meta_analysis_summary.csv. GRADE: certainty starts low for observational evidence; reasons for rating down are given in Supplementary Table S4b.</w:t>
      </w:r>
    </w:p>
    <w:p>
      <w:r>
        <w:rPr>
          <w:rFonts w:ascii="Arial" w:hAnsi="Arial" w:eastAsia="Arial"/>
          <w:b/>
          <w:i w:val="0"/>
          <w:sz w:val="24"/>
        </w:rPr>
        <w:t>Figure 7.</w:t>
      </w:r>
      <w:r>
        <w:rPr>
          <w:rFonts w:ascii="Arial" w:hAnsi="Arial" w:eastAsia="Arial"/>
          <w:b w:val="0"/>
          <w:i w:val="0"/>
          <w:sz w:val="24"/>
        </w:rPr>
        <w:t xml:space="preserve"> Evidence heat map. For each report (columns) and feature (rows), the direction reported in SACC relative to NSACC: higher, lower, no significant difference, or not reported. For survival rows, 'higher' means a higher hazard (worse survival) in SACC. Reports from the same cohort used for different outcomes are shown separately.</w:t>
      </w:r>
    </w:p>
    <w:p>
      <w:r>
        <w:rPr>
          <w:rFonts w:ascii="Arial" w:hAnsi="Arial" w:eastAsia="Arial"/>
          <w:b/>
          <w:i w:val="0"/>
          <w:sz w:val="24"/>
        </w:rPr>
        <w:t>Table 6.</w:t>
      </w:r>
      <w:r>
        <w:rPr>
          <w:rFonts w:ascii="Arial" w:hAnsi="Arial" w:eastAsia="Arial"/>
          <w:b w:val="0"/>
          <w:i w:val="0"/>
          <w:sz w:val="24"/>
        </w:rPr>
        <w:t xml:space="preserve"> Phenotype matrix: is SACC distinct? Direction classified from Table 4 (95% CI excluding no difference); strength = GRADE certainty. Formerly classified automatically from Table 4 before GRADE: Moderate, &gt;= 3 cohorts, 95% CI excluding no difference, I² &lt; 50%; Limited, fewer cohorts or imprecise; Inconsistent, I² &gt;= 75%. 'Strong' is reserved for findings with moderate/high GRADE certainty and is not yet assigned.</w:t>
      </w:r>
    </w:p>
    <w:p>
      <w:r>
        <w:rPr>
          <w:rFonts w:ascii="Arial" w:hAnsi="Arial" w:eastAsia="Arial"/>
          <w:b/>
          <w:i w:val="0"/>
          <w:sz w:val="24"/>
        </w:rPr>
        <w:t>Figure 8.</w:t>
      </w:r>
      <w:r>
        <w:rPr>
          <w:rFonts w:ascii="Arial" w:hAnsi="Arial" w:eastAsia="Arial"/>
          <w:b w:val="0"/>
          <w:i w:val="0"/>
          <w:sz w:val="24"/>
        </w:rPr>
        <w:t xml:space="preserve"> Conceptual model of how chronic </w:t>
      </w:r>
      <w:r>
        <w:rPr>
          <w:rFonts w:ascii="Arial" w:hAnsi="Arial" w:eastAsia="Arial"/>
          <w:b w:val="0"/>
          <w:i/>
          <w:sz w:val="24"/>
        </w:rPr>
        <w:t>S. japonicum</w:t>
      </w:r>
      <w:r>
        <w:rPr>
          <w:rFonts w:ascii="Arial" w:hAnsi="Arial" w:eastAsia="Arial"/>
          <w:b w:val="0"/>
          <w:i w:val="0"/>
          <w:sz w:val="24"/>
        </w:rPr>
        <w:t xml:space="preserve"> infection might relate to colorectal carcinogenesis and a possible SACC phenotype. Solid arrows: established histopathology. Dashed arrows: hypothesised steps not confirmed in human SACC. Grey boxes: supporting observations with the type of evidence stated; numbers are references. The figure does not imply that </w:t>
      </w:r>
      <w:r>
        <w:rPr>
          <w:rFonts w:ascii="Arial" w:hAnsi="Arial" w:eastAsia="Arial"/>
          <w:b w:val="0"/>
          <w:i/>
          <w:sz w:val="24"/>
        </w:rPr>
        <w:t>S. japonicum</w:t>
      </w:r>
      <w:r>
        <w:rPr>
          <w:rFonts w:ascii="Arial" w:hAnsi="Arial" w:eastAsia="Arial"/>
          <w:b w:val="0"/>
          <w:i w:val="0"/>
          <w:sz w:val="24"/>
        </w:rPr>
        <w:t xml:space="preserve"> causes CRC.</w:t>
      </w:r>
      <w:r>
        <w:rPr>
          <w:rFonts w:ascii="Arial" w:hAnsi="Arial" w:eastAsia="Arial"/>
          <w:b w:val="0"/>
          <w:i w:val="0"/>
          <w:sz w:val="24"/>
          <w:vertAlign w:val="superscript"/>
        </w:rPr>
        <w:t>3,5,18,40-43,48,50,53-55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