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Legends</w:t>
      </w:r>
    </w:p>
    <w:p>
      <w:r>
        <w:rPr>
          <w:rFonts w:ascii="Arial" w:hAnsi="Arial" w:eastAsia="Arial"/>
          <w:b w:val="0"/>
          <w:i w:val="0"/>
          <w:sz w:val="24"/>
        </w:rPr>
        <w:t>Figure and table legends (as embedded in the manuscript)</w:t>
      </w:r>
    </w:p>
    <w:p>
      <w:r>
        <w:rPr>
          <w:rFonts w:ascii="Arial" w:hAnsi="Arial" w:eastAsia="Arial"/>
          <w:b/>
          <w:i w:val="0"/>
          <w:sz w:val="24"/>
        </w:rPr>
        <w:t>Figure 1.</w:t>
      </w:r>
      <w:r>
        <w:rPr>
          <w:rFonts w:ascii="Arial" w:hAnsi="Arial" w:eastAsia="Arial"/>
          <w:b w:val="0"/>
          <w:i w:val="0"/>
          <w:sz w:val="24"/>
        </w:rPr>
        <w:t xml:space="preserve"> PRISMA 2020 flow diagram of study selection. Record counts are entered from verified screening logs.</w:t>
      </w:r>
    </w:p>
    <w:p>
      <w:r>
        <w:rPr>
          <w:rFonts w:ascii="Arial" w:hAnsi="Arial" w:eastAsia="Arial"/>
          <w:b/>
          <w:i w:val="0"/>
          <w:sz w:val="24"/>
        </w:rPr>
        <w:t>Table 1.</w:t>
      </w:r>
      <w:r>
        <w:rPr>
          <w:rFonts w:ascii="Arial" w:hAnsi="Arial" w:eastAsia="Arial"/>
          <w:b w:val="0"/>
          <w:i w:val="0"/>
          <w:sz w:val="24"/>
        </w:rPr>
        <w:t xml:space="preserve"> Characteristics of identified studies Values are from bibliographic records and published abstracts identified on 2026-10-05 and must be confirmed against full texts before submission. NR, not retrieved; *, species presumed from an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>-endemic setting, to be confirmed; overlap groups G1-G8 are defined in Supplementary Table S6.</w:t>
      </w:r>
    </w:p>
    <w:p>
      <w:r>
        <w:rPr>
          <w:rFonts w:ascii="Arial" w:hAnsi="Arial" w:eastAsia="Arial"/>
          <w:b/>
          <w:i w:val="0"/>
          <w:sz w:val="24"/>
        </w:rPr>
        <w:t>Figure 2.</w:t>
      </w:r>
      <w:r>
        <w:rPr>
          <w:rFonts w:ascii="Arial" w:hAnsi="Arial" w:eastAsia="Arial"/>
          <w:b w:val="0"/>
          <w:i w:val="0"/>
          <w:sz w:val="24"/>
        </w:rPr>
        <w:t xml:space="preserve"> Chronological landscape of identified studies. Bars show recruitment periods where reported; diamonds show publication year. Right column: SACC/NSACC sample sizes (NR, not reported; dash, SACC-only cohort). Labels give city/province.</w:t>
      </w:r>
    </w:p>
    <w:p>
      <w:r>
        <w:rPr>
          <w:rFonts w:ascii="Arial" w:hAnsi="Arial" w:eastAsia="Arial"/>
          <w:b/>
          <w:i w:val="0"/>
          <w:sz w:val="24"/>
        </w:rPr>
        <w:t>Table 2.</w:t>
      </w:r>
      <w:r>
        <w:rPr>
          <w:rFonts w:ascii="Arial" w:hAnsi="Arial" w:eastAsia="Arial"/>
          <w:b w:val="0"/>
          <w:i w:val="0"/>
          <w:sz w:val="24"/>
        </w:rPr>
        <w:t xml:space="preserve"> Clinicopathological outcomes available by study (screening stage) A, outcome mentioned in the abstract; ?, availability to be determined from the full text. This table will be replaced by extracted SACC and NSACC counts (Supplementary Table S3) after full-text extraction.</w:t>
      </w:r>
    </w:p>
    <w:p>
      <w:r>
        <w:rPr>
          <w:rFonts w:ascii="Arial" w:hAnsi="Arial" w:eastAsia="Arial"/>
          <w:b/>
          <w:i w:val="0"/>
          <w:sz w:val="24"/>
        </w:rPr>
        <w:t>Figure 3.</w:t>
      </w:r>
      <w:r>
        <w:rPr>
          <w:rFonts w:ascii="Arial" w:hAnsi="Arial" w:eastAsia="Arial"/>
          <w:b w:val="0"/>
          <w:i w:val="0"/>
          <w:sz w:val="24"/>
        </w:rPr>
        <w:t xml:space="preserve"> Clinicopathological phenotype of SACC versus NSACC: pooled odds ratios (random effects, REML) with 95% confidence intervals for each outcome with at least two independent cohorts. Red, primary outcomes; blue, secondary outcomes. Study-level forest plots are provided in the Supplementary Material.</w:t>
      </w:r>
    </w:p>
    <w:p>
      <w:r>
        <w:rPr>
          <w:rFonts w:ascii="Arial" w:hAnsi="Arial" w:eastAsia="Arial"/>
          <w:b/>
          <w:i w:val="0"/>
          <w:sz w:val="24"/>
        </w:rPr>
        <w:t>Table 3.</w:t>
      </w:r>
      <w:r>
        <w:rPr>
          <w:rFonts w:ascii="Arial" w:hAnsi="Arial" w:eastAsia="Arial"/>
          <w:b w:val="0"/>
          <w:i w:val="0"/>
          <w:sz w:val="24"/>
        </w:rPr>
        <w:t xml:space="preserve"> Molecular evidence map for SACC versus NSACC Screening-stage map; sample sizes and directions are to be verified from full texts. Pooled effects are computed only for biomarkers with at least two comparable internal-comparator studies.</w:t>
      </w:r>
    </w:p>
    <w:p>
      <w:r>
        <w:rPr>
          <w:rFonts w:ascii="Arial" w:hAnsi="Arial" w:eastAsia="Arial"/>
          <w:b/>
          <w:i w:val="0"/>
          <w:sz w:val="24"/>
        </w:rPr>
        <w:t>Figure 6.</w:t>
      </w:r>
      <w:r>
        <w:rPr>
          <w:rFonts w:ascii="Arial" w:hAnsi="Arial" w:eastAsia="Arial"/>
          <w:b w:val="0"/>
          <w:i w:val="0"/>
          <w:sz w:val="24"/>
        </w:rPr>
        <w:t xml:space="preserve"> Molecular phenotype. Pooled odds ratios for biomarkers reported by at least two comparable studies, and evidence map for biomarkers that could not be pooled.</w:t>
      </w:r>
    </w:p>
    <w:p>
      <w:r>
        <w:rPr>
          <w:rFonts w:ascii="Arial" w:hAnsi="Arial" w:eastAsia="Arial"/>
          <w:b/>
          <w:i w:val="0"/>
          <w:sz w:val="24"/>
        </w:rPr>
        <w:t>Figure 4.</w:t>
      </w:r>
      <w:r>
        <w:rPr>
          <w:rFonts w:ascii="Arial" w:hAnsi="Arial" w:eastAsia="Arial"/>
          <w:b w:val="0"/>
          <w:i w:val="0"/>
          <w:sz w:val="24"/>
        </w:rPr>
        <w:t xml:space="preserve"> Overall survival in SACC versus NSACC. Hazard ratios with 95% CI; multivariable-adjusted and unadjusted/derived estimates are pooled separately. Source column: P1, adjusted HR reported; P2, unadjusted HR reported; P3, derived from survival statistics; P4, reconstructed from Kaplan-Meier curves.</w:t>
      </w:r>
    </w:p>
    <w:p>
      <w:r>
        <w:rPr>
          <w:rFonts w:ascii="Arial" w:hAnsi="Arial" w:eastAsia="Arial"/>
          <w:b/>
          <w:i w:val="0"/>
          <w:sz w:val="24"/>
        </w:rPr>
        <w:t>Figure 5.</w:t>
      </w:r>
      <w:r>
        <w:rPr>
          <w:rFonts w:ascii="Arial" w:hAnsi="Arial" w:eastAsia="Arial"/>
          <w:b w:val="0"/>
          <w:i w:val="0"/>
          <w:sz w:val="24"/>
        </w:rPr>
        <w:t xml:space="preserve"> Disease-free/recurrence-free survival in SACC versus NSACC (hazard ratios, random effects).</w:t>
      </w:r>
    </w:p>
    <w:p>
      <w:r>
        <w:rPr>
          <w:rFonts w:ascii="Arial" w:hAnsi="Arial" w:eastAsia="Arial"/>
          <w:b/>
          <w:i w:val="0"/>
          <w:sz w:val="24"/>
        </w:rPr>
        <w:t>Table 5.</w:t>
      </w:r>
      <w:r>
        <w:rPr>
          <w:rFonts w:ascii="Arial" w:hAnsi="Arial" w:eastAsia="Arial"/>
          <w:b w:val="0"/>
          <w:i w:val="0"/>
          <w:sz w:val="24"/>
        </w:rPr>
        <w:t xml:space="preserve"> Within-SACC prognostic factors SACC-only analyses; not combined with the SACC-versus-NSACC comparison. 'Reported finding' paraphrases the published abstract and must be checked against the full text; HRs are to be extracted.</w:t>
      </w:r>
    </w:p>
    <w:p>
      <w:r>
        <w:rPr>
          <w:rFonts w:ascii="Arial" w:hAnsi="Arial" w:eastAsia="Arial"/>
          <w:b/>
          <w:i w:val="0"/>
          <w:sz w:val="24"/>
        </w:rPr>
        <w:t>Table 4.</w:t>
      </w:r>
      <w:r>
        <w:rPr>
          <w:rFonts w:ascii="Arial" w:hAnsi="Arial" w:eastAsia="Arial"/>
          <w:b w:val="0"/>
          <w:i w:val="0"/>
          <w:sz w:val="24"/>
        </w:rPr>
        <w:t xml:space="preserve"> Summary of meta-analyses: SACC versus NSACC Random-effects models with REML estimation. HR &gt; 1 and OR &gt; 1 indicate higher hazard or higher odds in SACC. Rows are filled automatically from output/tables/Table4_meta_analysis_summary.csv; outcomes with fewer than two independent cohorts are reported narratively.</w:t>
      </w:r>
    </w:p>
    <w:p>
      <w:r>
        <w:rPr>
          <w:rFonts w:ascii="Arial" w:hAnsi="Arial" w:eastAsia="Arial"/>
          <w:b/>
          <w:i w:val="0"/>
          <w:sz w:val="24"/>
        </w:rPr>
        <w:t>Figure 7.</w:t>
      </w:r>
      <w:r>
        <w:rPr>
          <w:rFonts w:ascii="Arial" w:hAnsi="Arial" w:eastAsia="Arial"/>
          <w:b w:val="0"/>
          <w:i w:val="0"/>
          <w:sz w:val="24"/>
        </w:rPr>
        <w:t xml:space="preserve"> Evidence heat map. For each study (columns) and feature (rows), the reported direction in SACC relative to NSACC: higher, lower, no significant difference, or not reported.</w:t>
      </w:r>
    </w:p>
    <w:p>
      <w:r>
        <w:rPr>
          <w:rFonts w:ascii="Arial" w:hAnsi="Arial" w:eastAsia="Arial"/>
          <w:b/>
          <w:i w:val="0"/>
          <w:sz w:val="24"/>
        </w:rPr>
        <w:t>Table 6.</w:t>
      </w:r>
      <w:r>
        <w:rPr>
          <w:rFonts w:ascii="Arial" w:hAnsi="Arial" w:eastAsia="Arial"/>
          <w:b w:val="0"/>
          <w:i w:val="0"/>
          <w:sz w:val="24"/>
        </w:rPr>
        <w:t xml:space="preserve"> Phenotype matrix: is SACC distinct? Strong: &gt;= 3 independent cohorts, consistent direction, low-moderate risk of bias, moderate/high GRADE. Moderate: &gt;= 2 cohorts, consistent direction, low GRADE. Limited: single cohort or imprecise pooled estimate. Inconsistent: cohorts disagree in direction.</w:t>
      </w:r>
    </w:p>
    <w:p>
      <w:r>
        <w:rPr>
          <w:rFonts w:ascii="Arial" w:hAnsi="Arial" w:eastAsia="Arial"/>
          <w:b/>
          <w:i w:val="0"/>
          <w:sz w:val="24"/>
        </w:rPr>
        <w:t>Figure 8.</w:t>
      </w:r>
      <w:r>
        <w:rPr>
          <w:rFonts w:ascii="Arial" w:hAnsi="Arial" w:eastAsia="Arial"/>
          <w:b w:val="0"/>
          <w:i w:val="0"/>
          <w:sz w:val="24"/>
        </w:rPr>
        <w:t xml:space="preserve"> Conceptual model of how chronic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infection might relate to colorectal carcinogenesis and a possible SACC phenotype. Solid arrows: established histopathology. Dashed black arrows: hypothesised steps not confirmed in human SACC. Grey boxes: supporting observations with the type of evidence stated; numbers are references. The figure does not imply that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causes CRC.</w:t>
      </w:r>
      <w:r>
        <w:rPr>
          <w:rFonts w:ascii="Arial" w:hAnsi="Arial" w:eastAsia="Arial"/>
          <w:b w:val="0"/>
          <w:i w:val="0"/>
          <w:sz w:val="24"/>
          <w:vertAlign w:val="superscript"/>
        </w:rPr>
        <w:t>3,5,18,34-37,41,44-47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