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i w:val="0"/>
          <w:sz w:val="24"/>
        </w:rPr>
        <w:t>Highlights</w:t>
      </w:r>
    </w:p>
    <w:p>
      <w:r>
        <w:rPr>
          <w:rFonts w:ascii="Arial" w:hAnsi="Arial" w:eastAsia="Arial"/>
          <w:b w:val="0"/>
          <w:i w:val="0"/>
          <w:sz w:val="24"/>
        </w:rPr>
        <w:t>Highlights (to be finalised after analysis)</w:t>
      </w:r>
    </w:p>
    <w:p>
      <w:r>
        <w:rPr>
          <w:rFonts w:ascii="Arial" w:hAnsi="Arial" w:eastAsia="Arial"/>
          <w:b w:val="0"/>
          <w:i w:val="0"/>
          <w:sz w:val="24"/>
        </w:rPr>
        <w:t xml:space="preserve">- Systematic synthesis comparing schistosomiasis-associated and non-schistosomal colorectal cancer, with </w:t>
      </w:r>
      <w:r>
        <w:rPr>
          <w:rFonts w:ascii="Arial" w:hAnsi="Arial" w:eastAsia="Arial"/>
          <w:b w:val="0"/>
          <w:i/>
          <w:sz w:val="24"/>
        </w:rPr>
        <w:t>S. japonicum</w:t>
      </w:r>
      <w:r>
        <w:rPr>
          <w:rFonts w:ascii="Arial" w:hAnsi="Arial" w:eastAsia="Arial"/>
          <w:b w:val="0"/>
          <w:i w:val="0"/>
          <w:sz w:val="24"/>
        </w:rPr>
        <w:t xml:space="preserve"> analysed separately from other species.</w:t>
      </w:r>
    </w:p>
    <w:p>
      <w:r>
        <w:rPr>
          <w:rFonts w:ascii="Arial" w:hAnsi="Arial" w:eastAsia="Arial"/>
          <w:b w:val="0"/>
          <w:i w:val="0"/>
          <w:sz w:val="24"/>
        </w:rPr>
        <w:t>- Overlapping hospital cohorts identified and each patient counted once per outcome; the largest cohort (31,153 patients) assessed in leave-out analyses.</w:t>
      </w:r>
    </w:p>
    <w:p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 w:val="0"/>
          <w:i w:val="0"/>
          <w:sz w:val="24"/>
          <w:highlight w:val="yellow"/>
        </w:rPr>
        <w:t>[Primary pooled finding on survival TO BE ADDED]</w:t>
      </w:r>
    </w:p>
    <w:p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 w:val="0"/>
          <w:i w:val="0"/>
          <w:sz w:val="24"/>
          <w:highlight w:val="yellow"/>
        </w:rPr>
        <w:t>[Primary pooled finding on stage/metastasis TO BE ADDED]</w:t>
      </w:r>
    </w:p>
    <w:p>
      <w:r>
        <w:rPr>
          <w:rFonts w:ascii="Arial" w:hAnsi="Arial" w:eastAsia="Arial"/>
          <w:b w:val="0"/>
          <w:i w:val="0"/>
          <w:sz w:val="24"/>
        </w:rPr>
        <w:t xml:space="preserve">- Molecular data are sparse; no comparative cohort from the Philippines or Indonesia was identified </w:t>
      </w:r>
      <w:r>
        <w:rPr>
          <w:rFonts w:ascii="Arial" w:hAnsi="Arial" w:eastAsia="Arial"/>
          <w:b w:val="0"/>
          <w:i w:val="0"/>
          <w:sz w:val="24"/>
          <w:highlight w:val="yellow"/>
        </w:rPr>
        <w:t>[TO BE CONFIRMED]</w:t>
      </w:r>
      <w:r>
        <w:rPr>
          <w:rFonts w:ascii="Arial" w:hAnsi="Arial" w:eastAsia="Arial"/>
          <w:b w:val="0"/>
          <w:i w:val="0"/>
          <w:sz w:val="24"/>
        </w:rPr>
        <w:t>.</w:t>
      </w:r>
    </w:p>
    <w:p/>
    <w:p>
      <w:r>
        <w:rPr>
          <w:rFonts w:ascii="Arial" w:hAnsi="Arial" w:eastAsia="Arial"/>
          <w:b w:val="0"/>
          <w:i w:val="0"/>
          <w:sz w:val="24"/>
        </w:rPr>
        <w:t>Graphical abstract: use Figure 8 (conceptual model) on the left and Figure 3 (pooled phenotype forest plot) on the right, with the title and one-sentence conclusion. To be assembled once Figure 3 exists.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 w:before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