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i w:val="0"/>
          <w:sz w:val="24"/>
        </w:rPr>
        <w:t>Legends</w:t>
      </w:r>
    </w:p>
    <w:p>
      <w:r>
        <w:rPr>
          <w:rFonts w:ascii="Arial" w:hAnsi="Arial" w:eastAsia="Arial"/>
          <w:b w:val="0"/>
          <w:i w:val="0"/>
          <w:sz w:val="24"/>
        </w:rPr>
        <w:t>Figure and table legends (as embedded in the manuscript)</w:t>
      </w:r>
    </w:p>
    <w:p>
      <w:r>
        <w:rPr>
          <w:rFonts w:ascii="Arial" w:hAnsi="Arial" w:eastAsia="Arial"/>
          <w:b/>
          <w:i w:val="0"/>
          <w:sz w:val="24"/>
        </w:rPr>
        <w:t>Figure 1.</w:t>
      </w:r>
      <w:r>
        <w:rPr>
          <w:rFonts w:ascii="Arial" w:hAnsi="Arial" w:eastAsia="Arial"/>
          <w:b w:val="0"/>
          <w:i w:val="0"/>
          <w:sz w:val="24"/>
        </w:rPr>
        <w:t xml:space="preserve"> PRISMA 2020 flow diagram of study selection (interim: PubMed only; the remaining databases are still to be searched). Counts are read from data/analysis_ready/prisma_counts.csv.</w:t>
      </w:r>
    </w:p>
    <w:p>
      <w:r>
        <w:rPr>
          <w:rFonts w:ascii="Arial" w:hAnsi="Arial" w:eastAsia="Arial"/>
          <w:b/>
          <w:i w:val="0"/>
          <w:sz w:val="24"/>
        </w:rPr>
        <w:t>Table 1.</w:t>
      </w:r>
      <w:r>
        <w:rPr>
          <w:rFonts w:ascii="Arial" w:hAnsi="Arial" w:eastAsia="Arial"/>
          <w:b w:val="0"/>
          <w:i w:val="0"/>
          <w:sz w:val="24"/>
        </w:rPr>
        <w:t xml:space="preserve"> Characteristics of identified studies Extracted from full texts on 5 October 2026 except where marked 'no full text'. NR, not reported; mo, months;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presumed = endemic-area cohort, species not confirmed. Overlap groups are defined in Supplementary Table S6. Six further comparative reports identified by the PubMed search could not be retrieved (Supplementary Table S2).</w:t>
      </w:r>
    </w:p>
    <w:p>
      <w:r>
        <w:rPr>
          <w:rFonts w:ascii="Arial" w:hAnsi="Arial" w:eastAsia="Arial"/>
          <w:b/>
          <w:i w:val="0"/>
          <w:sz w:val="24"/>
        </w:rPr>
        <w:t>Figure 2.</w:t>
      </w:r>
      <w:r>
        <w:rPr>
          <w:rFonts w:ascii="Arial" w:hAnsi="Arial" w:eastAsia="Arial"/>
          <w:b w:val="0"/>
          <w:i w:val="0"/>
          <w:sz w:val="24"/>
        </w:rPr>
        <w:t xml:space="preserve"> Chronological landscape of identified studies. Bars show recruitment periods where reported; diamonds show publication year. Right column: SACC/NSACC sample sizes (NR, not reported; dash, SACC-only cohort). Labels give city/province.</w:t>
      </w:r>
    </w:p>
    <w:p>
      <w:r>
        <w:rPr>
          <w:rFonts w:ascii="Arial" w:hAnsi="Arial" w:eastAsia="Arial"/>
          <w:b/>
          <w:i w:val="0"/>
          <w:sz w:val="24"/>
        </w:rPr>
        <w:t>Table 2.</w:t>
      </w:r>
      <w:r>
        <w:rPr>
          <w:rFonts w:ascii="Arial" w:hAnsi="Arial" w:eastAsia="Arial"/>
          <w:b w:val="0"/>
          <w:i w:val="0"/>
          <w:sz w:val="24"/>
        </w:rPr>
        <w:t xml:space="preserve"> Clinicopathological outcomes by study: events/total in SACC vs NSACC Only the report used for each outcome within an overlap group is shown (Supplementary Table S6). -, not reported or taken from another report of the same cohort. LN+, lymph-node metastasis; M1, distant metastasis (stage IV where M stage was not given separately); PNI, perineural invasion. Definitions differ between studies (see notes in the extraction file).</w:t>
      </w:r>
    </w:p>
    <w:p>
      <w:r>
        <w:rPr>
          <w:rFonts w:ascii="Arial" w:hAnsi="Arial" w:eastAsia="Arial"/>
          <w:b/>
          <w:i w:val="0"/>
          <w:sz w:val="24"/>
        </w:rPr>
        <w:t>Figure 3.</w:t>
      </w:r>
      <w:r>
        <w:rPr>
          <w:rFonts w:ascii="Arial" w:hAnsi="Arial" w:eastAsia="Arial"/>
          <w:b w:val="0"/>
          <w:i w:val="0"/>
          <w:sz w:val="24"/>
        </w:rPr>
        <w:t xml:space="preserve"> Clinicopathological phenotype of SACC versus NSACC: pooled odds ratios (random effects, REML) with 95% confidence intervals for each outcome with at least two independent cohorts. Red, primary outcomes; blue, secondary outcomes. Study-level forest plots are provided in the Supplementary Material.</w:t>
      </w:r>
    </w:p>
    <w:p>
      <w:r>
        <w:rPr>
          <w:rFonts w:ascii="Arial" w:hAnsi="Arial" w:eastAsia="Arial"/>
          <w:b/>
          <w:i w:val="0"/>
          <w:sz w:val="24"/>
        </w:rPr>
        <w:t>Table 3.</w:t>
      </w:r>
      <w:r>
        <w:rPr>
          <w:rFonts w:ascii="Arial" w:hAnsi="Arial" w:eastAsia="Arial"/>
          <w:b w:val="0"/>
          <w:i w:val="0"/>
          <w:sz w:val="24"/>
        </w:rPr>
        <w:t xml:space="preserve"> Molecular evidence map for SACC versus NSACC All Qingpu reports (Wang 2021, Wang 2023, Pan 2020, Cheng 2023, Chai 2026) describe one cohort; each biomarker appears once. Biomarkers were pooled only with at least two independent internal-comparator cohorts. Abstract-only data on </w:t>
      </w:r>
      <w:r>
        <w:rPr>
          <w:rFonts w:ascii="Arial" w:hAnsi="Arial" w:eastAsia="Arial"/>
          <w:b w:val="0"/>
          <w:i/>
          <w:sz w:val="24"/>
        </w:rPr>
        <w:t>S. mansoni</w:t>
      </w:r>
      <w:r>
        <w:rPr>
          <w:rFonts w:ascii="Arial" w:hAnsi="Arial" w:eastAsia="Arial"/>
          <w:b w:val="0"/>
          <w:i w:val="0"/>
          <w:sz w:val="24"/>
        </w:rPr>
        <w:t xml:space="preserve"> (Madbouly 2007: p53 32/40 vs 8/20; MSI 3/40 vs 1/20) are not shown in the analysis.</w:t>
      </w:r>
    </w:p>
    <w:p>
      <w:r>
        <w:rPr>
          <w:rFonts w:ascii="Arial" w:hAnsi="Arial" w:eastAsia="Arial"/>
          <w:b/>
          <w:i w:val="0"/>
          <w:sz w:val="24"/>
        </w:rPr>
        <w:t>Figure 6.</w:t>
      </w:r>
      <w:r>
        <w:rPr>
          <w:rFonts w:ascii="Arial" w:hAnsi="Arial" w:eastAsia="Arial"/>
          <w:b w:val="0"/>
          <w:i w:val="0"/>
          <w:sz w:val="24"/>
        </w:rPr>
        <w:t xml:space="preserve"> Molecular phenotype. Pooled odds ratios for biomarkers reported by at least two comparable studies, and evidence map for biomarkers that could not be pooled.</w:t>
      </w:r>
    </w:p>
    <w:p>
      <w:r>
        <w:rPr>
          <w:rFonts w:ascii="Arial" w:hAnsi="Arial" w:eastAsia="Arial"/>
          <w:b/>
          <w:i w:val="0"/>
          <w:sz w:val="24"/>
        </w:rPr>
        <w:t>Figure 4.</w:t>
      </w:r>
      <w:r>
        <w:rPr>
          <w:rFonts w:ascii="Arial" w:hAnsi="Arial" w:eastAsia="Arial"/>
          <w:b w:val="0"/>
          <w:i w:val="0"/>
          <w:sz w:val="24"/>
        </w:rPr>
        <w:t xml:space="preserve"> Overall survival in SACC versus NSACC. Hazard ratios with 95% CI; multivariable-adjusted and unadjusted/derived estimates are pooled separately. Source column: P1, adjusted HR reported; P2, unadjusted HR reported; P3, derived from survival statistics; P4, reconstructed from Kaplan-Meier curves.</w:t>
      </w:r>
    </w:p>
    <w:p>
      <w:r>
        <w:rPr>
          <w:rFonts w:ascii="Arial" w:hAnsi="Arial" w:eastAsia="Arial"/>
          <w:b/>
          <w:i w:val="0"/>
          <w:sz w:val="24"/>
        </w:rPr>
        <w:t>Figure 5.</w:t>
      </w:r>
      <w:r>
        <w:rPr>
          <w:rFonts w:ascii="Arial" w:hAnsi="Arial" w:eastAsia="Arial"/>
          <w:b w:val="0"/>
          <w:i w:val="0"/>
          <w:sz w:val="24"/>
        </w:rPr>
        <w:t xml:space="preserve"> Disease-free/recurrence-free survival in SACC versus NSACC (hazard ratios, random effects).</w:t>
      </w:r>
    </w:p>
    <w:p>
      <w:r>
        <w:rPr>
          <w:rFonts w:ascii="Arial" w:hAnsi="Arial" w:eastAsia="Arial"/>
          <w:b/>
          <w:i w:val="0"/>
          <w:sz w:val="24"/>
        </w:rPr>
        <w:t>Table 5.</w:t>
      </w:r>
      <w:r>
        <w:rPr>
          <w:rFonts w:ascii="Arial" w:hAnsi="Arial" w:eastAsia="Arial"/>
          <w:b w:val="0"/>
          <w:i w:val="0"/>
          <w:sz w:val="24"/>
        </w:rPr>
        <w:t xml:space="preserve"> Within-SACC prognostic factors SACC-only analyses; not combined with the SACC-versus-NSACC comparison. Wang 2021 and Wang 2023 report P = 0.045 for HRs whose 95% CI includes 1. Factors from the Qingpu cohort (Wang 2021, Wang 2023, Pan 2020, Cheng 2023) describe the same patients.</w:t>
      </w:r>
    </w:p>
    <w:p>
      <w:r>
        <w:rPr>
          <w:rFonts w:ascii="Arial" w:hAnsi="Arial" w:eastAsia="Arial"/>
          <w:b/>
          <w:i w:val="0"/>
          <w:sz w:val="24"/>
        </w:rPr>
        <w:t>Table 4.</w:t>
      </w:r>
      <w:r>
        <w:rPr>
          <w:rFonts w:ascii="Arial" w:hAnsi="Arial" w:eastAsia="Arial"/>
          <w:b w:val="0"/>
          <w:i w:val="0"/>
          <w:sz w:val="24"/>
        </w:rPr>
        <w:t xml:space="preserve"> Summary of meta-analyses: SACC versus NSACC Random-effects models with REML estimation;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(presumed) cohorts; one report per overlap group per outcome. HR &gt; 1 and OR &gt; 1 indicate higher hazard or higher odds in SACC; MD &gt; 0, older SACC patients. Generated from output/tables/Table4_meta_analysis_summary.csv. GRADE ratings require two reviewers and are pending.</w:t>
      </w:r>
    </w:p>
    <w:p>
      <w:r>
        <w:rPr>
          <w:rFonts w:ascii="Arial" w:hAnsi="Arial" w:eastAsia="Arial"/>
          <w:b/>
          <w:i w:val="0"/>
          <w:sz w:val="24"/>
        </w:rPr>
        <w:t>Figure 7.</w:t>
      </w:r>
      <w:r>
        <w:rPr>
          <w:rFonts w:ascii="Arial" w:hAnsi="Arial" w:eastAsia="Arial"/>
          <w:b w:val="0"/>
          <w:i w:val="0"/>
          <w:sz w:val="24"/>
        </w:rPr>
        <w:t xml:space="preserve"> Evidence heat map. For each study (columns) and feature (rows), the reported direction in SACC relative to NSACC: higher, lower, no significant difference, or not reported.</w:t>
      </w:r>
    </w:p>
    <w:p>
      <w:r>
        <w:rPr>
          <w:rFonts w:ascii="Arial" w:hAnsi="Arial" w:eastAsia="Arial"/>
          <w:b/>
          <w:i w:val="0"/>
          <w:sz w:val="24"/>
        </w:rPr>
        <w:t>Table 6.</w:t>
      </w:r>
      <w:r>
        <w:rPr>
          <w:rFonts w:ascii="Arial" w:hAnsi="Arial" w:eastAsia="Arial"/>
          <w:b w:val="0"/>
          <w:i w:val="0"/>
          <w:sz w:val="24"/>
        </w:rPr>
        <w:t xml:space="preserve"> Phenotype matrix: is SACC distinct? (provisional) Classified automatically from Table 4 before GRADE: Moderate, &gt;= 3 cohorts, 95% CI excluding no difference, I² &lt; 50%; Limited, fewer cohorts or imprecise; Inconsistent, I² &gt;= 75%. 'Strong' is reserved for findings with moderate/high GRADE certainty and is not yet assigned.</w:t>
      </w:r>
    </w:p>
    <w:p>
      <w:r>
        <w:rPr>
          <w:rFonts w:ascii="Arial" w:hAnsi="Arial" w:eastAsia="Arial"/>
          <w:b/>
          <w:i w:val="0"/>
          <w:sz w:val="24"/>
        </w:rPr>
        <w:t>Figure 8.</w:t>
      </w:r>
      <w:r>
        <w:rPr>
          <w:rFonts w:ascii="Arial" w:hAnsi="Arial" w:eastAsia="Arial"/>
          <w:b w:val="0"/>
          <w:i w:val="0"/>
          <w:sz w:val="24"/>
        </w:rPr>
        <w:t xml:space="preserve"> Conceptual model of how chronic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infection might relate to colorectal carcinogenesis and a possible SACC phenotype. Solid arrows: established histopathology. Dashed black arrows: hypothesised steps not confirmed in human SACC. Grey boxes: supporting observations with the type of evidence stated; numbers are references. The figure does not imply that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causes CRC.</w:t>
      </w:r>
      <w:r>
        <w:rPr>
          <w:rFonts w:ascii="Arial" w:hAnsi="Arial" w:eastAsia="Arial"/>
          <w:b w:val="0"/>
          <w:i w:val="0"/>
          <w:sz w:val="24"/>
          <w:vertAlign w:val="superscript"/>
        </w:rPr>
        <w:t>3,5,18,35-38,42,43,52-54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