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28"/>
        </w:rPr>
        <w:t>Defining Schistosomiasis-Associated Colorectal Cancer: A Systematic Analysis and Meta-analysis of Clinicopathological, Molecular, and Prognostic Features</w:t>
      </w:r>
    </w:p>
    <w:p>
      <w:pPr>
        <w:jc w:val="both"/>
      </w:pPr>
      <w:r>
        <w:rPr>
          <w:rFonts w:ascii="Arial" w:hAnsi="Arial" w:eastAsia="Arial"/>
          <w:b w:val="0"/>
          <w:i w:val="0"/>
          <w:sz w:val="24"/>
        </w:rPr>
        <w:t xml:space="preserve">Jayson Cagadas Pasaol, DVM, PhD,¹ </w:t>
      </w:r>
      <w:r>
        <w:rPr>
          <w:rFonts w:ascii="Arial" w:hAnsi="Arial" w:eastAsia="Arial"/>
          <w:b w:val="0"/>
          <w:i w:val="0"/>
          <w:sz w:val="24"/>
          <w:highlight w:val="yellow"/>
        </w:rPr>
        <w:t>[Co-author names and degrees TO BE ADDED]</w:t>
      </w:r>
    </w:p>
    <w:p>
      <w:pPr>
        <w:jc w:val="both"/>
      </w:pPr>
      <w:r>
        <w:rPr>
          <w:rFonts w:ascii="Arial" w:hAnsi="Arial" w:eastAsia="Arial"/>
          <w:b w:val="0"/>
          <w:i w:val="0"/>
          <w:sz w:val="24"/>
        </w:rPr>
        <w:t>¹</w:t>
      </w:r>
      <w:r>
        <w:rPr>
          <w:rFonts w:ascii="Arial" w:hAnsi="Arial" w:eastAsia="Arial"/>
          <w:b w:val="0"/>
          <w:i w:val="0"/>
          <w:sz w:val="24"/>
          <w:highlight w:val="yellow"/>
        </w:rPr>
        <w:t>[Department, Institution, City, Country TO BE ADDED]</w:t>
      </w:r>
    </w:p>
    <w:p>
      <w:pPr>
        <w:jc w:val="both"/>
      </w:pPr>
      <w:r>
        <w:rPr>
          <w:rFonts w:ascii="Arial" w:hAnsi="Arial" w:eastAsia="Arial"/>
          <w:b w:val="0"/>
          <w:i w:val="0"/>
          <w:sz w:val="24"/>
        </w:rPr>
        <w:t xml:space="preserve">Corresponding author: Jayson Cagadas Pasaol, DVM, PhD; </w:t>
      </w:r>
      <w:r>
        <w:rPr>
          <w:rFonts w:ascii="Arial" w:hAnsi="Arial" w:eastAsia="Arial"/>
          <w:b w:val="0"/>
          <w:i w:val="0"/>
          <w:sz w:val="24"/>
          <w:highlight w:val="yellow"/>
        </w:rPr>
        <w:t>[postal address TO BE ADDED]</w:t>
      </w:r>
      <w:r>
        <w:rPr>
          <w:rFonts w:ascii="Arial" w:hAnsi="Arial" w:eastAsia="Arial"/>
          <w:b w:val="0"/>
          <w:i w:val="0"/>
          <w:sz w:val="24"/>
        </w:rPr>
        <w:t xml:space="preserve">; email: jaysonpasaolrmt082@gmail.com; ORCID: </w:t>
      </w:r>
      <w:r>
        <w:rPr>
          <w:rFonts w:ascii="Arial" w:hAnsi="Arial" w:eastAsia="Arial"/>
          <w:b w:val="0"/>
          <w:i w:val="0"/>
          <w:sz w:val="24"/>
          <w:highlight w:val="yellow"/>
        </w:rPr>
        <w:t>[TO BE ADDED]</w:t>
      </w:r>
    </w:p>
    <w:p>
      <w:pPr>
        <w:jc w:val="both"/>
      </w:pPr>
      <w:r>
        <w:rPr>
          <w:rFonts w:ascii="Arial" w:hAnsi="Arial" w:eastAsia="Arial"/>
          <w:b w:val="0"/>
          <w:i w:val="0"/>
          <w:sz w:val="24"/>
        </w:rPr>
        <w:t>Running title: Schistosomiasis-associated colorectal cancer phenotype</w:t>
      </w:r>
    </w:p>
    <w:p>
      <w:pPr>
        <w:jc w:val="both"/>
      </w:pPr>
      <w:r>
        <w:rPr>
          <w:rFonts w:ascii="Arial" w:hAnsi="Arial" w:eastAsia="Arial"/>
          <w:b w:val="0"/>
          <w:i w:val="0"/>
          <w:sz w:val="24"/>
        </w:rPr>
        <w:t xml:space="preserve">Word count: abstract </w:t>
      </w:r>
      <w:r>
        <w:rPr>
          <w:rFonts w:ascii="Arial" w:hAnsi="Arial" w:eastAsia="Arial"/>
          <w:b w:val="0"/>
          <w:i w:val="0"/>
          <w:sz w:val="24"/>
          <w:highlight w:val="yellow"/>
        </w:rPr>
        <w:t>[TO BE CALCULATED]</w:t>
      </w:r>
      <w:r>
        <w:rPr>
          <w:rFonts w:ascii="Arial" w:hAnsi="Arial" w:eastAsia="Arial"/>
          <w:b w:val="0"/>
          <w:i w:val="0"/>
          <w:sz w:val="24"/>
        </w:rPr>
        <w:t xml:space="preserve">; main text </w:t>
      </w:r>
      <w:r>
        <w:rPr>
          <w:rFonts w:ascii="Arial" w:hAnsi="Arial" w:eastAsia="Arial"/>
          <w:b w:val="0"/>
          <w:i w:val="0"/>
          <w:sz w:val="24"/>
          <w:highlight w:val="yellow"/>
        </w:rPr>
        <w:t>[TO BE CALCULATED]</w:t>
      </w:r>
      <w:r>
        <w:rPr>
          <w:rFonts w:ascii="Arial" w:hAnsi="Arial" w:eastAsia="Arial"/>
          <w:b w:val="0"/>
          <w:i w:val="0"/>
          <w:sz w:val="24"/>
        </w:rPr>
        <w:t>. Tables: 5. Figures: 8. Supplementary tables: 6.</w:t>
      </w:r>
    </w:p>
    <w:p>
      <w:pPr>
        <w:jc w:val="both"/>
      </w:pPr>
      <w:r>
        <w:rPr>
          <w:rFonts w:ascii="Arial" w:hAnsi="Arial" w:eastAsia="Arial"/>
          <w:b w:val="0"/>
          <w:i w:val="0"/>
          <w:sz w:val="24"/>
        </w:rPr>
        <w:t xml:space="preserve">Keywords: </w:t>
      </w:r>
      <w:r>
        <w:rPr>
          <w:rFonts w:ascii="Arial" w:hAnsi="Arial" w:eastAsia="Arial"/>
          <w:b w:val="0"/>
          <w:i/>
          <w:sz w:val="24"/>
        </w:rPr>
        <w:t>Schistosoma japonicum</w:t>
      </w:r>
      <w:r>
        <w:rPr>
          <w:rFonts w:ascii="Arial" w:hAnsi="Arial" w:eastAsia="Arial"/>
          <w:b w:val="0"/>
          <w:i w:val="0"/>
          <w:sz w:val="24"/>
        </w:rPr>
        <w:t>; schistosomiasis; colorectal neoplasms; prognosis; neoplasm staging; meta-analysis</w:t>
      </w:r>
    </w:p>
    <w:p>
      <w:r>
        <w:br w:type="page"/>
      </w:r>
    </w:p>
    <w:p>
      <w:pPr>
        <w:spacing w:before="240"/>
      </w:pPr>
      <w:r>
        <w:rPr>
          <w:rFonts w:ascii="Arial" w:hAnsi="Arial" w:eastAsia="Arial"/>
          <w:b/>
          <w:i w:val="0"/>
          <w:sz w:val="24"/>
        </w:rPr>
        <w:t>ABSTRACT</w:t>
      </w:r>
    </w:p>
    <w:p>
      <w:pPr>
        <w:jc w:val="both"/>
      </w:pPr>
      <w:r>
        <w:rPr>
          <w:rFonts w:ascii="Arial" w:hAnsi="Arial" w:eastAsia="Arial"/>
          <w:b/>
          <w:i w:val="0"/>
          <w:sz w:val="24"/>
        </w:rPr>
        <w:t>Background and Objective.</w:t>
      </w:r>
      <w:r>
        <w:rPr>
          <w:rFonts w:ascii="Arial" w:hAnsi="Arial" w:eastAsia="Arial"/>
          <w:b w:val="0"/>
          <w:i w:val="0"/>
          <w:sz w:val="24"/>
        </w:rPr>
        <w:t xml:space="preserve"> </w:t>
      </w:r>
      <w:r>
        <w:rPr>
          <w:rFonts w:ascii="Arial" w:hAnsi="Arial" w:eastAsia="Arial"/>
          <w:b w:val="0"/>
          <w:i/>
          <w:sz w:val="24"/>
        </w:rPr>
        <w:t>Schistosoma japonicum</w:t>
      </w:r>
      <w:r>
        <w:rPr>
          <w:rFonts w:ascii="Arial" w:hAnsi="Arial" w:eastAsia="Arial"/>
          <w:b w:val="0"/>
          <w:i w:val="0"/>
          <w:sz w:val="24"/>
        </w:rPr>
        <w:t xml:space="preserve"> infection has long been linked to colorectal cancer in endemic Asia, but whether schistosomiasis-associated colorectal cancer (SACC) is a reproducibly distinct clinical entity is unresolved. This study aimed to systematically quantify the clinicopathological, molecular, and prognostic differences between SACC and non-schistosomiasis-associated colorectal cancer (NSACC) and to determine whether the available evidence supports a distinct schistosomal colorectal cancer phenotype.</w:t>
      </w:r>
    </w:p>
    <w:p>
      <w:pPr>
        <w:jc w:val="both"/>
      </w:pPr>
      <w:r>
        <w:rPr>
          <w:rFonts w:ascii="Arial" w:hAnsi="Arial" w:eastAsia="Arial"/>
          <w:b/>
          <w:i w:val="0"/>
          <w:sz w:val="24"/>
        </w:rPr>
        <w:t>Methods.</w:t>
      </w:r>
      <w:r>
        <w:rPr>
          <w:rFonts w:ascii="Arial" w:hAnsi="Arial" w:eastAsia="Arial"/>
          <w:b w:val="0"/>
          <w:i w:val="0"/>
          <w:sz w:val="24"/>
        </w:rPr>
        <w:t xml:space="preserve"> MEDLINE/PubMed, Scopus, Web of Science Core Collection, Embase, CNKI, Wanfang, and SinoMed were searched from inception to </w:t>
      </w:r>
      <w:r>
        <w:rPr>
          <w:rFonts w:ascii="Arial" w:hAnsi="Arial" w:eastAsia="Arial"/>
          <w:b w:val="0"/>
          <w:i w:val="0"/>
          <w:sz w:val="24"/>
          <w:highlight w:val="yellow"/>
        </w:rPr>
        <w:t>[SEARCH DATE TO BE ADDED]</w:t>
      </w:r>
      <w:r>
        <w:rPr>
          <w:rFonts w:ascii="Arial" w:hAnsi="Arial" w:eastAsia="Arial"/>
          <w:b w:val="0"/>
          <w:i w:val="0"/>
          <w:sz w:val="24"/>
        </w:rPr>
        <w:t>, supplemented by citation searching, without language restriction. Observational studies comparing SACC with NSACC were eligible; SACC-only cohorts contributed to a separate within-SACC prognostic analysis. Two reviewers independently screened records, extracted data, and assessed study quality with the Newcastle-Ottawa Scale. Overlapping cohorts were identified and each patient was counted once per outcome. Odds ratios (OR), mean differences, and hazard ratios (HR) were pooled with random-effects models (restricted maximum likelihood). Species were analysed separately. Certainty of evidence was rated with GRADE.</w:t>
      </w:r>
    </w:p>
    <w:p>
      <w:pPr>
        <w:jc w:val="both"/>
      </w:pPr>
      <w:r>
        <w:rPr>
          <w:rFonts w:ascii="Arial" w:hAnsi="Arial" w:eastAsia="Arial"/>
          <w:b/>
          <w:i w:val="0"/>
          <w:sz w:val="24"/>
        </w:rPr>
        <w:t>Results.</w:t>
      </w:r>
      <w:r>
        <w:rPr>
          <w:rFonts w:ascii="Arial" w:hAnsi="Arial" w:eastAsia="Arial"/>
          <w:b w:val="0"/>
          <w:i w:val="0"/>
          <w:sz w:val="24"/>
        </w:rPr>
        <w:t xml:space="preserve"> In this interim analysis (PubMed only), 337 records were screened and 16 reports from seven independent Chinese comparative cohorts, one SACC-only cohort, and one genomic study were included; 12 potentially relevant reports could not be retrieved. SACC patients were more often male (OR 1.38 (95% CI 1.22-1.55); 6 cohorts; I² 0%) and older. Adjusted overall survival was worse in SACC (HR 1.76 (95% CI 1.06-2.91); 2 cohorts), but unadjusted estimates were inconsistent (HR 1.23 (95% CI 0.66-2.28); I² 90%) and adjusted disease-free survival did not differ (HR 1.32 (95% CI 0.81-2.15)). Stage III-IV disease was less frequent (OR 0.84 (95% CI 0.74-0.97)), but not after exclusion of the largest cohort; lymph-node metastasis (OR 0.97 (95% CI 0.76-1.23)), distant metastasis (OR 0.99 (95% CI 0.51-1.93)), differentiation, and vascular and perineural invasion did not differ. KRAS mutation was more frequent in SACC (OR 1.41 (95% CI 1.18-1.69); 2 cohorts); other biomarkers came from single cohorts. Certainty of evidence </w:t>
      </w:r>
      <w:r>
        <w:rPr>
          <w:rFonts w:ascii="Arial" w:hAnsi="Arial" w:eastAsia="Arial"/>
          <w:b w:val="0"/>
          <w:i w:val="0"/>
          <w:sz w:val="24"/>
          <w:highlight w:val="yellow"/>
        </w:rPr>
        <w:t>[TO BE RATED with GRADE]</w:t>
      </w:r>
      <w:r>
        <w:rPr>
          <w:rFonts w:ascii="Arial" w:hAnsi="Arial" w:eastAsia="Arial"/>
          <w:b w:val="0"/>
          <w:i w:val="0"/>
          <w:sz w:val="24"/>
        </w:rPr>
        <w:t>.</w:t>
      </w:r>
    </w:p>
    <w:p>
      <w:pPr>
        <w:jc w:val="both"/>
      </w:pPr>
      <w:r>
        <w:rPr>
          <w:rFonts w:ascii="Arial" w:hAnsi="Arial" w:eastAsia="Arial"/>
          <w:b/>
          <w:i w:val="0"/>
          <w:sz w:val="24"/>
        </w:rPr>
        <w:t>Conclusion.</w:t>
      </w:r>
      <w:r>
        <w:rPr>
          <w:rFonts w:ascii="Arial" w:hAnsi="Arial" w:eastAsia="Arial"/>
          <w:b w:val="0"/>
          <w:i w:val="0"/>
          <w:sz w:val="24"/>
        </w:rPr>
        <w:t xml:space="preserve"> </w:t>
      </w:r>
      <w:r>
        <w:rPr>
          <w:rFonts w:ascii="Arial" w:hAnsi="Arial" w:eastAsia="Arial"/>
          <w:b w:val="0"/>
          <w:i w:val="0"/>
          <w:sz w:val="24"/>
          <w:highlight w:val="yellow"/>
        </w:rPr>
        <w:t>[TO BE WRITTEN after analysis, using restrained wording; see Conclusion template.]</w:t>
      </w:r>
      <w:r>
        <w:rPr>
          <w:rFonts w:ascii="Arial" w:hAnsi="Arial" w:eastAsia="Arial"/>
          <w:b w:val="0"/>
          <w:i w:val="0"/>
          <w:sz w:val="24"/>
        </w:rPr>
        <w:t xml:space="preserve"> Prospective molecularly characterised cohorts from contemporary endemic settings are needed to determine whether these clinical differences reflect a biologically distinct form of colorectal carcinogenesis.</w:t>
      </w:r>
    </w:p>
    <w:p>
      <w:pPr>
        <w:jc w:val="both"/>
      </w:pPr>
      <w:r>
        <w:rPr>
          <w:rFonts w:ascii="Arial" w:hAnsi="Arial" w:eastAsia="Arial"/>
          <w:b/>
          <w:i w:val="0"/>
          <w:sz w:val="24"/>
        </w:rPr>
        <w:t>Registration.</w:t>
      </w:r>
      <w:r>
        <w:rPr>
          <w:rFonts w:ascii="Arial" w:hAnsi="Arial" w:eastAsia="Arial"/>
          <w:b w:val="0"/>
          <w:i w:val="0"/>
          <w:sz w:val="24"/>
        </w:rPr>
        <w:t xml:space="preserve"> </w:t>
      </w:r>
      <w:r>
        <w:rPr>
          <w:rFonts w:ascii="Arial" w:hAnsi="Arial" w:eastAsia="Arial"/>
          <w:b w:val="0"/>
          <w:i w:val="0"/>
          <w:sz w:val="24"/>
          <w:highlight w:val="yellow"/>
        </w:rPr>
        <w:t>[PROSPERO/OSF registration number TO BE ADDED, or a statement that the protocol was not registered.]</w:t>
      </w:r>
    </w:p>
    <w:p>
      <w:r>
        <w:br w:type="page"/>
      </w:r>
    </w:p>
    <w:p>
      <w:pPr>
        <w:spacing w:before="240"/>
      </w:pPr>
      <w:r>
        <w:rPr>
          <w:rFonts w:ascii="Arial" w:hAnsi="Arial" w:eastAsia="Arial"/>
          <w:b/>
          <w:i w:val="0"/>
          <w:sz w:val="24"/>
        </w:rPr>
        <w:t>INTRODUCTION</w:t>
      </w:r>
    </w:p>
    <w:p>
      <w:pPr>
        <w:jc w:val="both"/>
      </w:pPr>
      <w:r>
        <w:rPr>
          <w:rFonts w:ascii="Arial" w:hAnsi="Arial" w:eastAsia="Arial"/>
          <w:b w:val="0"/>
          <w:i w:val="0"/>
          <w:sz w:val="24"/>
        </w:rPr>
        <w:t>Colorectal cancer (CRC) is one of the most frequently diagnosed cancers and a leading cause of cancer death worldwide.</w:t>
      </w:r>
      <w:r>
        <w:rPr>
          <w:rFonts w:ascii="Arial" w:hAnsi="Arial" w:eastAsia="Arial"/>
          <w:b w:val="0"/>
          <w:i w:val="0"/>
          <w:sz w:val="24"/>
          <w:vertAlign w:val="superscript"/>
        </w:rPr>
        <w:t>1</w:t>
      </w:r>
      <w:r>
        <w:rPr>
          <w:rFonts w:ascii="Arial" w:hAnsi="Arial" w:eastAsia="Arial"/>
          <w:b w:val="0"/>
          <w:i w:val="0"/>
          <w:sz w:val="24"/>
        </w:rPr>
        <w:t xml:space="preserve"> A substantial share of the global cancer burden is attributable to infectious agents,</w:t>
      </w:r>
      <w:r>
        <w:rPr>
          <w:rFonts w:ascii="Arial" w:hAnsi="Arial" w:eastAsia="Arial"/>
          <w:b w:val="0"/>
          <w:i w:val="0"/>
          <w:sz w:val="24"/>
          <w:vertAlign w:val="superscript"/>
        </w:rPr>
        <w:t>2</w:t>
      </w:r>
      <w:r>
        <w:rPr>
          <w:rFonts w:ascii="Arial" w:hAnsi="Arial" w:eastAsia="Arial"/>
          <w:b w:val="0"/>
          <w:i w:val="0"/>
          <w:sz w:val="24"/>
        </w:rPr>
        <w:t xml:space="preserve"> and the International Agency for Research on Cancer (IARC) has classified infection with </w:t>
      </w:r>
      <w:r>
        <w:rPr>
          <w:rFonts w:ascii="Arial" w:hAnsi="Arial" w:eastAsia="Arial"/>
          <w:b w:val="0"/>
          <w:i/>
          <w:sz w:val="24"/>
        </w:rPr>
        <w:t>Schistosoma haematobium</w:t>
      </w:r>
      <w:r>
        <w:rPr>
          <w:rFonts w:ascii="Arial" w:hAnsi="Arial" w:eastAsia="Arial"/>
          <w:b w:val="0"/>
          <w:i w:val="0"/>
          <w:sz w:val="24"/>
        </w:rPr>
        <w:t xml:space="preserve"> as carcinogenic to humans (Group 1) and infection with </w:t>
      </w:r>
      <w:r>
        <w:rPr>
          <w:rFonts w:ascii="Arial" w:hAnsi="Arial" w:eastAsia="Arial"/>
          <w:b w:val="0"/>
          <w:i/>
          <w:sz w:val="24"/>
        </w:rPr>
        <w:t>Schistosoma japonicum</w:t>
      </w:r>
      <w:r>
        <w:rPr>
          <w:rFonts w:ascii="Arial" w:hAnsi="Arial" w:eastAsia="Arial"/>
          <w:b w:val="0"/>
          <w:i w:val="0"/>
          <w:sz w:val="24"/>
        </w:rPr>
        <w:t xml:space="preserve"> as possibly carcinogenic to humans (Group 2B).</w:t>
      </w:r>
      <w:r>
        <w:rPr>
          <w:rFonts w:ascii="Arial" w:hAnsi="Arial" w:eastAsia="Arial"/>
          <w:b w:val="0"/>
          <w:i w:val="0"/>
          <w:sz w:val="24"/>
          <w:vertAlign w:val="superscript"/>
        </w:rPr>
        <w:t>3,4</w:t>
      </w:r>
      <w:r>
        <w:rPr>
          <w:rFonts w:ascii="Arial" w:hAnsi="Arial" w:eastAsia="Arial"/>
          <w:b w:val="0"/>
          <w:i w:val="0"/>
          <w:sz w:val="24"/>
        </w:rPr>
        <w:t xml:space="preserve"> For CRC, the relevant paradigm is inflammation-associated carcinogenesis, in which long-standing tissue injury and repair precede neoplasia; schistosomiasis-associated CRC has been described as biologically analogous to colitis-associated CRC.</w:t>
      </w:r>
      <w:r>
        <w:rPr>
          <w:rFonts w:ascii="Arial" w:hAnsi="Arial" w:eastAsia="Arial"/>
          <w:b w:val="0"/>
          <w:i w:val="0"/>
          <w:sz w:val="24"/>
          <w:vertAlign w:val="superscript"/>
        </w:rPr>
        <w:t>5</w:t>
      </w:r>
    </w:p>
    <w:p>
      <w:pPr>
        <w:jc w:val="both"/>
      </w:pPr>
      <w:r>
        <w:rPr>
          <w:rFonts w:ascii="Arial" w:hAnsi="Arial" w:eastAsia="Arial"/>
          <w:b w:val="0"/>
          <w:i/>
          <w:sz w:val="24"/>
        </w:rPr>
        <w:t>Schistosoma japonicum</w:t>
      </w:r>
      <w:r>
        <w:rPr>
          <w:rFonts w:ascii="Arial" w:hAnsi="Arial" w:eastAsia="Arial"/>
          <w:b w:val="0"/>
          <w:i w:val="0"/>
          <w:sz w:val="24"/>
        </w:rPr>
        <w:t xml:space="preserve"> is a zoonotic blood fluke whose adult worms live in the mesenteric venous system. A large proportion of eggs is not excreted but becomes trapped in the intestinal wall and liver, where it provokes granulomatous inflammation and, with time, fibrosis and calcification.</w:t>
      </w:r>
      <w:r>
        <w:rPr>
          <w:rFonts w:ascii="Arial" w:hAnsi="Arial" w:eastAsia="Arial"/>
          <w:b w:val="0"/>
          <w:i w:val="0"/>
          <w:sz w:val="24"/>
          <w:vertAlign w:val="superscript"/>
        </w:rPr>
        <w:t>3,5</w:t>
      </w:r>
      <w:r>
        <w:rPr>
          <w:rFonts w:ascii="Arial" w:hAnsi="Arial" w:eastAsia="Arial"/>
          <w:b w:val="0"/>
          <w:i w:val="0"/>
          <w:sz w:val="24"/>
        </w:rPr>
        <w:t xml:space="preserve"> The parasite remains endemic in parts of China, the Philippines, and Indonesia.</w:t>
      </w:r>
      <w:r>
        <w:rPr>
          <w:rFonts w:ascii="Arial" w:hAnsi="Arial" w:eastAsia="Arial"/>
          <w:b w:val="0"/>
          <w:i w:val="0"/>
          <w:sz w:val="24"/>
          <w:vertAlign w:val="superscript"/>
        </w:rPr>
        <w:t>6</w:t>
      </w:r>
      <w:r>
        <w:rPr>
          <w:rFonts w:ascii="Arial" w:hAnsi="Arial" w:eastAsia="Arial"/>
          <w:b w:val="0"/>
          <w:i w:val="0"/>
          <w:sz w:val="24"/>
        </w:rPr>
        <w:t xml:space="preserve"> In the Philippines, transmission is focal and persists despite long-standing control programmes,</w:t>
      </w:r>
      <w:r>
        <w:rPr>
          <w:rFonts w:ascii="Arial" w:hAnsi="Arial" w:eastAsia="Arial"/>
          <w:b w:val="0"/>
          <w:i w:val="0"/>
          <w:sz w:val="24"/>
          <w:vertAlign w:val="superscript"/>
        </w:rPr>
        <w:t>7</w:t>
      </w:r>
      <w:r>
        <w:rPr>
          <w:rFonts w:ascii="Arial" w:hAnsi="Arial" w:eastAsia="Arial"/>
          <w:b w:val="0"/>
          <w:i w:val="0"/>
          <w:sz w:val="24"/>
        </w:rPr>
        <w:t xml:space="preserve"> and in Indonesia it is confined to a small number of villages in Central Sulawesi that are approaching elimination.</w:t>
      </w:r>
      <w:r>
        <w:rPr>
          <w:rFonts w:ascii="Arial" w:hAnsi="Arial" w:eastAsia="Arial"/>
          <w:b w:val="0"/>
          <w:i w:val="0"/>
          <w:sz w:val="24"/>
          <w:vertAlign w:val="superscript"/>
        </w:rPr>
        <w:t>8</w:t>
      </w:r>
      <w:r>
        <w:rPr>
          <w:rFonts w:ascii="Arial" w:hAnsi="Arial" w:eastAsia="Arial"/>
          <w:b w:val="0"/>
          <w:i w:val="0"/>
          <w:sz w:val="24"/>
        </w:rPr>
        <w:t xml:space="preserve"> Populations with past or current exposure therefore remain at risk of the chronic intestinal sequelae of infection.</w:t>
      </w:r>
    </w:p>
    <w:p>
      <w:pPr>
        <w:jc w:val="both"/>
      </w:pPr>
      <w:r>
        <w:rPr>
          <w:rFonts w:ascii="Arial" w:hAnsi="Arial" w:eastAsia="Arial"/>
          <w:b w:val="0"/>
          <w:i w:val="0"/>
          <w:sz w:val="24"/>
        </w:rPr>
        <w:t xml:space="preserve">Evidence linking </w:t>
      </w:r>
      <w:r>
        <w:rPr>
          <w:rFonts w:ascii="Arial" w:hAnsi="Arial" w:eastAsia="Arial"/>
          <w:b w:val="0"/>
          <w:i/>
          <w:sz w:val="24"/>
        </w:rPr>
        <w:t>S. japonicum</w:t>
      </w:r>
      <w:r>
        <w:rPr>
          <w:rFonts w:ascii="Arial" w:hAnsi="Arial" w:eastAsia="Arial"/>
          <w:b w:val="0"/>
          <w:i w:val="0"/>
          <w:sz w:val="24"/>
        </w:rPr>
        <w:t xml:space="preserve"> to colorectal neoplasia comes mainly from China. Epidemiological studies have produced inconsistent estimates: in an early study, the matched analysis reported in the abstract did not show a statistically significant increase in colon cancer risk,</w:t>
      </w:r>
      <w:r>
        <w:rPr>
          <w:rFonts w:ascii="Arial" w:hAnsi="Arial" w:eastAsia="Arial"/>
          <w:b w:val="0"/>
          <w:i w:val="0"/>
          <w:sz w:val="24"/>
          <w:vertAlign w:val="superscript"/>
        </w:rPr>
        <w:t>9</w:t>
      </w:r>
      <w:r>
        <w:rPr>
          <w:rFonts w:ascii="Arial" w:hAnsi="Arial" w:eastAsia="Arial"/>
          <w:b w:val="0"/>
          <w:i w:val="0"/>
          <w:sz w:val="24"/>
        </w:rPr>
        <w:t xml:space="preserve"> whereas a later matched case-control study in rural China reported an association between previous infection and colon cancer.</w:t>
      </w:r>
      <w:r>
        <w:rPr>
          <w:rFonts w:ascii="Arial" w:hAnsi="Arial" w:eastAsia="Arial"/>
          <w:b w:val="0"/>
          <w:i w:val="0"/>
          <w:sz w:val="24"/>
          <w:vertAlign w:val="superscript"/>
        </w:rPr>
        <w:t>10</w:t>
      </w:r>
      <w:r>
        <w:rPr>
          <w:rFonts w:ascii="Arial" w:hAnsi="Arial" w:eastAsia="Arial"/>
          <w:b w:val="0"/>
          <w:i w:val="0"/>
          <w:sz w:val="24"/>
        </w:rPr>
        <w:t xml:space="preserve"> Hospital-based series have also described a high frequency of digestive-tract malignancy among patients with schistosomiasis japonica.</w:t>
      </w:r>
      <w:r>
        <w:rPr>
          <w:rFonts w:ascii="Arial" w:hAnsi="Arial" w:eastAsia="Arial"/>
          <w:b w:val="0"/>
          <w:i w:val="0"/>
          <w:sz w:val="24"/>
          <w:vertAlign w:val="superscript"/>
        </w:rPr>
        <w:t>11</w:t>
      </w:r>
      <w:r>
        <w:rPr>
          <w:rFonts w:ascii="Arial" w:hAnsi="Arial" w:eastAsia="Arial"/>
          <w:b w:val="0"/>
          <w:i w:val="0"/>
          <w:sz w:val="24"/>
        </w:rPr>
        <w:t xml:space="preserve"> On the basis of this limited evidence, IARC did not classify </w:t>
      </w:r>
      <w:r>
        <w:rPr>
          <w:rFonts w:ascii="Arial" w:hAnsi="Arial" w:eastAsia="Arial"/>
          <w:b w:val="0"/>
          <w:i/>
          <w:sz w:val="24"/>
        </w:rPr>
        <w:t>S. japonicum</w:t>
      </w:r>
      <w:r>
        <w:rPr>
          <w:rFonts w:ascii="Arial" w:hAnsi="Arial" w:eastAsia="Arial"/>
          <w:b w:val="0"/>
          <w:i w:val="0"/>
          <w:sz w:val="24"/>
        </w:rPr>
        <w:t xml:space="preserve"> as a proven human carcinogen.</w:t>
      </w:r>
      <w:r>
        <w:rPr>
          <w:rFonts w:ascii="Arial" w:hAnsi="Arial" w:eastAsia="Arial"/>
          <w:b w:val="0"/>
          <w:i w:val="0"/>
          <w:sz w:val="24"/>
          <w:vertAlign w:val="superscript"/>
        </w:rPr>
        <w:t>3</w:t>
      </w:r>
      <w:r>
        <w:rPr>
          <w:rFonts w:ascii="Arial" w:hAnsi="Arial" w:eastAsia="Arial"/>
          <w:b w:val="0"/>
          <w:i w:val="0"/>
          <w:sz w:val="24"/>
        </w:rPr>
        <w:t xml:space="preserve"> These observational associations do not establish causation, and they address cancer risk rather than the features of the cancers that arise.</w:t>
      </w:r>
    </w:p>
    <w:p>
      <w:pPr>
        <w:jc w:val="both"/>
      </w:pPr>
      <w:r>
        <w:rPr>
          <w:rFonts w:ascii="Arial" w:hAnsi="Arial" w:eastAsia="Arial"/>
          <w:b w:val="0"/>
          <w:i w:val="0"/>
          <w:sz w:val="24"/>
        </w:rPr>
        <w:t>A separate clinical literature has compared patients with CRC with and without schistosomiasis. Several hospital cohorts have reported differences in age, sex, tumour site, T stage, or tumour markers,</w:t>
      </w:r>
      <w:r>
        <w:rPr>
          <w:rFonts w:ascii="Arial" w:hAnsi="Arial" w:eastAsia="Arial"/>
          <w:b w:val="0"/>
          <w:i w:val="0"/>
          <w:sz w:val="24"/>
          <w:vertAlign w:val="superscript"/>
        </w:rPr>
        <w:t>12-15</w:t>
      </w:r>
      <w:r>
        <w:rPr>
          <w:rFonts w:ascii="Arial" w:hAnsi="Arial" w:eastAsia="Arial"/>
          <w:b w:val="0"/>
          <w:i w:val="0"/>
          <w:sz w:val="24"/>
        </w:rPr>
        <w:t xml:space="preserve"> and some have reported less favourable survival among patients with schistosomiasis,</w:t>
      </w:r>
      <w:r>
        <w:rPr>
          <w:rFonts w:ascii="Arial" w:hAnsi="Arial" w:eastAsia="Arial"/>
          <w:b w:val="0"/>
          <w:i w:val="0"/>
          <w:sz w:val="24"/>
          <w:vertAlign w:val="superscript"/>
        </w:rPr>
        <w:t>13,16-18</w:t>
      </w:r>
      <w:r>
        <w:rPr>
          <w:rFonts w:ascii="Arial" w:hAnsi="Arial" w:eastAsia="Arial"/>
          <w:b w:val="0"/>
          <w:i w:val="0"/>
          <w:sz w:val="24"/>
        </w:rPr>
        <w:t xml:space="preserve"> whereas the largest cohort to date, 31,153 patients treated in Shanghai between 2001 and 2021, found that schistosomiasis was not an independent predictor of overall or disease-free survival after multivariable adjustment.</w:t>
      </w:r>
      <w:r>
        <w:rPr>
          <w:rFonts w:ascii="Arial" w:hAnsi="Arial" w:eastAsia="Arial"/>
          <w:b w:val="0"/>
          <w:i w:val="0"/>
          <w:sz w:val="24"/>
          <w:vertAlign w:val="superscript"/>
        </w:rPr>
        <w:t>19</w:t>
      </w:r>
      <w:r>
        <w:rPr>
          <w:rFonts w:ascii="Arial" w:hAnsi="Arial" w:eastAsia="Arial"/>
          <w:b w:val="0"/>
          <w:i w:val="0"/>
          <w:sz w:val="24"/>
        </w:rPr>
        <w:t xml:space="preserve"> Narrative reviews have described a characteristic phenotype that includes predilection for the sigmoid colon and rectum, multifocality, mucinous histology, and poor prognosis,</w:t>
      </w:r>
      <w:r>
        <w:rPr>
          <w:rFonts w:ascii="Arial" w:hAnsi="Arial" w:eastAsia="Arial"/>
          <w:b w:val="0"/>
          <w:i w:val="0"/>
          <w:sz w:val="24"/>
          <w:vertAlign w:val="superscript"/>
        </w:rPr>
        <w:t>5,20</w:t>
      </w:r>
      <w:r>
        <w:rPr>
          <w:rFonts w:ascii="Arial" w:hAnsi="Arial" w:eastAsia="Arial"/>
          <w:b w:val="0"/>
          <w:i w:val="0"/>
          <w:sz w:val="24"/>
        </w:rPr>
        <w:t xml:space="preserve"> but these descriptions have not been tested quantitatively. A recent meta-analysis addressed the prevalence of intestinal parasites among patients with CRC,</w:t>
      </w:r>
      <w:r>
        <w:rPr>
          <w:rFonts w:ascii="Arial" w:hAnsi="Arial" w:eastAsia="Arial"/>
          <w:b w:val="0"/>
          <w:i w:val="0"/>
          <w:sz w:val="24"/>
          <w:vertAlign w:val="superscript"/>
        </w:rPr>
        <w:t>21</w:t>
      </w:r>
      <w:r>
        <w:rPr>
          <w:rFonts w:ascii="Arial" w:hAnsi="Arial" w:eastAsia="Arial"/>
          <w:b w:val="0"/>
          <w:i w:val="0"/>
          <w:sz w:val="24"/>
        </w:rPr>
        <w:t xml:space="preserve"> which is a different question from whether schistosomiasis defines a distinct form of CRC.</w:t>
      </w:r>
    </w:p>
    <w:p>
      <w:pPr>
        <w:jc w:val="both"/>
      </w:pPr>
      <w:r>
        <w:rPr>
          <w:rFonts w:ascii="Arial" w:hAnsi="Arial" w:eastAsia="Arial"/>
          <w:b w:val="0"/>
          <w:i w:val="0"/>
          <w:sz w:val="24"/>
        </w:rPr>
        <w:t>Although schistosomiasis-associated colorectal cancer has been described for decades, whether it constitutes a reproducibly distinct clinicopathological and prognostic entity remains unresolved. Individual cohorts vary substantially in sample size, diagnostic criteria, patient characteristics, and reported outcomes, several reports appear to derive from the same institutions, and available molecular evidence has not been quantitatively synthesised. We therefore conducted a systematic analysis and meta-analysis to quantify the demographic, clinicopathological, molecular, and survival characteristics of schistosomiasis-associated colorectal cancer compared with non-schistosomal colorectal cancer.</w:t>
      </w:r>
    </w:p>
    <w:p>
      <w:pPr>
        <w:spacing w:before="240"/>
      </w:pPr>
      <w:r>
        <w:rPr>
          <w:rFonts w:ascii="Arial" w:hAnsi="Arial" w:eastAsia="Arial"/>
          <w:b/>
          <w:i w:val="0"/>
          <w:sz w:val="24"/>
        </w:rPr>
        <w:t>METHODS</w:t>
      </w:r>
    </w:p>
    <w:p>
      <w:r>
        <w:rPr>
          <w:rFonts w:ascii="Arial" w:hAnsi="Arial" w:eastAsia="Arial"/>
          <w:b/>
          <w:i w:val="0"/>
          <w:sz w:val="24"/>
        </w:rPr>
        <w:t>Study design and reporting framework</w:t>
      </w:r>
    </w:p>
    <w:p>
      <w:pPr>
        <w:jc w:val="both"/>
      </w:pPr>
      <w:r>
        <w:rPr>
          <w:rFonts w:ascii="Arial" w:hAnsi="Arial" w:eastAsia="Arial"/>
          <w:b w:val="0"/>
          <w:i w:val="0"/>
          <w:sz w:val="24"/>
        </w:rPr>
        <w:t>This systematic analysis and meta-analysis of observational studies is reported according to PRISMA 2020</w:t>
      </w:r>
      <w:r>
        <w:rPr>
          <w:rFonts w:ascii="Arial" w:hAnsi="Arial" w:eastAsia="Arial"/>
          <w:b w:val="0"/>
          <w:i w:val="0"/>
          <w:sz w:val="24"/>
          <w:vertAlign w:val="superscript"/>
        </w:rPr>
        <w:t>22</w:t>
      </w:r>
      <w:r>
        <w:rPr>
          <w:rFonts w:ascii="Arial" w:hAnsi="Arial" w:eastAsia="Arial"/>
          <w:b w:val="0"/>
          <w:i w:val="0"/>
          <w:sz w:val="24"/>
        </w:rPr>
        <w:t xml:space="preserve"> and, for the literature search, PRISMA-S.</w:t>
      </w:r>
      <w:r>
        <w:rPr>
          <w:rFonts w:ascii="Arial" w:hAnsi="Arial" w:eastAsia="Arial"/>
          <w:b w:val="0"/>
          <w:i w:val="0"/>
          <w:sz w:val="24"/>
          <w:vertAlign w:val="superscript"/>
        </w:rPr>
        <w:t>23</w:t>
      </w:r>
      <w:r>
        <w:rPr>
          <w:rFonts w:ascii="Arial" w:hAnsi="Arial" w:eastAsia="Arial"/>
          <w:b w:val="0"/>
          <w:i w:val="0"/>
          <w:sz w:val="24"/>
        </w:rPr>
        <w:t xml:space="preserve"> The completed PRISMA 2020 checklist is provided in the Supplementary Material. The review question was framed as: among patients with colorectal cancer, does schistosomiasis define a distinct clinicopathological, molecular, and prognostic phenotype? It was not designed to estimate the prevalence of schistosomiasis among patients with CRC or the risk of CRC after infection.</w:t>
      </w:r>
    </w:p>
    <w:p>
      <w:r>
        <w:rPr>
          <w:rFonts w:ascii="Arial" w:hAnsi="Arial" w:eastAsia="Arial"/>
          <w:b/>
          <w:i w:val="0"/>
          <w:sz w:val="24"/>
        </w:rPr>
        <w:t>Protocol and registration</w:t>
      </w:r>
    </w:p>
    <w:p>
      <w:pPr>
        <w:jc w:val="both"/>
      </w:pPr>
      <w:r>
        <w:rPr>
          <w:rFonts w:ascii="Arial" w:hAnsi="Arial" w:eastAsia="Arial"/>
          <w:b w:val="0"/>
          <w:i w:val="0"/>
          <w:sz w:val="24"/>
        </w:rPr>
        <w:t xml:space="preserve">The protocol, including eligibility criteria, outcomes, and analysis plan, was </w:t>
      </w:r>
      <w:r>
        <w:rPr>
          <w:rFonts w:ascii="Arial" w:hAnsi="Arial" w:eastAsia="Arial"/>
          <w:b w:val="0"/>
          <w:i w:val="0"/>
          <w:sz w:val="24"/>
          <w:highlight w:val="yellow"/>
        </w:rPr>
        <w:t>[registered in PROSPERO (CRDXXXXXXXXX) on DD Month YYYY / deposited on the Open Science Framework (doi:XXXX) on DD Month YYYY]</w:t>
      </w:r>
      <w:r>
        <w:rPr>
          <w:rFonts w:ascii="Arial" w:hAnsi="Arial" w:eastAsia="Arial"/>
          <w:b w:val="0"/>
          <w:i w:val="0"/>
          <w:sz w:val="24"/>
        </w:rPr>
        <w:t xml:space="preserve"> before full-text data extraction. </w:t>
      </w:r>
      <w:r>
        <w:rPr>
          <w:rFonts w:ascii="Arial" w:hAnsi="Arial" w:eastAsia="Arial"/>
          <w:b w:val="0"/>
          <w:i w:val="0"/>
          <w:sz w:val="24"/>
          <w:highlight w:val="yellow"/>
        </w:rPr>
        <w:t>[Deviations from the protocol TO BE LISTED, or state 'There were no deviations from the protocol.']</w:t>
      </w:r>
    </w:p>
    <w:p>
      <w:r>
        <w:rPr>
          <w:rFonts w:ascii="Arial" w:hAnsi="Arial" w:eastAsia="Arial"/>
          <w:b/>
          <w:i w:val="0"/>
          <w:sz w:val="24"/>
        </w:rPr>
        <w:t>Eligibility criteria</w:t>
      </w:r>
    </w:p>
    <w:p>
      <w:pPr>
        <w:jc w:val="both"/>
      </w:pPr>
      <w:r>
        <w:rPr>
          <w:rFonts w:ascii="Arial" w:hAnsi="Arial" w:eastAsia="Arial"/>
          <w:b w:val="0"/>
          <w:i w:val="0"/>
          <w:sz w:val="24"/>
        </w:rPr>
        <w:t>Eligibility followed a PECO framework. Population: adults with histologically or clinically confirmed colorectal adenocarcinoma or carcinoma. Exposure: current or previous intestinal schistosomiasis, ascertained by histological identification of schistosome eggs, pathology report, documented history, stool microscopy, serology, molecular testing, or a validated clinical diagnosis; the exact method used by each study was recorded. Comparator: patients with CRC without evidence, history, or pathological findings of schistosomiasis. Outcomes: clinicopathological, molecular, laboratory, and prognostic characteristics (see Outcome definitions).</w:t>
      </w:r>
    </w:p>
    <w:p>
      <w:pPr>
        <w:jc w:val="both"/>
      </w:pPr>
      <w:r>
        <w:rPr>
          <w:rFonts w:ascii="Arial" w:hAnsi="Arial" w:eastAsia="Arial"/>
          <w:b w:val="0"/>
          <w:i w:val="0"/>
          <w:sz w:val="24"/>
        </w:rPr>
        <w:t xml:space="preserve">We included retrospective or prospective cohorts, case-control studies, and comparative pathological series that reported extractable data for at least one outcome in patients with SACC and NSACC. Cohorts of SACC only were included solely in a separate within-SACC prognostic analysis and were never combined with the comparative analysis. We excluded case reports, case series without relevant comparative information, animal and in vitro studies, editorials, commentaries, narrative and systematic reviews (used only to identify primary studies), studies in which CRC could not be separated from other cancers or schistosomiasis status could not be determined, and duplicate reports of the same population for the same outcome. Population-based studies of CRC risk after schistosomiasis were catalogued separately and not combined with the phenotype analyses. No language restriction was applied; Chinese-language reports were assessed by a reviewer fluent in Chinese </w:t>
      </w:r>
      <w:r>
        <w:rPr>
          <w:rFonts w:ascii="Arial" w:hAnsi="Arial" w:eastAsia="Arial"/>
          <w:b w:val="0"/>
          <w:i w:val="0"/>
          <w:sz w:val="24"/>
          <w:highlight w:val="yellow"/>
        </w:rPr>
        <w:t>[NAME/INITIALS TO BE ADDED]</w:t>
      </w:r>
      <w:r>
        <w:rPr>
          <w:rFonts w:ascii="Arial" w:hAnsi="Arial" w:eastAsia="Arial"/>
          <w:b w:val="0"/>
          <w:i w:val="0"/>
          <w:sz w:val="24"/>
        </w:rPr>
        <w:t>.</w:t>
      </w:r>
    </w:p>
    <w:p>
      <w:r>
        <w:rPr>
          <w:rFonts w:ascii="Arial" w:hAnsi="Arial" w:eastAsia="Arial"/>
          <w:b/>
          <w:i w:val="0"/>
          <w:sz w:val="24"/>
        </w:rPr>
        <w:t>Information sources</w:t>
      </w:r>
    </w:p>
    <w:p>
      <w:pPr>
        <w:jc w:val="both"/>
      </w:pPr>
      <w:r>
        <w:rPr>
          <w:rFonts w:ascii="Arial" w:hAnsi="Arial" w:eastAsia="Arial"/>
          <w:b w:val="0"/>
          <w:i w:val="0"/>
          <w:sz w:val="24"/>
        </w:rPr>
        <w:t xml:space="preserve">We searched MEDLINE (PubMed), Scopus, Web of Science Core Collection, Embase </w:t>
      </w:r>
      <w:r>
        <w:rPr>
          <w:rFonts w:ascii="Arial" w:hAnsi="Arial" w:eastAsia="Arial"/>
          <w:b w:val="0"/>
          <w:i w:val="0"/>
          <w:sz w:val="24"/>
          <w:highlight w:val="yellow"/>
        </w:rPr>
        <w:t>[if accessible: TO BE CONFIRMED]</w:t>
      </w:r>
      <w:r>
        <w:rPr>
          <w:rFonts w:ascii="Arial" w:hAnsi="Arial" w:eastAsia="Arial"/>
          <w:b w:val="0"/>
          <w:i w:val="0"/>
          <w:sz w:val="24"/>
        </w:rPr>
        <w:t xml:space="preserve">, and the Chinese databases CNKI, Wanfang Data, and SinoMed from inception to </w:t>
      </w:r>
      <w:r>
        <w:rPr>
          <w:rFonts w:ascii="Arial" w:hAnsi="Arial" w:eastAsia="Arial"/>
          <w:b w:val="0"/>
          <w:i w:val="0"/>
          <w:sz w:val="24"/>
          <w:highlight w:val="yellow"/>
        </w:rPr>
        <w:t>[SEARCH DATE TO BE ADDED]</w:t>
      </w:r>
      <w:r>
        <w:rPr>
          <w:rFonts w:ascii="Arial" w:hAnsi="Arial" w:eastAsia="Arial"/>
          <w:b w:val="0"/>
          <w:i w:val="0"/>
          <w:sz w:val="24"/>
        </w:rPr>
        <w:t>. Reference lists of included studies and of major reviews were screened, forward citation searching was performed for included studies, and Google Scholar was used only for citation chasing.</w:t>
      </w:r>
    </w:p>
    <w:p>
      <w:r>
        <w:rPr>
          <w:rFonts w:ascii="Arial" w:hAnsi="Arial" w:eastAsia="Arial"/>
          <w:b/>
          <w:i w:val="0"/>
          <w:sz w:val="24"/>
        </w:rPr>
        <w:t>Search strategy</w:t>
      </w:r>
    </w:p>
    <w:p>
      <w:pPr>
        <w:jc w:val="both"/>
      </w:pPr>
      <w:r>
        <w:rPr>
          <w:rFonts w:ascii="Arial" w:hAnsi="Arial" w:eastAsia="Arial"/>
          <w:b w:val="0"/>
          <w:i w:val="0"/>
          <w:sz w:val="24"/>
        </w:rPr>
        <w:t>The search combined controlled vocabulary and free-text terms for schistosomiasis ("</w:t>
      </w:r>
      <w:r>
        <w:rPr>
          <w:rFonts w:ascii="Arial" w:hAnsi="Arial" w:eastAsia="Arial"/>
          <w:b w:val="0"/>
          <w:i/>
          <w:sz w:val="24"/>
        </w:rPr>
        <w:t>Schistosoma japonicum</w:t>
      </w:r>
      <w:r>
        <w:rPr>
          <w:rFonts w:ascii="Arial" w:hAnsi="Arial" w:eastAsia="Arial"/>
          <w:b w:val="0"/>
          <w:i w:val="0"/>
          <w:sz w:val="24"/>
        </w:rPr>
        <w:t xml:space="preserve">"[MeSH], schistosomiasis, schistosomal, schistosoma, bilharzia, bilharziasis) with terms for colorectal neoplasms ("Colorectal Neoplasms"[MeSH], colorectal, colon, colonic, and rectal cancer, carcinoma, or neoplasm). Outcome terms such as survival or prognosis were deliberately not required, to avoid missing comparative studies that report these outcomes only in the full text. Complete database-specific strategies, platforms, dates, and numbers retrieved are reported in Supplementary Table S1. Records were deduplicated in </w:t>
      </w:r>
      <w:r>
        <w:rPr>
          <w:rFonts w:ascii="Arial" w:hAnsi="Arial" w:eastAsia="Arial"/>
          <w:b w:val="0"/>
          <w:i w:val="0"/>
          <w:sz w:val="24"/>
          <w:highlight w:val="yellow"/>
        </w:rPr>
        <w:t>[EndNote/Zotero/Rayyan, version TO BE ADDED]</w:t>
      </w:r>
      <w:r>
        <w:rPr>
          <w:rFonts w:ascii="Arial" w:hAnsi="Arial" w:eastAsia="Arial"/>
          <w:b w:val="0"/>
          <w:i w:val="0"/>
          <w:sz w:val="24"/>
        </w:rPr>
        <w:t xml:space="preserve"> and checked manually.</w:t>
      </w:r>
    </w:p>
    <w:p>
      <w:r>
        <w:rPr>
          <w:rFonts w:ascii="Arial" w:hAnsi="Arial" w:eastAsia="Arial"/>
          <w:b/>
          <w:i w:val="0"/>
          <w:sz w:val="24"/>
        </w:rPr>
        <w:t>Study selection</w:t>
      </w:r>
    </w:p>
    <w:p>
      <w:pPr>
        <w:jc w:val="both"/>
      </w:pPr>
      <w:r>
        <w:rPr>
          <w:rFonts w:ascii="Arial" w:hAnsi="Arial" w:eastAsia="Arial"/>
          <w:b w:val="0"/>
          <w:i w:val="0"/>
          <w:sz w:val="24"/>
        </w:rPr>
        <w:t>Two reviewers (</w:t>
      </w:r>
      <w:r>
        <w:rPr>
          <w:rFonts w:ascii="Arial" w:hAnsi="Arial" w:eastAsia="Arial"/>
          <w:b w:val="0"/>
          <w:i w:val="0"/>
          <w:sz w:val="24"/>
          <w:highlight w:val="yellow"/>
        </w:rPr>
        <w:t>[INITIALS]</w:t>
      </w:r>
      <w:r>
        <w:rPr>
          <w:rFonts w:ascii="Arial" w:hAnsi="Arial" w:eastAsia="Arial"/>
          <w:b w:val="0"/>
          <w:i w:val="0"/>
          <w:sz w:val="24"/>
        </w:rPr>
        <w:t>) independently screened titles and abstracts and then full texts against the eligibility criteria. Disagreements were resolved by discussion or by a third reviewer (</w:t>
      </w:r>
      <w:r>
        <w:rPr>
          <w:rFonts w:ascii="Arial" w:hAnsi="Arial" w:eastAsia="Arial"/>
          <w:b w:val="0"/>
          <w:i w:val="0"/>
          <w:sz w:val="24"/>
          <w:highlight w:val="yellow"/>
        </w:rPr>
        <w:t>[INITIALS]</w:t>
      </w:r>
      <w:r>
        <w:rPr>
          <w:rFonts w:ascii="Arial" w:hAnsi="Arial" w:eastAsia="Arial"/>
          <w:b w:val="0"/>
          <w:i w:val="0"/>
          <w:sz w:val="24"/>
        </w:rPr>
        <w:t>). One principal reason was recorded for every excluded full text (Supplementary Table S2).</w:t>
      </w:r>
    </w:p>
    <w:p>
      <w:r>
        <w:rPr>
          <w:rFonts w:ascii="Arial" w:hAnsi="Arial" w:eastAsia="Arial"/>
          <w:b/>
          <w:i w:val="0"/>
          <w:sz w:val="24"/>
        </w:rPr>
        <w:t>Data extraction</w:t>
      </w:r>
    </w:p>
    <w:p>
      <w:pPr>
        <w:jc w:val="both"/>
      </w:pPr>
      <w:r>
        <w:rPr>
          <w:rFonts w:ascii="Arial" w:hAnsi="Arial" w:eastAsia="Arial"/>
          <w:b w:val="0"/>
          <w:i w:val="0"/>
          <w:sz w:val="24"/>
        </w:rPr>
        <w:t xml:space="preserve">Two reviewers independently extracted data into a piloted spreadsheet (Supplementary Table S3) covering study identification (authors, year, PMID, DOI, institution, city, province, department), design and recruitment period, schistosomiasis ascertainment (species, diagnostic method, verbatim definition), patient numbers, demographics, tumour location, pathology, stage, metastasis, molecular and laboratory markers, and survival estimates. [Interim: for this draft, data were extracted from full texts by one AI-assisted extractor and checked programmatically against the source text; independent extraction by a second reviewer is PENDING.] Each value was labelled by origin: reported directly; calculated from reported raw data; estimated from Kaplan-Meier curves; or pooled. When studies reported medians with interquartile ranges, means and standard deviations were estimated with the method of Wan </w:t>
      </w:r>
      <w:r>
        <w:rPr>
          <w:rFonts w:ascii="Arial" w:hAnsi="Arial" w:eastAsia="Arial"/>
          <w:b w:val="0"/>
          <w:i w:val="0"/>
          <w:sz w:val="24"/>
        </w:rPr>
        <w:t>et al.</w:t>
      </w:r>
      <w:r>
        <w:rPr>
          <w:rFonts w:ascii="Arial" w:hAnsi="Arial" w:eastAsia="Arial"/>
          <w:b w:val="0"/>
          <w:i w:val="0"/>
          <w:sz w:val="24"/>
          <w:vertAlign w:val="superscript"/>
        </w:rPr>
        <w:t>24</w:t>
      </w:r>
      <w:r>
        <w:rPr>
          <w:rFonts w:ascii="Arial" w:hAnsi="Arial" w:eastAsia="Arial"/>
          <w:b w:val="0"/>
          <w:i w:val="0"/>
          <w:sz w:val="24"/>
        </w:rPr>
        <w:t xml:space="preserve"> and the transformation was recorded. Study authors were contacted for missing data </w:t>
      </w:r>
      <w:r>
        <w:rPr>
          <w:rFonts w:ascii="Arial" w:hAnsi="Arial" w:eastAsia="Arial"/>
          <w:b w:val="0"/>
          <w:i w:val="0"/>
          <w:sz w:val="24"/>
          <w:highlight w:val="yellow"/>
        </w:rPr>
        <w:t>[TO BE CONFIRMED]</w:t>
      </w:r>
      <w:r>
        <w:rPr>
          <w:rFonts w:ascii="Arial" w:hAnsi="Arial" w:eastAsia="Arial"/>
          <w:b w:val="0"/>
          <w:i w:val="0"/>
          <w:sz w:val="24"/>
        </w:rPr>
        <w:t>.</w:t>
      </w:r>
    </w:p>
    <w:p>
      <w:pPr>
        <w:jc w:val="both"/>
      </w:pPr>
      <w:r>
        <w:rPr>
          <w:rFonts w:ascii="Arial" w:hAnsi="Arial" w:eastAsia="Arial"/>
          <w:b w:val="0"/>
          <w:i w:val="0"/>
          <w:sz w:val="24"/>
        </w:rPr>
        <w:t xml:space="preserve">For survival, the extraction priority was: (1) multivariable-adjusted HR with 95% confidence interval (CI); (2) unadjusted HR; (3) HR derived from reported survival statistics with the methods of Tierney </w:t>
      </w:r>
      <w:r>
        <w:rPr>
          <w:rFonts w:ascii="Arial" w:hAnsi="Arial" w:eastAsia="Arial"/>
          <w:b w:val="0"/>
          <w:i w:val="0"/>
          <w:sz w:val="24"/>
        </w:rPr>
        <w:t>et al.</w:t>
      </w:r>
      <w:r>
        <w:rPr>
          <w:rFonts w:ascii="Arial" w:hAnsi="Arial" w:eastAsia="Arial"/>
          <w:b w:val="0"/>
          <w:i w:val="0"/>
          <w:sz w:val="24"/>
        </w:rPr>
        <w:t>;</w:t>
      </w:r>
      <w:r>
        <w:rPr>
          <w:rFonts w:ascii="Arial" w:hAnsi="Arial" w:eastAsia="Arial"/>
          <w:b w:val="0"/>
          <w:i w:val="0"/>
          <w:sz w:val="24"/>
          <w:vertAlign w:val="superscript"/>
        </w:rPr>
        <w:t>25</w:t>
      </w:r>
      <w:r>
        <w:rPr>
          <w:rFonts w:ascii="Arial" w:hAnsi="Arial" w:eastAsia="Arial"/>
          <w:b w:val="0"/>
          <w:i w:val="0"/>
          <w:sz w:val="24"/>
        </w:rPr>
        <w:t xml:space="preserve"> and (4) HR reconstructed from Kaplan-Meier curves with the algorithm of Guyot </w:t>
      </w:r>
      <w:r>
        <w:rPr>
          <w:rFonts w:ascii="Arial" w:hAnsi="Arial" w:eastAsia="Arial"/>
          <w:b w:val="0"/>
          <w:i w:val="0"/>
          <w:sz w:val="24"/>
        </w:rPr>
        <w:t>et al.</w:t>
      </w:r>
      <w:r>
        <w:rPr>
          <w:rFonts w:ascii="Arial" w:hAnsi="Arial" w:eastAsia="Arial"/>
          <w:b w:val="0"/>
          <w:i w:val="0"/>
          <w:sz w:val="24"/>
          <w:vertAlign w:val="superscript"/>
        </w:rPr>
        <w:t>26</w:t>
      </w:r>
      <w:r>
        <w:rPr>
          <w:rFonts w:ascii="Arial" w:hAnsi="Arial" w:eastAsia="Arial"/>
          <w:b w:val="0"/>
          <w:i w:val="0"/>
          <w:sz w:val="24"/>
        </w:rPr>
        <w:t xml:space="preserve"> All HRs were expressed as SACC versus NSACC. Adjusted and unadjusted estimates were analysed separately.</w:t>
      </w:r>
    </w:p>
    <w:p>
      <w:r>
        <w:rPr>
          <w:rFonts w:ascii="Arial" w:hAnsi="Arial" w:eastAsia="Arial"/>
          <w:b/>
          <w:i w:val="0"/>
          <w:sz w:val="24"/>
        </w:rPr>
        <w:t>Outcome definitions</w:t>
      </w:r>
    </w:p>
    <w:p>
      <w:pPr>
        <w:jc w:val="both"/>
      </w:pPr>
      <w:r>
        <w:rPr>
          <w:rFonts w:ascii="Arial" w:hAnsi="Arial" w:eastAsia="Arial"/>
          <w:b w:val="0"/>
          <w:i w:val="0"/>
          <w:sz w:val="24"/>
        </w:rPr>
        <w:t>Primary outcomes were overall survival (HR), disease-free or recurrence-free survival (HR), advanced stage (stage III-IV versus I-II; OR), lymph-node metastasis (OR), and distant metastasis (OR). Secondary outcomes were age (mean difference in years) and age over 60 years; male sex; tumour location (rectum versus colon, sigmoid colon, right- versus left-sided); tumour size; differentiation; mucinous and signet-ring-cell histology; multiple primary or synchronous tumours; concomitant polyps; lymphovascular, vascular, and perineural invasion; tumour budding; positive margins; molecular alterations (KRAS, NRAS, BRAF, TP53, APC, PIK3CA, microsatellite instability, mismatch-repair proteins, beta-catenin, p53 immunohistochemistry, Ki-67, and any other reported marker); laboratory markers (CEA, CA19-9, haemoglobin, leukocyte and platelet counts, inflammatory indices); and recurrence. Laboratory outcomes were exploratory.</w:t>
      </w:r>
    </w:p>
    <w:p>
      <w:r>
        <w:rPr>
          <w:rFonts w:ascii="Arial" w:hAnsi="Arial" w:eastAsia="Arial"/>
          <w:b/>
          <w:i w:val="0"/>
          <w:sz w:val="24"/>
        </w:rPr>
        <w:t>Assessment of study quality and risk of bias</w:t>
      </w:r>
    </w:p>
    <w:p>
      <w:pPr>
        <w:jc w:val="both"/>
      </w:pPr>
      <w:r>
        <w:rPr>
          <w:rFonts w:ascii="Arial" w:hAnsi="Arial" w:eastAsia="Arial"/>
          <w:b w:val="0"/>
          <w:i w:val="0"/>
          <w:sz w:val="24"/>
        </w:rPr>
        <w:t>Two reviewers independently assessed each comparative study with the Newcastle-Ottawa Scale (NOS) for cohort studies,</w:t>
      </w:r>
      <w:r>
        <w:rPr>
          <w:rFonts w:ascii="Arial" w:hAnsi="Arial" w:eastAsia="Arial"/>
          <w:b w:val="0"/>
          <w:i w:val="0"/>
          <w:sz w:val="24"/>
          <w:vertAlign w:val="superscript"/>
        </w:rPr>
        <w:t>27</w:t>
      </w:r>
      <w:r>
        <w:rPr>
          <w:rFonts w:ascii="Arial" w:hAnsi="Arial" w:eastAsia="Arial"/>
          <w:b w:val="0"/>
          <w:i w:val="0"/>
          <w:sz w:val="24"/>
        </w:rPr>
        <w:t xml:space="preserve"> chosen before data extraction and applied unchanged to all studies. The comparability item was awarded when analyses accounted for stage and at least one of age or sex. Studies with 7-9 stars were rated as low, 5-6 as moderate, and 0-4 as high risk of bias. Results are summarised in Table S4 and in a risk-of-bias figure.</w:t>
      </w:r>
    </w:p>
    <w:p>
      <w:r>
        <w:rPr>
          <w:rFonts w:ascii="Arial" w:hAnsi="Arial" w:eastAsia="Arial"/>
          <w:b/>
          <w:i w:val="0"/>
          <w:sz w:val="24"/>
        </w:rPr>
        <w:t>Management of overlapping cohorts</w:t>
      </w:r>
    </w:p>
    <w:p>
      <w:pPr>
        <w:jc w:val="both"/>
      </w:pPr>
      <w:r>
        <w:rPr>
          <w:rFonts w:ascii="Arial" w:hAnsi="Arial" w:eastAsia="Arial"/>
          <w:b w:val="0"/>
          <w:i w:val="0"/>
          <w:sz w:val="24"/>
        </w:rPr>
        <w:t>For every report we recorded hospital, city, province, department, recruitment period, authors, and patient numbers, and constructed an overlap matrix (Supplementary Table S6). Reports from the same institution with overlapping recruitment periods or shared author groups were treated as potentially overlapping. For each outcome, only the largest or most complete report from an overlap group was included; a second report from the same group contributed only to outcomes absent from the first. The analysis code rejects any outcome that contains two reports from the same overlap group.</w:t>
      </w:r>
    </w:p>
    <w:p>
      <w:r>
        <w:rPr>
          <w:rFonts w:ascii="Arial" w:hAnsi="Arial" w:eastAsia="Arial"/>
          <w:b/>
          <w:i w:val="0"/>
          <w:sz w:val="24"/>
        </w:rPr>
        <w:t>Statistical analysis</w:t>
      </w:r>
    </w:p>
    <w:p>
      <w:pPr>
        <w:jc w:val="both"/>
      </w:pPr>
      <w:r>
        <w:rPr>
          <w:rFonts w:ascii="Arial" w:hAnsi="Arial" w:eastAsia="Arial"/>
          <w:b w:val="0"/>
          <w:i w:val="0"/>
          <w:sz w:val="24"/>
        </w:rPr>
        <w:t>ORs were computed from 2x2 tables, with 0.5 added to all cells of tables containing a zero cell. Log HRs and their standard errors were derived from the reported HR and 95% CI as SE = [ln(upper) - ln(lower)]/(2 x 1.96). Random-effects models with restricted maximum likelihood estimation of between-study variance (tau²) were used for all pooled analyses; fixed-effect (common-effect) estimates are reported only as a sensitivity analysis. For each outcome we report the pooled estimate, 95% CI, P value, tau², I², and Cochran's Q.</w:t>
      </w:r>
      <w:r>
        <w:rPr>
          <w:rFonts w:ascii="Arial" w:hAnsi="Arial" w:eastAsia="Arial"/>
          <w:b w:val="0"/>
          <w:i w:val="0"/>
          <w:sz w:val="24"/>
          <w:vertAlign w:val="superscript"/>
        </w:rPr>
        <w:t>28</w:t>
      </w:r>
      <w:r>
        <w:rPr>
          <w:rFonts w:ascii="Arial" w:hAnsi="Arial" w:eastAsia="Arial"/>
          <w:b w:val="0"/>
          <w:i w:val="0"/>
          <w:sz w:val="24"/>
        </w:rPr>
        <w:t xml:space="preserve"> Heterogeneity was interpreted using all of these statistics and the clinical diversity of the studies, not I² alone. An outcome was pooled only when at least two independent cohorts reported sufficiently comparable data; otherwise, results were tabulated. The primary analysis was restricted to </w:t>
      </w:r>
      <w:r>
        <w:rPr>
          <w:rFonts w:ascii="Arial" w:hAnsi="Arial" w:eastAsia="Arial"/>
          <w:b w:val="0"/>
          <w:i/>
          <w:sz w:val="24"/>
        </w:rPr>
        <w:t>S. japonicum</w:t>
      </w:r>
      <w:r>
        <w:rPr>
          <w:rFonts w:ascii="Arial" w:hAnsi="Arial" w:eastAsia="Arial"/>
          <w:b w:val="0"/>
          <w:i w:val="0"/>
          <w:sz w:val="24"/>
        </w:rPr>
        <w:t xml:space="preserve"> (confirmed, or presumed from cohorts in </w:t>
      </w:r>
      <w:r>
        <w:rPr>
          <w:rFonts w:ascii="Arial" w:hAnsi="Arial" w:eastAsia="Arial"/>
          <w:b w:val="0"/>
          <w:i/>
          <w:sz w:val="24"/>
        </w:rPr>
        <w:t>S. japonicum</w:t>
      </w:r>
      <w:r>
        <w:rPr>
          <w:rFonts w:ascii="Arial" w:hAnsi="Arial" w:eastAsia="Arial"/>
          <w:b w:val="0"/>
          <w:i w:val="0"/>
          <w:sz w:val="24"/>
        </w:rPr>
        <w:t xml:space="preserve">-endemic regions); studies of </w:t>
      </w:r>
      <w:r>
        <w:rPr>
          <w:rFonts w:ascii="Arial" w:hAnsi="Arial" w:eastAsia="Arial"/>
          <w:b w:val="0"/>
          <w:i/>
          <w:sz w:val="24"/>
        </w:rPr>
        <w:t>S. mansoni</w:t>
      </w:r>
      <w:r>
        <w:rPr>
          <w:rFonts w:ascii="Arial" w:hAnsi="Arial" w:eastAsia="Arial"/>
          <w:b w:val="0"/>
          <w:i w:val="0"/>
          <w:sz w:val="24"/>
        </w:rPr>
        <w:t xml:space="preserve">, </w:t>
      </w:r>
      <w:r>
        <w:rPr>
          <w:rFonts w:ascii="Arial" w:hAnsi="Arial" w:eastAsia="Arial"/>
          <w:b w:val="0"/>
          <w:i/>
          <w:sz w:val="24"/>
        </w:rPr>
        <w:t>S. haematobium</w:t>
      </w:r>
      <w:r>
        <w:rPr>
          <w:rFonts w:ascii="Arial" w:hAnsi="Arial" w:eastAsia="Arial"/>
          <w:b w:val="0"/>
          <w:i w:val="0"/>
          <w:sz w:val="24"/>
        </w:rPr>
        <w:t>, or unidentified species were analysed separately. Analyses were performed in R version 4.3.3</w:t>
      </w:r>
      <w:r>
        <w:rPr>
          <w:rFonts w:ascii="Arial" w:hAnsi="Arial" w:eastAsia="Arial"/>
          <w:b w:val="0"/>
          <w:i w:val="0"/>
          <w:sz w:val="24"/>
          <w:vertAlign w:val="superscript"/>
        </w:rPr>
        <w:t>29</w:t>
      </w:r>
      <w:r>
        <w:rPr>
          <w:rFonts w:ascii="Arial" w:hAnsi="Arial" w:eastAsia="Arial"/>
          <w:b w:val="0"/>
          <w:i w:val="0"/>
          <w:sz w:val="24"/>
        </w:rPr>
        <w:t xml:space="preserve"> with metafor version 4.4.0.</w:t>
      </w:r>
      <w:r>
        <w:rPr>
          <w:rFonts w:ascii="Arial" w:hAnsi="Arial" w:eastAsia="Arial"/>
          <w:b w:val="0"/>
          <w:i w:val="0"/>
          <w:sz w:val="24"/>
          <w:vertAlign w:val="superscript"/>
        </w:rPr>
        <w:t>30</w:t>
      </w:r>
      <w:r>
        <w:rPr>
          <w:rFonts w:ascii="Arial" w:hAnsi="Arial" w:eastAsia="Arial"/>
          <w:b w:val="0"/>
          <w:i w:val="0"/>
          <w:sz w:val="24"/>
        </w:rPr>
        <w:t xml:space="preserve"> The analysis code and the extraction dataset are available at </w:t>
      </w:r>
      <w:r>
        <w:rPr>
          <w:rFonts w:ascii="Arial" w:hAnsi="Arial" w:eastAsia="Arial"/>
          <w:b w:val="0"/>
          <w:i w:val="0"/>
          <w:sz w:val="24"/>
          <w:highlight w:val="yellow"/>
        </w:rPr>
        <w:t>[REPOSITORY URL/DOI TO BE ADDED]</w:t>
      </w:r>
      <w:r>
        <w:rPr>
          <w:rFonts w:ascii="Arial" w:hAnsi="Arial" w:eastAsia="Arial"/>
          <w:b w:val="0"/>
          <w:i w:val="0"/>
          <w:sz w:val="24"/>
        </w:rPr>
        <w:t>.</w:t>
      </w:r>
    </w:p>
    <w:p>
      <w:r>
        <w:rPr>
          <w:rFonts w:ascii="Arial" w:hAnsi="Arial" w:eastAsia="Arial"/>
          <w:b/>
          <w:i w:val="0"/>
          <w:sz w:val="24"/>
        </w:rPr>
        <w:t>Subgroup analyses</w:t>
      </w:r>
    </w:p>
    <w:p>
      <w:pPr>
        <w:jc w:val="both"/>
      </w:pPr>
      <w:r>
        <w:rPr>
          <w:rFonts w:ascii="Arial" w:hAnsi="Arial" w:eastAsia="Arial"/>
          <w:b w:val="0"/>
          <w:i w:val="0"/>
          <w:sz w:val="24"/>
        </w:rPr>
        <w:t xml:space="preserve">Where at least two studies were available per subgroup, we compared histologically confirmed versus other definitions of schistosomiasis, </w:t>
      </w:r>
      <w:r>
        <w:rPr>
          <w:rFonts w:ascii="Arial" w:hAnsi="Arial" w:eastAsia="Arial"/>
          <w:b w:val="0"/>
          <w:i/>
          <w:sz w:val="24"/>
        </w:rPr>
        <w:t>S. japonicum</w:t>
      </w:r>
      <w:r>
        <w:rPr>
          <w:rFonts w:ascii="Arial" w:hAnsi="Arial" w:eastAsia="Arial"/>
          <w:b w:val="0"/>
          <w:i w:val="0"/>
          <w:sz w:val="24"/>
        </w:rPr>
        <w:t>-confirmed versus presumed species, colon versus rectal cancer, earlier versus contemporary cohorts (recruitment ending before versus from 2010), lower versus higher risk of bias, geographic region, and adjusted versus unadjusted survival estimates.</w:t>
      </w:r>
    </w:p>
    <w:p>
      <w:r>
        <w:rPr>
          <w:rFonts w:ascii="Arial" w:hAnsi="Arial" w:eastAsia="Arial"/>
          <w:b/>
          <w:i w:val="0"/>
          <w:sz w:val="24"/>
        </w:rPr>
        <w:t>Sensitivity analyses</w:t>
      </w:r>
    </w:p>
    <w:p>
      <w:pPr>
        <w:jc w:val="both"/>
      </w:pPr>
      <w:r>
        <w:rPr>
          <w:rFonts w:ascii="Arial" w:hAnsi="Arial" w:eastAsia="Arial"/>
          <w:b w:val="0"/>
          <w:i w:val="0"/>
          <w:sz w:val="24"/>
        </w:rPr>
        <w:t xml:space="preserve">Pre-specified sensitivity analyses were leave-one-out analysis; exclusion of studies at high risk of bias; exclusion of potentially overlapping cohorts; restriction to histology-confirmed SACC; restriction to </w:t>
      </w:r>
      <w:r>
        <w:rPr>
          <w:rFonts w:ascii="Arial" w:hAnsi="Arial" w:eastAsia="Arial"/>
          <w:b w:val="0"/>
          <w:i/>
          <w:sz w:val="24"/>
        </w:rPr>
        <w:t>S. japonicum</w:t>
      </w:r>
      <w:r>
        <w:rPr>
          <w:rFonts w:ascii="Arial" w:hAnsi="Arial" w:eastAsia="Arial"/>
          <w:b w:val="0"/>
          <w:i w:val="0"/>
          <w:sz w:val="24"/>
        </w:rPr>
        <w:t>-confirmed studies; fixed-effect models; and exclusion of the largest cohort, to determine whether a single study of more than 31,000 patients</w:t>
      </w:r>
      <w:r>
        <w:rPr>
          <w:rFonts w:ascii="Arial" w:hAnsi="Arial" w:eastAsia="Arial"/>
          <w:b w:val="0"/>
          <w:i w:val="0"/>
          <w:sz w:val="24"/>
          <w:vertAlign w:val="superscript"/>
        </w:rPr>
        <w:t>19</w:t>
      </w:r>
      <w:r>
        <w:rPr>
          <w:rFonts w:ascii="Arial" w:hAnsi="Arial" w:eastAsia="Arial"/>
          <w:b w:val="0"/>
          <w:i w:val="0"/>
          <w:sz w:val="24"/>
        </w:rPr>
        <w:t xml:space="preserve"> dominated any pooled estimate.</w:t>
      </w:r>
    </w:p>
    <w:p>
      <w:r>
        <w:rPr>
          <w:rFonts w:ascii="Arial" w:hAnsi="Arial" w:eastAsia="Arial"/>
          <w:b/>
          <w:i w:val="0"/>
          <w:sz w:val="24"/>
        </w:rPr>
        <w:t>Assessment of small-study effects</w:t>
      </w:r>
    </w:p>
    <w:p>
      <w:pPr>
        <w:jc w:val="both"/>
      </w:pPr>
      <w:r>
        <w:rPr>
          <w:rFonts w:ascii="Arial" w:hAnsi="Arial" w:eastAsia="Arial"/>
          <w:b w:val="0"/>
          <w:i w:val="0"/>
          <w:sz w:val="24"/>
        </w:rPr>
        <w:t>Funnel plots and Egger's regression test</w:t>
      </w:r>
      <w:r>
        <w:rPr>
          <w:rFonts w:ascii="Arial" w:hAnsi="Arial" w:eastAsia="Arial"/>
          <w:b w:val="0"/>
          <w:i w:val="0"/>
          <w:sz w:val="24"/>
          <w:vertAlign w:val="superscript"/>
        </w:rPr>
        <w:t>31</w:t>
      </w:r>
      <w:r>
        <w:rPr>
          <w:rFonts w:ascii="Arial" w:hAnsi="Arial" w:eastAsia="Arial"/>
          <w:b w:val="0"/>
          <w:i w:val="0"/>
          <w:sz w:val="24"/>
        </w:rPr>
        <w:t xml:space="preserve"> were planned only for outcomes with at least 10 studies, in line with published recommendations.</w:t>
      </w:r>
      <w:r>
        <w:rPr>
          <w:rFonts w:ascii="Arial" w:hAnsi="Arial" w:eastAsia="Arial"/>
          <w:b w:val="0"/>
          <w:i w:val="0"/>
          <w:sz w:val="24"/>
          <w:vertAlign w:val="superscript"/>
        </w:rPr>
        <w:t>32</w:t>
      </w:r>
    </w:p>
    <w:p>
      <w:r>
        <w:rPr>
          <w:rFonts w:ascii="Arial" w:hAnsi="Arial" w:eastAsia="Arial"/>
          <w:b/>
          <w:i w:val="0"/>
          <w:sz w:val="24"/>
        </w:rPr>
        <w:t>Certainty of evidence</w:t>
      </w:r>
    </w:p>
    <w:p>
      <w:pPr>
        <w:jc w:val="both"/>
      </w:pPr>
      <w:r>
        <w:rPr>
          <w:rFonts w:ascii="Arial" w:hAnsi="Arial" w:eastAsia="Arial"/>
          <w:b w:val="0"/>
          <w:i w:val="0"/>
          <w:sz w:val="24"/>
        </w:rPr>
        <w:t>Two reviewers rated the certainty of evidence for overall survival, disease-free or recurrence-free survival, advanced stage, lymph-node metastasis, and distant metastasis using GRADE.</w:t>
      </w:r>
      <w:r>
        <w:rPr>
          <w:rFonts w:ascii="Arial" w:hAnsi="Arial" w:eastAsia="Arial"/>
          <w:b w:val="0"/>
          <w:i w:val="0"/>
          <w:sz w:val="24"/>
          <w:vertAlign w:val="superscript"/>
        </w:rPr>
        <w:t>33</w:t>
      </w:r>
      <w:r>
        <w:rPr>
          <w:rFonts w:ascii="Arial" w:hAnsi="Arial" w:eastAsia="Arial"/>
          <w:b w:val="0"/>
          <w:i w:val="0"/>
          <w:sz w:val="24"/>
        </w:rPr>
        <w:t xml:space="preserve"> Evidence from observational studies started at low certainty and was rated down for risk of bias, inconsistency, indirectness, imprecision, and suspected publication bias, or up when criteria for a large effect or dose-response were met.</w:t>
      </w:r>
    </w:p>
    <w:p>
      <w:r>
        <w:rPr>
          <w:rFonts w:ascii="Arial" w:hAnsi="Arial" w:eastAsia="Arial"/>
          <w:b/>
          <w:i w:val="0"/>
          <w:sz w:val="24"/>
        </w:rPr>
        <w:t>Ethics</w:t>
      </w:r>
    </w:p>
    <w:p>
      <w:pPr>
        <w:jc w:val="both"/>
      </w:pPr>
      <w:r>
        <w:rPr>
          <w:rFonts w:ascii="Arial" w:hAnsi="Arial" w:eastAsia="Arial"/>
          <w:b w:val="0"/>
          <w:i w:val="0"/>
          <w:sz w:val="24"/>
        </w:rPr>
        <w:t>This study used published, de-identified, aggregate data and did not require ethics review or informed consent.</w:t>
      </w:r>
    </w:p>
    <w:p>
      <w:pPr>
        <w:spacing w:before="240"/>
      </w:pPr>
      <w:r>
        <w:rPr>
          <w:rFonts w:ascii="Arial" w:hAnsi="Arial" w:eastAsia="Arial"/>
          <w:b/>
          <w:i w:val="0"/>
          <w:sz w:val="24"/>
        </w:rPr>
        <w:t>RESULTS</w:t>
      </w:r>
    </w:p>
    <w:p>
      <w:r>
        <w:rPr>
          <w:rFonts w:ascii="Arial" w:hAnsi="Arial" w:eastAsia="Arial"/>
          <w:b/>
          <w:i w:val="0"/>
          <w:sz w:val="24"/>
        </w:rPr>
        <w:t>Search results</w:t>
      </w:r>
    </w:p>
    <w:p>
      <w:pPr>
        <w:jc w:val="both"/>
      </w:pPr>
      <w:r>
        <w:rPr>
          <w:rFonts w:ascii="Arial" w:hAnsi="Arial" w:eastAsia="Arial"/>
          <w:b w:val="0"/>
          <w:i w:val="0"/>
          <w:sz w:val="24"/>
        </w:rPr>
        <w:t xml:space="preserve">This is an interim selection based on MEDLINE only. The PubMed strategy in Supplementary Table S1, run on 5 October 2026, returned 337 records, which contained all 22 reports of the earlier scoping inventory. Titles and abstracts of 337 records were screened and 308 were excluded. Of 29 reports sought, 12 could not be retrieved from open sources (mainly Chinese-language articles and subscription journals; Supplementary Table S2). 17 full texts were assessed and 1 was excluded, leaving 16 reports in the qualitative synthesis and 10 contributing to at least one meta-analysis (Figure 1). Scopus, Web of Science, Embase, CNKI, Wanfang, and SinoMed </w:t>
      </w:r>
      <w:r>
        <w:rPr>
          <w:rFonts w:ascii="Arial" w:hAnsi="Arial" w:eastAsia="Arial"/>
          <w:b w:val="0"/>
          <w:i w:val="0"/>
          <w:sz w:val="24"/>
          <w:highlight w:val="yellow"/>
        </w:rPr>
        <w:t>[ARE STILL TO BE SEARCHED; counts TO BE ADDED]</w:t>
      </w:r>
      <w:r>
        <w:rPr>
          <w:rFonts w:ascii="Arial" w:hAnsi="Arial" w:eastAsia="Arial"/>
          <w:b w:val="0"/>
          <w:i w:val="0"/>
          <w:sz w:val="24"/>
        </w:rPr>
        <w:t>.</w:t>
      </w:r>
    </w:p>
    <w:p>
      <w:pPr>
        <w:jc w:val="center"/>
      </w:pPr>
      <w:r>
        <w:drawing>
          <wp:inline xmlns:a="http://schemas.openxmlformats.org/drawingml/2006/main" xmlns:pic="http://schemas.openxmlformats.org/drawingml/2006/picture">
            <wp:extent cx="5400000" cy="6661246"/>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400000" cy="6661246"/>
                    </a:xfrm>
                    <a:prstGeom prst="rect"/>
                  </pic:spPr>
                </pic:pic>
              </a:graphicData>
            </a:graphic>
          </wp:inline>
        </w:drawing>
      </w:r>
    </w:p>
    <w:p>
      <w:r>
        <w:rPr>
          <w:rFonts w:ascii="Arial" w:hAnsi="Arial" w:eastAsia="Arial"/>
          <w:b/>
          <w:i w:val="0"/>
          <w:sz w:val="22"/>
        </w:rPr>
        <w:t>Figure 1.</w:t>
      </w:r>
      <w:r>
        <w:rPr>
          <w:rFonts w:ascii="Arial" w:hAnsi="Arial" w:eastAsia="Arial"/>
          <w:b w:val="0"/>
          <w:i w:val="0"/>
          <w:sz w:val="22"/>
        </w:rPr>
        <w:t xml:space="preserve"> PRISMA 2020 flow diagram of study selection (interim: PubMed only; the remaining databases are still to be searched). Counts are read from data/analysis_ready/prisma_counts.csv.</w:t>
      </w:r>
    </w:p>
    <w:p>
      <w:r>
        <w:rPr>
          <w:rFonts w:ascii="Arial" w:hAnsi="Arial" w:eastAsia="Arial"/>
          <w:b/>
          <w:i w:val="0"/>
          <w:sz w:val="24"/>
        </w:rPr>
        <w:t>Characteristics of included studies</w:t>
      </w:r>
    </w:p>
    <w:p>
      <w:pPr>
        <w:jc w:val="both"/>
      </w:pPr>
      <w:r>
        <w:rPr>
          <w:rFonts w:ascii="Arial" w:hAnsi="Arial" w:eastAsia="Arial"/>
          <w:b w:val="0"/>
          <w:i w:val="0"/>
          <w:sz w:val="24"/>
        </w:rPr>
        <w:t>The 16 included reports came from nine institutions or groups (Table 1). Seven independent comparative cohorts, all from China, compared SACC with NSACC: Changhai Hospital, Shanghai (823 SACC and 30,330 NSACC; 2001-2021);</w:t>
      </w:r>
      <w:r>
        <w:rPr>
          <w:rFonts w:ascii="Arial" w:hAnsi="Arial" w:eastAsia="Arial"/>
          <w:b w:val="0"/>
          <w:i w:val="0"/>
          <w:sz w:val="24"/>
          <w:vertAlign w:val="superscript"/>
        </w:rPr>
        <w:t>19</w:t>
      </w:r>
      <w:r>
        <w:rPr>
          <w:rFonts w:ascii="Arial" w:hAnsi="Arial" w:eastAsia="Arial"/>
          <w:b w:val="0"/>
          <w:i w:val="0"/>
          <w:sz w:val="24"/>
        </w:rPr>
        <w:t xml:space="preserve"> Yijishan Hospital, Wuhu (253 and 2,885; 2012-2018), with a second, partly overlapping report from the same hospital;</w:t>
      </w:r>
      <w:r>
        <w:rPr>
          <w:rFonts w:ascii="Arial" w:hAnsi="Arial" w:eastAsia="Arial"/>
          <w:b w:val="0"/>
          <w:i w:val="0"/>
          <w:sz w:val="24"/>
          <w:vertAlign w:val="superscript"/>
        </w:rPr>
        <w:t>12,34</w:t>
      </w:r>
      <w:r>
        <w:rPr>
          <w:rFonts w:ascii="Arial" w:hAnsi="Arial" w:eastAsia="Arial"/>
          <w:b w:val="0"/>
          <w:i w:val="0"/>
          <w:sz w:val="24"/>
        </w:rPr>
        <w:t xml:space="preserve"> the Qingpu Branch of Zhongshan Hospital, Shanghai (137 and 214; 2008-2016), from which five further reports provided biomarker data only;</w:t>
      </w:r>
      <w:r>
        <w:rPr>
          <w:rFonts w:ascii="Arial" w:hAnsi="Arial" w:eastAsia="Arial"/>
          <w:b w:val="0"/>
          <w:i w:val="0"/>
          <w:sz w:val="24"/>
          <w:vertAlign w:val="superscript"/>
        </w:rPr>
        <w:t>13,35-39</w:t>
      </w:r>
      <w:r>
        <w:rPr>
          <w:rFonts w:ascii="Arial" w:hAnsi="Arial" w:eastAsia="Arial"/>
          <w:b w:val="0"/>
          <w:i w:val="0"/>
          <w:sz w:val="24"/>
        </w:rPr>
        <w:t xml:space="preserve"> Union Hospital, Wuhan (30 and 459; 2010-2019);</w:t>
      </w:r>
      <w:r>
        <w:rPr>
          <w:rFonts w:ascii="Arial" w:hAnsi="Arial" w:eastAsia="Arial"/>
          <w:b w:val="0"/>
          <w:i w:val="0"/>
          <w:sz w:val="24"/>
          <w:vertAlign w:val="superscript"/>
        </w:rPr>
        <w:t>18</w:t>
      </w:r>
      <w:r>
        <w:rPr>
          <w:rFonts w:ascii="Arial" w:hAnsi="Arial" w:eastAsia="Arial"/>
          <w:b w:val="0"/>
          <w:i w:val="0"/>
          <w:sz w:val="24"/>
        </w:rPr>
        <w:t xml:space="preserve"> Jingzhou Hospital, Hubei (95 and 406; 2020-2022), with an overlapping radiology report;</w:t>
      </w:r>
      <w:r>
        <w:rPr>
          <w:rFonts w:ascii="Arial" w:hAnsi="Arial" w:eastAsia="Arial"/>
          <w:b w:val="0"/>
          <w:i w:val="0"/>
          <w:sz w:val="24"/>
          <w:vertAlign w:val="superscript"/>
        </w:rPr>
        <w:t>14,15</w:t>
      </w:r>
      <w:r>
        <w:rPr>
          <w:rFonts w:ascii="Arial" w:hAnsi="Arial" w:eastAsia="Arial"/>
          <w:b w:val="0"/>
          <w:i w:val="0"/>
          <w:sz w:val="24"/>
        </w:rPr>
        <w:t xml:space="preserve"> Wuhu Second People's Hospital (56 and 307; 2015-2020);</w:t>
      </w:r>
      <w:r>
        <w:rPr>
          <w:rFonts w:ascii="Arial" w:hAnsi="Arial" w:eastAsia="Arial"/>
          <w:b w:val="0"/>
          <w:i w:val="0"/>
          <w:sz w:val="24"/>
          <w:vertAlign w:val="superscript"/>
        </w:rPr>
        <w:t>40</w:t>
      </w:r>
      <w:r>
        <w:rPr>
          <w:rFonts w:ascii="Arial" w:hAnsi="Arial" w:eastAsia="Arial"/>
          <w:b w:val="0"/>
          <w:i w:val="0"/>
          <w:sz w:val="24"/>
        </w:rPr>
        <w:t xml:space="preserve"> and Ruijin Hospital, Shanghai (26 and 34 rectosigmoid cancers; 2009-2013).</w:t>
      </w:r>
      <w:r>
        <w:rPr>
          <w:rFonts w:ascii="Arial" w:hAnsi="Arial" w:eastAsia="Arial"/>
          <w:b w:val="0"/>
          <w:i w:val="0"/>
          <w:sz w:val="24"/>
          <w:vertAlign w:val="superscript"/>
        </w:rPr>
        <w:t>41</w:t>
      </w:r>
      <w:r>
        <w:rPr>
          <w:rFonts w:ascii="Arial" w:hAnsi="Arial" w:eastAsia="Arial"/>
          <w:b w:val="0"/>
          <w:i w:val="0"/>
          <w:sz w:val="24"/>
        </w:rPr>
        <w:t xml:space="preserve"> Overlap was confirmed from the full texts: all six Qingpu reports described patients resected at the same hospital between January 2008 and August 2016, and the two Jingzhou reports shared the hospital, period, and an author (Supplementary Table S6). A previously suspected Qingpu report proved to be a separate SACC-only cohort from the main Zhongshan campus (2016-2018).</w:t>
      </w:r>
      <w:r>
        <w:rPr>
          <w:rFonts w:ascii="Arial" w:hAnsi="Arial" w:eastAsia="Arial"/>
          <w:b w:val="0"/>
          <w:i w:val="0"/>
          <w:sz w:val="24"/>
          <w:vertAlign w:val="superscript"/>
        </w:rPr>
        <w:t>42</w:t>
      </w:r>
      <w:r>
        <w:rPr>
          <w:rFonts w:ascii="Arial" w:hAnsi="Arial" w:eastAsia="Arial"/>
          <w:b w:val="0"/>
          <w:i w:val="0"/>
          <w:sz w:val="24"/>
        </w:rPr>
        <w:t xml:space="preserve"> One exome-sequencing study used an external sporadic-CRC comparator.</w:t>
      </w:r>
      <w:r>
        <w:rPr>
          <w:rFonts w:ascii="Arial" w:hAnsi="Arial" w:eastAsia="Arial"/>
          <w:b w:val="0"/>
          <w:i w:val="0"/>
          <w:sz w:val="24"/>
          <w:vertAlign w:val="superscript"/>
        </w:rPr>
        <w:t>43</w:t>
      </w:r>
      <w:r>
        <w:rPr>
          <w:rFonts w:ascii="Arial" w:hAnsi="Arial" w:eastAsia="Arial"/>
          <w:b w:val="0"/>
          <w:i w:val="0"/>
          <w:sz w:val="24"/>
        </w:rPr>
        <w:t xml:space="preserve"> Allowing for overlap, individual meta-analyses included up to 1,383 SACC and 34,328 NSACC patients (Table 4). All cohorts were retrospective; survival data were available for four cohorts.</w:t>
      </w:r>
    </w:p>
    <w:p>
      <w:pPr>
        <w:sectPr>
          <w:pgSz w:w="12240" w:h="15840"/>
          <w:pgMar w:top="1440" w:right="1440" w:bottom="1440" w:left="1440" w:header="720" w:footer="720" w:gutter="0"/>
          <w:cols w:space="720"/>
          <w:docGrid w:linePitch="360"/>
        </w:sectPr>
      </w:pPr>
    </w:p>
    <w:p>
      <w:r>
        <w:rPr>
          <w:rFonts w:ascii="Arial" w:hAnsi="Arial" w:eastAsia="Arial"/>
          <w:b/>
          <w:i w:val="0"/>
          <w:sz w:val="22"/>
        </w:rPr>
        <w:t>Table 1.</w:t>
      </w:r>
      <w:r>
        <w:rPr>
          <w:rFonts w:ascii="Arial" w:hAnsi="Arial" w:eastAsia="Arial"/>
          <w:b w:val="0"/>
          <w:i w:val="0"/>
          <w:sz w:val="22"/>
        </w:rPr>
        <w:t xml:space="preserve"> Characteristics of identified studies</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gridCol w:w="997"/>
        <w:gridCol w:w="997"/>
        <w:gridCol w:w="997"/>
      </w:tblGrid>
      <w:tr>
        <w:tc>
          <w:tcPr>
            <w:tcW w:type="dxa" w:w="997"/>
            <w:shd w:val="clear" w:color="auto" w:fill="DCE6F1"/>
          </w:tcPr>
          <w:p>
            <w:r/>
            <w:r>
              <w:rPr>
                <w:rFonts w:ascii="Arial" w:hAnsi="Arial" w:eastAsia="Arial"/>
                <w:b/>
                <w:i w:val="0"/>
                <w:sz w:val="13"/>
              </w:rPr>
              <w:t>Study</w:t>
            </w:r>
          </w:p>
        </w:tc>
        <w:tc>
          <w:tcPr>
            <w:tcW w:type="dxa" w:w="997"/>
            <w:shd w:val="clear" w:color="auto" w:fill="DCE6F1"/>
          </w:tcPr>
          <w:p>
            <w:r/>
            <w:r>
              <w:rPr>
                <w:rFonts w:ascii="Arial" w:hAnsi="Arial" w:eastAsia="Arial"/>
                <w:b/>
                <w:i w:val="0"/>
                <w:sz w:val="13"/>
              </w:rPr>
              <w:t>Location</w:t>
            </w:r>
          </w:p>
        </w:tc>
        <w:tc>
          <w:tcPr>
            <w:tcW w:type="dxa" w:w="997"/>
            <w:shd w:val="clear" w:color="auto" w:fill="DCE6F1"/>
          </w:tcPr>
          <w:p>
            <w:r/>
            <w:r>
              <w:rPr>
                <w:rFonts w:ascii="Arial" w:hAnsi="Arial" w:eastAsia="Arial"/>
                <w:b/>
                <w:i w:val="0"/>
                <w:sz w:val="13"/>
              </w:rPr>
              <w:t>Institution</w:t>
            </w:r>
          </w:p>
        </w:tc>
        <w:tc>
          <w:tcPr>
            <w:tcW w:type="dxa" w:w="997"/>
            <w:shd w:val="clear" w:color="auto" w:fill="DCE6F1"/>
          </w:tcPr>
          <w:p>
            <w:r/>
            <w:r>
              <w:rPr>
                <w:rFonts w:ascii="Arial" w:hAnsi="Arial" w:eastAsia="Arial"/>
                <w:b/>
                <w:i w:val="0"/>
                <w:sz w:val="13"/>
              </w:rPr>
              <w:t>Study period</w:t>
            </w:r>
          </w:p>
        </w:tc>
        <w:tc>
          <w:tcPr>
            <w:tcW w:type="dxa" w:w="997"/>
            <w:shd w:val="clear" w:color="auto" w:fill="DCE6F1"/>
          </w:tcPr>
          <w:p>
            <w:r/>
            <w:r>
              <w:rPr>
                <w:rFonts w:ascii="Arial" w:hAnsi="Arial" w:eastAsia="Arial"/>
                <w:b/>
                <w:i w:val="0"/>
                <w:sz w:val="13"/>
              </w:rPr>
              <w:t>Design</w:t>
            </w:r>
          </w:p>
        </w:tc>
        <w:tc>
          <w:tcPr>
            <w:tcW w:type="dxa" w:w="997"/>
            <w:shd w:val="clear" w:color="auto" w:fill="DCE6F1"/>
          </w:tcPr>
          <w:p>
            <w:r/>
            <w:r>
              <w:rPr>
                <w:rFonts w:ascii="Arial" w:hAnsi="Arial" w:eastAsia="Arial"/>
                <w:b/>
                <w:i w:val="0"/>
                <w:sz w:val="13"/>
              </w:rPr>
              <w:t>SACC n</w:t>
            </w:r>
          </w:p>
        </w:tc>
        <w:tc>
          <w:tcPr>
            <w:tcW w:type="dxa" w:w="997"/>
            <w:shd w:val="clear" w:color="auto" w:fill="DCE6F1"/>
          </w:tcPr>
          <w:p>
            <w:r/>
            <w:r>
              <w:rPr>
                <w:rFonts w:ascii="Arial" w:hAnsi="Arial" w:eastAsia="Arial"/>
                <w:b/>
                <w:i w:val="0"/>
                <w:sz w:val="13"/>
              </w:rPr>
              <w:t>NSACC n</w:t>
            </w:r>
          </w:p>
        </w:tc>
        <w:tc>
          <w:tcPr>
            <w:tcW w:type="dxa" w:w="997"/>
            <w:shd w:val="clear" w:color="auto" w:fill="DCE6F1"/>
          </w:tcPr>
          <w:p>
            <w:r/>
            <w:r>
              <w:rPr>
                <w:rFonts w:ascii="Arial" w:hAnsi="Arial" w:eastAsia="Arial"/>
                <w:b/>
                <w:i w:val="0"/>
                <w:sz w:val="13"/>
              </w:rPr>
              <w:t>Species</w:t>
            </w:r>
          </w:p>
        </w:tc>
        <w:tc>
          <w:tcPr>
            <w:tcW w:type="dxa" w:w="997"/>
            <w:shd w:val="clear" w:color="auto" w:fill="DCE6F1"/>
          </w:tcPr>
          <w:p>
            <w:r/>
            <w:r>
              <w:rPr>
                <w:rFonts w:ascii="Arial" w:hAnsi="Arial" w:eastAsia="Arial"/>
                <w:b/>
                <w:i w:val="0"/>
                <w:sz w:val="13"/>
              </w:rPr>
              <w:t>Definition of schistosomiasis</w:t>
            </w:r>
          </w:p>
        </w:tc>
        <w:tc>
          <w:tcPr>
            <w:tcW w:type="dxa" w:w="997"/>
            <w:shd w:val="clear" w:color="auto" w:fill="DCE6F1"/>
          </w:tcPr>
          <w:p>
            <w:r/>
            <w:r>
              <w:rPr>
                <w:rFonts w:ascii="Arial" w:hAnsi="Arial" w:eastAsia="Arial"/>
                <w:b/>
                <w:i w:val="0"/>
                <w:sz w:val="13"/>
              </w:rPr>
              <w:t>Follow-up</w:t>
            </w:r>
          </w:p>
        </w:tc>
        <w:tc>
          <w:tcPr>
            <w:tcW w:type="dxa" w:w="997"/>
            <w:shd w:val="clear" w:color="auto" w:fill="DCE6F1"/>
          </w:tcPr>
          <w:p>
            <w:r/>
            <w:r>
              <w:rPr>
                <w:rFonts w:ascii="Arial" w:hAnsi="Arial" w:eastAsia="Arial"/>
                <w:b/>
                <w:i w:val="0"/>
                <w:sz w:val="13"/>
              </w:rPr>
              <w:t>Main outcomes</w:t>
            </w:r>
          </w:p>
        </w:tc>
        <w:tc>
          <w:tcPr>
            <w:tcW w:type="dxa" w:w="997"/>
            <w:shd w:val="clear" w:color="auto" w:fill="DCE6F1"/>
          </w:tcPr>
          <w:p>
            <w:r/>
            <w:r>
              <w:rPr>
                <w:rFonts w:ascii="Arial" w:hAnsi="Arial" w:eastAsia="Arial"/>
                <w:b/>
                <w:i w:val="0"/>
                <w:sz w:val="13"/>
              </w:rPr>
              <w:t>Overlap group</w:t>
            </w:r>
          </w:p>
        </w:tc>
        <w:tc>
          <w:tcPr>
            <w:tcW w:type="dxa" w:w="997"/>
            <w:shd w:val="clear" w:color="auto" w:fill="DCE6F1"/>
          </w:tcPr>
          <w:p>
            <w:r/>
            <w:r>
              <w:rPr>
                <w:rFonts w:ascii="Arial" w:hAnsi="Arial" w:eastAsia="Arial"/>
                <w:b/>
                <w:i w:val="0"/>
                <w:sz w:val="13"/>
              </w:rPr>
              <w:t>Analysis set</w:t>
            </w:r>
          </w:p>
        </w:tc>
      </w:tr>
      <w:tr>
        <w:tc>
          <w:tcPr>
            <w:tcW w:type="dxa" w:w="997"/>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997"/>
          </w:tcPr>
          <w:p>
            <w:pPr>
              <w:spacing w:after="0"/>
            </w:pPr>
            <w:r/>
            <w:r>
              <w:rPr>
                <w:rFonts w:ascii="Arial" w:hAnsi="Arial" w:eastAsia="Arial"/>
                <w:b w:val="0"/>
                <w:i w:val="0"/>
                <w:sz w:val="13"/>
              </w:rPr>
              <w:t>Shanghai</w:t>
            </w:r>
          </w:p>
        </w:tc>
        <w:tc>
          <w:tcPr>
            <w:tcW w:type="dxa" w:w="997"/>
          </w:tcPr>
          <w:p>
            <w:pPr>
              <w:spacing w:after="0"/>
            </w:pPr>
            <w:r/>
            <w:r>
              <w:rPr>
                <w:rFonts w:ascii="Arial" w:hAnsi="Arial" w:eastAsia="Arial"/>
                <w:b w:val="0"/>
                <w:i w:val="0"/>
                <w:sz w:val="13"/>
              </w:rPr>
              <w:t>Dept of Colorectal Surgery</w:t>
            </w:r>
          </w:p>
        </w:tc>
        <w:tc>
          <w:tcPr>
            <w:tcW w:type="dxa" w:w="997"/>
          </w:tcPr>
          <w:p>
            <w:pPr>
              <w:spacing w:after="0"/>
            </w:pPr>
            <w:r/>
            <w:r>
              <w:rPr>
                <w:rFonts w:ascii="Arial" w:hAnsi="Arial" w:eastAsia="Arial"/>
                <w:b w:val="0"/>
                <w:i w:val="0"/>
                <w:sz w:val="13"/>
              </w:rPr>
              <w:t>2001-01 to 2021-12</w:t>
            </w:r>
          </w:p>
        </w:tc>
        <w:tc>
          <w:tcPr>
            <w:tcW w:type="dxa" w:w="997"/>
          </w:tcPr>
          <w:p>
            <w:pPr>
              <w:spacing w:after="0"/>
            </w:pPr>
            <w:r/>
            <w:r>
              <w:rPr>
                <w:rFonts w:ascii="Arial" w:hAnsi="Arial" w:eastAsia="Arial"/>
                <w:b w:val="0"/>
                <w:i w:val="0"/>
                <w:sz w:val="13"/>
              </w:rPr>
              <w:t>Retrospective single-centre cohort</w:t>
            </w:r>
          </w:p>
        </w:tc>
        <w:tc>
          <w:tcPr>
            <w:tcW w:type="dxa" w:w="997"/>
          </w:tcPr>
          <w:p>
            <w:pPr>
              <w:spacing w:after="0"/>
            </w:pPr>
            <w:r/>
            <w:r>
              <w:rPr>
                <w:rFonts w:ascii="Arial" w:hAnsi="Arial" w:eastAsia="Arial"/>
                <w:b w:val="0"/>
                <w:i w:val="0"/>
                <w:sz w:val="13"/>
              </w:rPr>
              <w:t>823</w:t>
            </w:r>
          </w:p>
        </w:tc>
        <w:tc>
          <w:tcPr>
            <w:tcW w:type="dxa" w:w="997"/>
          </w:tcPr>
          <w:p>
            <w:pPr>
              <w:spacing w:after="0"/>
            </w:pPr>
            <w:r/>
            <w:r>
              <w:rPr>
                <w:rFonts w:ascii="Arial" w:hAnsi="Arial" w:eastAsia="Arial"/>
                <w:b w:val="0"/>
                <w:i w:val="0"/>
                <w:sz w:val="13"/>
              </w:rPr>
              <w:t>30330</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Calcified eggs in resected colorectal tissue</w:t>
            </w:r>
          </w:p>
        </w:tc>
        <w:tc>
          <w:tcPr>
            <w:tcW w:type="dxa" w:w="997"/>
          </w:tcPr>
          <w:p>
            <w:pPr>
              <w:spacing w:after="0"/>
            </w:pPr>
            <w:r/>
            <w:r>
              <w:rPr>
                <w:rFonts w:ascii="Arial" w:hAnsi="Arial" w:eastAsia="Arial"/>
                <w:b w:val="0"/>
                <w:i w:val="0"/>
                <w:sz w:val="13"/>
              </w:rPr>
              <w:t>NR (survival in 6,537)</w:t>
            </w:r>
          </w:p>
        </w:tc>
        <w:tc>
          <w:tcPr>
            <w:tcW w:type="dxa" w:w="997"/>
          </w:tcPr>
          <w:p>
            <w:pPr>
              <w:spacing w:after="0"/>
            </w:pPr>
            <w:r/>
            <w:r>
              <w:rPr>
                <w:rFonts w:ascii="Arial" w:hAnsi="Arial" w:eastAsia="Arial"/>
                <w:b w:val="0"/>
                <w:i w:val="0"/>
                <w:sz w:val="13"/>
              </w:rPr>
              <w:t>Trends; clinicopathological features; comorbidity; KRAS; multiple primary CRC; c</w:t>
            </w:r>
          </w:p>
        </w:tc>
        <w:tc>
          <w:tcPr>
            <w:tcW w:type="dxa" w:w="997"/>
          </w:tcPr>
          <w:p>
            <w:pPr>
              <w:spacing w:after="0"/>
            </w:pPr>
            <w:r/>
            <w:r>
              <w:rPr>
                <w:rFonts w:ascii="Arial" w:hAnsi="Arial" w:eastAsia="Arial"/>
                <w:b w:val="0"/>
                <w:i w:val="0"/>
                <w:sz w:val="13"/>
              </w:rPr>
              <w:t>G1</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Wang 2020</w:t>
            </w:r>
            <w:r>
              <w:rPr>
                <w:rFonts w:ascii="Arial" w:hAnsi="Arial" w:eastAsia="Arial"/>
                <w:b w:val="0"/>
                <w:i w:val="0"/>
                <w:sz w:val="13"/>
                <w:vertAlign w:val="superscript"/>
              </w:rPr>
              <w:t>12</w:t>
            </w:r>
          </w:p>
        </w:tc>
        <w:tc>
          <w:tcPr>
            <w:tcW w:type="dxa" w:w="997"/>
          </w:tcPr>
          <w:p>
            <w:pPr>
              <w:spacing w:after="0"/>
            </w:pPr>
            <w:r/>
            <w:r>
              <w:rPr>
                <w:rFonts w:ascii="Arial" w:hAnsi="Arial" w:eastAsia="Arial"/>
                <w:b w:val="0"/>
                <w:i w:val="0"/>
                <w:sz w:val="13"/>
              </w:rPr>
              <w:t>Wuhu, Anhui</w:t>
            </w:r>
          </w:p>
        </w:tc>
        <w:tc>
          <w:tcPr>
            <w:tcW w:type="dxa" w:w="997"/>
          </w:tcPr>
          <w:p>
            <w:pPr>
              <w:spacing w:after="0"/>
            </w:pPr>
            <w:r/>
            <w:r>
              <w:rPr>
                <w:rFonts w:ascii="Arial" w:hAnsi="Arial" w:eastAsia="Arial"/>
                <w:b w:val="0"/>
                <w:i w:val="0"/>
                <w:sz w:val="13"/>
              </w:rPr>
              <w:t>Dept of Infectious Diseases</w:t>
            </w:r>
          </w:p>
        </w:tc>
        <w:tc>
          <w:tcPr>
            <w:tcW w:type="dxa" w:w="997"/>
          </w:tcPr>
          <w:p>
            <w:pPr>
              <w:spacing w:after="0"/>
            </w:pPr>
            <w:r/>
            <w:r>
              <w:rPr>
                <w:rFonts w:ascii="Arial" w:hAnsi="Arial" w:eastAsia="Arial"/>
                <w:b w:val="0"/>
                <w:i w:val="0"/>
                <w:sz w:val="13"/>
              </w:rPr>
              <w:t>2012-01 to 2018-12</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253</w:t>
            </w:r>
          </w:p>
        </w:tc>
        <w:tc>
          <w:tcPr>
            <w:tcW w:type="dxa" w:w="997"/>
          </w:tcPr>
          <w:p>
            <w:pPr>
              <w:spacing w:after="0"/>
            </w:pPr>
            <w:r/>
            <w:r>
              <w:rPr>
                <w:rFonts w:ascii="Arial" w:hAnsi="Arial" w:eastAsia="Arial"/>
                <w:b w:val="0"/>
                <w:i w:val="0"/>
                <w:sz w:val="13"/>
              </w:rPr>
              <w:t>2885</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Median 78 mo (100 pts)</w:t>
            </w:r>
          </w:p>
        </w:tc>
        <w:tc>
          <w:tcPr>
            <w:tcW w:type="dxa" w:w="997"/>
          </w:tcPr>
          <w:p>
            <w:pPr>
              <w:spacing w:after="0"/>
            </w:pPr>
            <w:r/>
            <w:r>
              <w:rPr>
                <w:rFonts w:ascii="Arial" w:hAnsi="Arial" w:eastAsia="Arial"/>
                <w:b w:val="0"/>
                <w:i w:val="0"/>
                <w:sz w:val="13"/>
              </w:rPr>
              <w:t>Age; sex; faecal occult blood; pT stage; CA19-9; WBC; RBC; PLT; 5-year survival</w:t>
            </w:r>
          </w:p>
        </w:tc>
        <w:tc>
          <w:tcPr>
            <w:tcW w:type="dxa" w:w="997"/>
          </w:tcPr>
          <w:p>
            <w:pPr>
              <w:spacing w:after="0"/>
            </w:pPr>
            <w:r/>
            <w:r>
              <w:rPr>
                <w:rFonts w:ascii="Arial" w:hAnsi="Arial" w:eastAsia="Arial"/>
                <w:b w:val="0"/>
                <w:i w:val="0"/>
                <w:sz w:val="13"/>
              </w:rPr>
              <w:t>G2</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Yang 2023</w:t>
            </w:r>
            <w:r>
              <w:rPr>
                <w:rFonts w:ascii="Arial" w:hAnsi="Arial" w:eastAsia="Arial"/>
                <w:b w:val="0"/>
                <w:i w:val="0"/>
                <w:sz w:val="13"/>
                <w:vertAlign w:val="superscript"/>
              </w:rPr>
              <w:t>34</w:t>
            </w:r>
          </w:p>
        </w:tc>
        <w:tc>
          <w:tcPr>
            <w:tcW w:type="dxa" w:w="997"/>
          </w:tcPr>
          <w:p>
            <w:pPr>
              <w:spacing w:after="0"/>
            </w:pPr>
            <w:r/>
            <w:r>
              <w:rPr>
                <w:rFonts w:ascii="Arial" w:hAnsi="Arial" w:eastAsia="Arial"/>
                <w:b w:val="0"/>
                <w:i w:val="0"/>
                <w:sz w:val="13"/>
              </w:rPr>
              <w:t>Wuhu, Anhui</w:t>
            </w:r>
          </w:p>
        </w:tc>
        <w:tc>
          <w:tcPr>
            <w:tcW w:type="dxa" w:w="997"/>
          </w:tcPr>
          <w:p>
            <w:pPr>
              <w:spacing w:after="0"/>
            </w:pPr>
            <w:r/>
            <w:r>
              <w:rPr>
                <w:rFonts w:ascii="Arial" w:hAnsi="Arial" w:eastAsia="Arial"/>
                <w:b w:val="0"/>
                <w:i w:val="0"/>
                <w:sz w:val="13"/>
              </w:rPr>
              <w:t>Yijishan Hospital of Wannan Medical College + Chizhou People's Hospital</w:t>
            </w:r>
          </w:p>
        </w:tc>
        <w:tc>
          <w:tcPr>
            <w:tcW w:type="dxa" w:w="997"/>
          </w:tcPr>
          <w:p>
            <w:pPr>
              <w:spacing w:after="0"/>
            </w:pPr>
            <w:r/>
            <w:r>
              <w:rPr>
                <w:rFonts w:ascii="Arial" w:hAnsi="Arial" w:eastAsia="Arial"/>
                <w:b w:val="0"/>
                <w:i w:val="0"/>
                <w:sz w:val="13"/>
              </w:rPr>
              <w:t>2015-01 to 2021-12</w:t>
            </w:r>
          </w:p>
        </w:tc>
        <w:tc>
          <w:tcPr>
            <w:tcW w:type="dxa" w:w="997"/>
          </w:tcPr>
          <w:p>
            <w:pPr>
              <w:spacing w:after="0"/>
            </w:pPr>
            <w:r/>
            <w:r>
              <w:rPr>
                <w:rFonts w:ascii="Arial" w:hAnsi="Arial" w:eastAsia="Arial"/>
                <w:b w:val="0"/>
                <w:i w:val="0"/>
                <w:sz w:val="13"/>
              </w:rPr>
              <w:t>Retrospective pathology series</w:t>
            </w:r>
          </w:p>
        </w:tc>
        <w:tc>
          <w:tcPr>
            <w:tcW w:type="dxa" w:w="997"/>
          </w:tcPr>
          <w:p>
            <w:pPr>
              <w:spacing w:after="0"/>
            </w:pPr>
            <w:r/>
            <w:r>
              <w:rPr>
                <w:rFonts w:ascii="Arial" w:hAnsi="Arial" w:eastAsia="Arial"/>
                <w:b w:val="0"/>
                <w:i w:val="0"/>
                <w:sz w:val="13"/>
              </w:rPr>
              <w:t>298 CRC (158 colon, 140 rectal)</w:t>
            </w:r>
          </w:p>
        </w:tc>
        <w:tc>
          <w:tcPr>
            <w:tcW w:type="dxa" w:w="997"/>
          </w:tcPr>
          <w:p>
            <w:pPr>
              <w:spacing w:after="0"/>
            </w:pPr>
            <w:r/>
            <w:r>
              <w:rPr>
                <w:rFonts w:ascii="Arial" w:hAnsi="Arial" w:eastAsia="Arial"/>
                <w:b w:val="0"/>
                <w:i w:val="0"/>
                <w:sz w:val="13"/>
              </w:rPr>
              <w:t>326 CRC (159 colon, 167 rectal)</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None</w:t>
            </w:r>
          </w:p>
        </w:tc>
        <w:tc>
          <w:tcPr>
            <w:tcW w:type="dxa" w:w="997"/>
          </w:tcPr>
          <w:p>
            <w:pPr>
              <w:spacing w:after="0"/>
            </w:pPr>
            <w:r/>
            <w:r>
              <w:rPr>
                <w:rFonts w:ascii="Arial" w:hAnsi="Arial" w:eastAsia="Arial"/>
                <w:b w:val="0"/>
                <w:i w:val="0"/>
                <w:sz w:val="13"/>
              </w:rPr>
              <w:t>Age, sex, differentiation in schistosomiasis-associated vs non-schistosomiasis t</w:t>
            </w:r>
          </w:p>
        </w:tc>
        <w:tc>
          <w:tcPr>
            <w:tcW w:type="dxa" w:w="997"/>
          </w:tcPr>
          <w:p>
            <w:pPr>
              <w:spacing w:after="0"/>
            </w:pPr>
            <w:r/>
            <w:r>
              <w:rPr>
                <w:rFonts w:ascii="Arial" w:hAnsi="Arial" w:eastAsia="Arial"/>
                <w:b w:val="0"/>
                <w:i w:val="0"/>
                <w:sz w:val="13"/>
              </w:rPr>
              <w:t>G2</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Wang 2020</w:t>
            </w:r>
            <w:r>
              <w:rPr>
                <w:rFonts w:ascii="Arial" w:hAnsi="Arial" w:eastAsia="Arial"/>
                <w:b w:val="0"/>
                <w:i w:val="0"/>
                <w:sz w:val="13"/>
                <w:vertAlign w:val="superscript"/>
              </w:rPr>
              <w:t>13</w:t>
            </w:r>
          </w:p>
        </w:tc>
        <w:tc>
          <w:tcPr>
            <w:tcW w:type="dxa" w:w="997"/>
          </w:tcPr>
          <w:p>
            <w:pPr>
              <w:spacing w:after="0"/>
            </w:pPr>
            <w:r/>
            <w:r>
              <w:rPr>
                <w:rFonts w:ascii="Arial" w:hAnsi="Arial" w:eastAsia="Arial"/>
                <w:b w:val="0"/>
                <w:i w:val="0"/>
                <w:sz w:val="13"/>
              </w:rPr>
              <w:t>Shanghai (Qingpu)</w:t>
            </w:r>
          </w:p>
        </w:tc>
        <w:tc>
          <w:tcPr>
            <w:tcW w:type="dxa" w:w="997"/>
          </w:tcPr>
          <w:p>
            <w:pPr>
              <w:spacing w:after="0"/>
            </w:pPr>
            <w:r/>
            <w:r>
              <w:rPr>
                <w:rFonts w:ascii="Arial" w:hAnsi="Arial" w:eastAsia="Arial"/>
                <w:b w:val="0"/>
                <w:i w:val="0"/>
                <w:sz w:val="13"/>
              </w:rPr>
              <w:t>Qingpu Branch of Zhongshan Hospital</w:t>
            </w:r>
          </w:p>
        </w:tc>
        <w:tc>
          <w:tcPr>
            <w:tcW w:type="dxa" w:w="997"/>
          </w:tcPr>
          <w:p>
            <w:pPr>
              <w:spacing w:after="0"/>
            </w:pPr>
            <w:r/>
            <w:r>
              <w:rPr>
                <w:rFonts w:ascii="Arial" w:hAnsi="Arial" w:eastAsia="Arial"/>
                <w:b w:val="0"/>
                <w:i w:val="0"/>
                <w:sz w:val="13"/>
              </w:rPr>
              <w:t>2008-01 to 2016-08</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137</w:t>
            </w:r>
          </w:p>
        </w:tc>
        <w:tc>
          <w:tcPr>
            <w:tcW w:type="dxa" w:w="997"/>
          </w:tcPr>
          <w:p>
            <w:pPr>
              <w:spacing w:after="0"/>
            </w:pPr>
            <w:r/>
            <w:r>
              <w:rPr>
                <w:rFonts w:ascii="Arial" w:hAnsi="Arial" w:eastAsia="Arial"/>
                <w:b w:val="0"/>
                <w:i w:val="0"/>
                <w:sz w:val="13"/>
              </w:rPr>
              <w:t>214</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Median 62.4 mo</w:t>
            </w:r>
          </w:p>
        </w:tc>
        <w:tc>
          <w:tcPr>
            <w:tcW w:type="dxa" w:w="997"/>
          </w:tcPr>
          <w:p>
            <w:pPr>
              <w:spacing w:after="0"/>
            </w:pPr>
            <w:r/>
            <w:r>
              <w:rPr>
                <w:rFonts w:ascii="Arial" w:hAnsi="Arial" w:eastAsia="Arial"/>
                <w:b w:val="0"/>
                <w:i w:val="0"/>
                <w:sz w:val="13"/>
              </w:rPr>
              <w:t>Age</w:t>
            </w:r>
          </w:p>
        </w:tc>
        <w:tc>
          <w:tcPr>
            <w:tcW w:type="dxa" w:w="997"/>
          </w:tcPr>
          <w:p>
            <w:pPr>
              <w:spacing w:after="0"/>
            </w:pPr>
            <w:r/>
            <w:r>
              <w:rPr>
                <w:rFonts w:ascii="Arial" w:hAnsi="Arial" w:eastAsia="Arial"/>
                <w:b w:val="0"/>
                <w:i w:val="0"/>
                <w:sz w:val="13"/>
              </w:rPr>
              <w:t>G3</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Wang 2021</w:t>
            </w:r>
            <w:r>
              <w:rPr>
                <w:rFonts w:ascii="Arial" w:hAnsi="Arial" w:eastAsia="Arial"/>
                <w:b w:val="0"/>
                <w:i w:val="0"/>
                <w:sz w:val="13"/>
                <w:vertAlign w:val="superscript"/>
              </w:rPr>
              <w:t>35</w:t>
            </w:r>
          </w:p>
        </w:tc>
        <w:tc>
          <w:tcPr>
            <w:tcW w:type="dxa" w:w="997"/>
          </w:tcPr>
          <w:p>
            <w:pPr>
              <w:spacing w:after="0"/>
            </w:pPr>
            <w:r/>
            <w:r>
              <w:rPr>
                <w:rFonts w:ascii="Arial" w:hAnsi="Arial" w:eastAsia="Arial"/>
                <w:b w:val="0"/>
                <w:i w:val="0"/>
                <w:sz w:val="13"/>
              </w:rPr>
              <w:t>Shanghai (Qingpu)</w:t>
            </w:r>
          </w:p>
        </w:tc>
        <w:tc>
          <w:tcPr>
            <w:tcW w:type="dxa" w:w="997"/>
          </w:tcPr>
          <w:p>
            <w:pPr>
              <w:spacing w:after="0"/>
            </w:pPr>
            <w:r/>
            <w:r>
              <w:rPr>
                <w:rFonts w:ascii="Arial" w:hAnsi="Arial" w:eastAsia="Arial"/>
                <w:b w:val="0"/>
                <w:i w:val="0"/>
                <w:sz w:val="13"/>
              </w:rPr>
              <w:t>Dept of Pathology</w:t>
            </w:r>
          </w:p>
        </w:tc>
        <w:tc>
          <w:tcPr>
            <w:tcW w:type="dxa" w:w="997"/>
          </w:tcPr>
          <w:p>
            <w:pPr>
              <w:spacing w:after="0"/>
            </w:pPr>
            <w:r/>
            <w:r>
              <w:rPr>
                <w:rFonts w:ascii="Arial" w:hAnsi="Arial" w:eastAsia="Arial"/>
                <w:b w:val="0"/>
                <w:i w:val="0"/>
                <w:sz w:val="13"/>
              </w:rPr>
              <w:t>2008-01 to 2016-08</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128</w:t>
            </w:r>
          </w:p>
        </w:tc>
        <w:tc>
          <w:tcPr>
            <w:tcW w:type="dxa" w:w="997"/>
          </w:tcPr>
          <w:p>
            <w:pPr>
              <w:spacing w:after="0"/>
            </w:pPr>
            <w:r/>
            <w:r>
              <w:rPr>
                <w:rFonts w:ascii="Arial" w:hAnsi="Arial" w:eastAsia="Arial"/>
                <w:b w:val="0"/>
                <w:i w:val="0"/>
                <w:sz w:val="13"/>
              </w:rPr>
              <w:t>210</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NR (cohort as Wang 2020)</w:t>
            </w:r>
          </w:p>
        </w:tc>
        <w:tc>
          <w:tcPr>
            <w:tcW w:type="dxa" w:w="997"/>
          </w:tcPr>
          <w:p>
            <w:pPr>
              <w:spacing w:after="0"/>
            </w:pPr>
            <w:r/>
            <w:r>
              <w:rPr>
                <w:rFonts w:ascii="Arial" w:hAnsi="Arial" w:eastAsia="Arial"/>
                <w:b w:val="0"/>
                <w:i w:val="0"/>
                <w:sz w:val="13"/>
              </w:rPr>
              <w:t>CD8+ TIL; tumoural/stromal PD-L1; OS</w:t>
            </w:r>
          </w:p>
        </w:tc>
        <w:tc>
          <w:tcPr>
            <w:tcW w:type="dxa" w:w="997"/>
          </w:tcPr>
          <w:p>
            <w:pPr>
              <w:spacing w:after="0"/>
            </w:pPr>
            <w:r/>
            <w:r>
              <w:rPr>
                <w:rFonts w:ascii="Arial" w:hAnsi="Arial" w:eastAsia="Arial"/>
                <w:b w:val="0"/>
                <w:i w:val="0"/>
                <w:sz w:val="13"/>
              </w:rPr>
              <w:t>G3</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Wang 2023</w:t>
            </w:r>
            <w:r>
              <w:rPr>
                <w:rFonts w:ascii="Arial" w:hAnsi="Arial" w:eastAsia="Arial"/>
                <w:b w:val="0"/>
                <w:i w:val="0"/>
                <w:sz w:val="13"/>
                <w:vertAlign w:val="superscript"/>
              </w:rPr>
              <w:t>36</w:t>
            </w:r>
          </w:p>
        </w:tc>
        <w:tc>
          <w:tcPr>
            <w:tcW w:type="dxa" w:w="997"/>
          </w:tcPr>
          <w:p>
            <w:pPr>
              <w:spacing w:after="0"/>
            </w:pPr>
            <w:r/>
            <w:r>
              <w:rPr>
                <w:rFonts w:ascii="Arial" w:hAnsi="Arial" w:eastAsia="Arial"/>
                <w:b w:val="0"/>
                <w:i w:val="0"/>
                <w:sz w:val="13"/>
              </w:rPr>
              <w:t>Shanghai (Qingpu)</w:t>
            </w:r>
          </w:p>
        </w:tc>
        <w:tc>
          <w:tcPr>
            <w:tcW w:type="dxa" w:w="997"/>
          </w:tcPr>
          <w:p>
            <w:pPr>
              <w:spacing w:after="0"/>
            </w:pPr>
            <w:r/>
            <w:r>
              <w:rPr>
                <w:rFonts w:ascii="Arial" w:hAnsi="Arial" w:eastAsia="Arial"/>
                <w:b w:val="0"/>
                <w:i w:val="0"/>
                <w:sz w:val="13"/>
              </w:rPr>
              <w:t>Dept of Pathology</w:t>
            </w:r>
          </w:p>
        </w:tc>
        <w:tc>
          <w:tcPr>
            <w:tcW w:type="dxa" w:w="997"/>
          </w:tcPr>
          <w:p>
            <w:pPr>
              <w:spacing w:after="0"/>
            </w:pPr>
            <w:r/>
            <w:r>
              <w:rPr>
                <w:rFonts w:ascii="Arial" w:hAnsi="Arial" w:eastAsia="Arial"/>
                <w:b w:val="0"/>
                <w:i w:val="0"/>
                <w:sz w:val="13"/>
              </w:rPr>
              <w:t>2008-01 to 2016-08</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137 (126 with IHC)</w:t>
            </w:r>
          </w:p>
        </w:tc>
        <w:tc>
          <w:tcPr>
            <w:tcW w:type="dxa" w:w="997"/>
          </w:tcPr>
          <w:p>
            <w:pPr>
              <w:spacing w:after="0"/>
            </w:pPr>
            <w:r/>
            <w:r>
              <w:rPr>
                <w:rFonts w:ascii="Arial" w:hAnsi="Arial" w:eastAsia="Arial"/>
                <w:b w:val="0"/>
                <w:i w:val="0"/>
                <w:sz w:val="13"/>
              </w:rPr>
              <w:t>212 (188 with IHC)</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NR (cohort as Wang 2020)</w:t>
            </w:r>
          </w:p>
        </w:tc>
        <w:tc>
          <w:tcPr>
            <w:tcW w:type="dxa" w:w="997"/>
          </w:tcPr>
          <w:p>
            <w:pPr>
              <w:spacing w:after="0"/>
            </w:pPr>
            <w:r/>
            <w:r>
              <w:rPr>
                <w:rFonts w:ascii="Arial" w:hAnsi="Arial" w:eastAsia="Arial"/>
                <w:b w:val="0"/>
                <w:i w:val="0"/>
                <w:sz w:val="13"/>
              </w:rPr>
              <w:t>sTILs; CD3; CD20; clinicopathological features</w:t>
            </w:r>
          </w:p>
        </w:tc>
        <w:tc>
          <w:tcPr>
            <w:tcW w:type="dxa" w:w="997"/>
          </w:tcPr>
          <w:p>
            <w:pPr>
              <w:spacing w:after="0"/>
            </w:pPr>
            <w:r/>
            <w:r>
              <w:rPr>
                <w:rFonts w:ascii="Arial" w:hAnsi="Arial" w:eastAsia="Arial"/>
                <w:b w:val="0"/>
                <w:i w:val="0"/>
                <w:sz w:val="13"/>
              </w:rPr>
              <w:t>G3</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Pan 2020</w:t>
            </w:r>
            <w:r>
              <w:rPr>
                <w:rFonts w:ascii="Arial" w:hAnsi="Arial" w:eastAsia="Arial"/>
                <w:b w:val="0"/>
                <w:i w:val="0"/>
                <w:sz w:val="13"/>
                <w:vertAlign w:val="superscript"/>
              </w:rPr>
              <w:t>37</w:t>
            </w:r>
          </w:p>
        </w:tc>
        <w:tc>
          <w:tcPr>
            <w:tcW w:type="dxa" w:w="997"/>
          </w:tcPr>
          <w:p>
            <w:pPr>
              <w:spacing w:after="0"/>
            </w:pPr>
            <w:r/>
            <w:r>
              <w:rPr>
                <w:rFonts w:ascii="Arial" w:hAnsi="Arial" w:eastAsia="Arial"/>
                <w:b w:val="0"/>
                <w:i w:val="0"/>
                <w:sz w:val="13"/>
              </w:rPr>
              <w:t>Shanghai</w:t>
            </w:r>
          </w:p>
        </w:tc>
        <w:tc>
          <w:tcPr>
            <w:tcW w:type="dxa" w:w="997"/>
          </w:tcPr>
          <w:p>
            <w:pPr>
              <w:spacing w:after="0"/>
            </w:pPr>
            <w:r/>
            <w:r>
              <w:rPr>
                <w:rFonts w:ascii="Arial" w:hAnsi="Arial" w:eastAsia="Arial"/>
                <w:b w:val="0"/>
                <w:i w:val="0"/>
                <w:sz w:val="13"/>
              </w:rPr>
              <w:t>Zhongshan Hospital</w:t>
            </w:r>
          </w:p>
        </w:tc>
        <w:tc>
          <w:tcPr>
            <w:tcW w:type="dxa" w:w="997"/>
          </w:tcPr>
          <w:p>
            <w:pPr>
              <w:spacing w:after="0"/>
            </w:pPr>
            <w:r/>
            <w:r>
              <w:rPr>
                <w:rFonts w:ascii="Arial" w:hAnsi="Arial" w:eastAsia="Arial"/>
                <w:b w:val="0"/>
                <w:i w:val="0"/>
                <w:sz w:val="13"/>
              </w:rPr>
              <w:t>2008-01 to 2016-08</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138</w:t>
            </w:r>
          </w:p>
        </w:tc>
        <w:tc>
          <w:tcPr>
            <w:tcW w:type="dxa" w:w="997"/>
          </w:tcPr>
          <w:p>
            <w:pPr>
              <w:spacing w:after="0"/>
            </w:pPr>
            <w:r/>
            <w:r>
              <w:rPr>
                <w:rFonts w:ascii="Arial" w:hAnsi="Arial" w:eastAsia="Arial"/>
                <w:b w:val="0"/>
                <w:i w:val="0"/>
                <w:sz w:val="13"/>
              </w:rPr>
              <w:t>216</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Median 62.4 mo</w:t>
            </w:r>
          </w:p>
        </w:tc>
        <w:tc>
          <w:tcPr>
            <w:tcW w:type="dxa" w:w="997"/>
          </w:tcPr>
          <w:p>
            <w:pPr>
              <w:spacing w:after="0"/>
            </w:pPr>
            <w:r/>
            <w:r>
              <w:rPr>
                <w:rFonts w:ascii="Arial" w:hAnsi="Arial" w:eastAsia="Arial"/>
                <w:b w:val="0"/>
                <w:i w:val="0"/>
                <w:sz w:val="13"/>
              </w:rPr>
              <w:t>c-MYC amplification</w:t>
            </w:r>
          </w:p>
        </w:tc>
        <w:tc>
          <w:tcPr>
            <w:tcW w:type="dxa" w:w="997"/>
          </w:tcPr>
          <w:p>
            <w:pPr>
              <w:spacing w:after="0"/>
            </w:pPr>
            <w:r/>
            <w:r>
              <w:rPr>
                <w:rFonts w:ascii="Arial" w:hAnsi="Arial" w:eastAsia="Arial"/>
                <w:b w:val="0"/>
                <w:i w:val="0"/>
                <w:sz w:val="13"/>
              </w:rPr>
              <w:t>G3</w:t>
            </w:r>
          </w:p>
        </w:tc>
        <w:tc>
          <w:tcPr>
            <w:tcW w:type="dxa" w:w="997"/>
          </w:tcPr>
          <w:p>
            <w:pPr>
              <w:spacing w:after="0"/>
            </w:pPr>
            <w:r/>
            <w:r>
              <w:rPr>
                <w:rFonts w:ascii="Arial" w:hAnsi="Arial" w:eastAsia="Arial"/>
                <w:b w:val="0"/>
                <w:i w:val="0"/>
                <w:sz w:val="13"/>
              </w:rPr>
              <w:t>Molecular evidence table; within-SACC prognostic</w:t>
            </w:r>
          </w:p>
        </w:tc>
      </w:tr>
      <w:tr>
        <w:tc>
          <w:tcPr>
            <w:tcW w:type="dxa" w:w="997"/>
          </w:tcPr>
          <w:p>
            <w:pPr>
              <w:spacing w:after="0"/>
            </w:pPr>
            <w:r/>
            <w:r>
              <w:rPr>
                <w:rFonts w:ascii="Arial" w:hAnsi="Arial" w:eastAsia="Arial"/>
                <w:b w:val="0"/>
                <w:i w:val="0"/>
                <w:sz w:val="13"/>
              </w:rPr>
              <w:t>Cheng 2023</w:t>
            </w:r>
            <w:r>
              <w:rPr>
                <w:rFonts w:ascii="Arial" w:hAnsi="Arial" w:eastAsia="Arial"/>
                <w:b w:val="0"/>
                <w:i w:val="0"/>
                <w:sz w:val="13"/>
                <w:vertAlign w:val="superscript"/>
              </w:rPr>
              <w:t>38</w:t>
            </w:r>
          </w:p>
        </w:tc>
        <w:tc>
          <w:tcPr>
            <w:tcW w:type="dxa" w:w="997"/>
          </w:tcPr>
          <w:p>
            <w:pPr>
              <w:spacing w:after="0"/>
            </w:pPr>
            <w:r/>
            <w:r>
              <w:rPr>
                <w:rFonts w:ascii="Arial" w:hAnsi="Arial" w:eastAsia="Arial"/>
                <w:b w:val="0"/>
                <w:i w:val="0"/>
                <w:sz w:val="13"/>
              </w:rPr>
              <w:t>Shanghai (Qingpu)</w:t>
            </w:r>
          </w:p>
        </w:tc>
        <w:tc>
          <w:tcPr>
            <w:tcW w:type="dxa" w:w="997"/>
          </w:tcPr>
          <w:p>
            <w:pPr>
              <w:spacing w:after="0"/>
            </w:pPr>
            <w:r/>
            <w:r>
              <w:rPr>
                <w:rFonts w:ascii="Arial" w:hAnsi="Arial" w:eastAsia="Arial"/>
                <w:b w:val="0"/>
                <w:i w:val="0"/>
                <w:sz w:val="13"/>
              </w:rPr>
              <w:t>Qingpu Branch of Zhongshan Hospital</w:t>
            </w:r>
          </w:p>
        </w:tc>
        <w:tc>
          <w:tcPr>
            <w:tcW w:type="dxa" w:w="997"/>
          </w:tcPr>
          <w:p>
            <w:pPr>
              <w:spacing w:after="0"/>
            </w:pPr>
            <w:r/>
            <w:r>
              <w:rPr>
                <w:rFonts w:ascii="Arial" w:hAnsi="Arial" w:eastAsia="Arial"/>
                <w:b w:val="0"/>
                <w:i w:val="0"/>
                <w:sz w:val="13"/>
              </w:rPr>
              <w:t>2008-01 to 2016-08</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137</w:t>
            </w:r>
          </w:p>
        </w:tc>
        <w:tc>
          <w:tcPr>
            <w:tcW w:type="dxa" w:w="997"/>
          </w:tcPr>
          <w:p>
            <w:pPr>
              <w:spacing w:after="0"/>
            </w:pPr>
            <w:r/>
            <w:r>
              <w:rPr>
                <w:rFonts w:ascii="Arial" w:hAnsi="Arial" w:eastAsia="Arial"/>
                <w:b w:val="0"/>
                <w:i w:val="0"/>
                <w:sz w:val="13"/>
              </w:rPr>
              <w:t>214</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Median 62.4 mo</w:t>
            </w:r>
          </w:p>
        </w:tc>
        <w:tc>
          <w:tcPr>
            <w:tcW w:type="dxa" w:w="997"/>
          </w:tcPr>
          <w:p>
            <w:pPr>
              <w:spacing w:after="0"/>
            </w:pPr>
            <w:r/>
            <w:r>
              <w:rPr>
                <w:rFonts w:ascii="Arial" w:hAnsi="Arial" w:eastAsia="Arial"/>
                <w:b w:val="0"/>
                <w:i w:val="0"/>
                <w:sz w:val="13"/>
              </w:rPr>
              <w:t>Stromal/intratumoural CD4, CD8; CRP; OS</w:t>
            </w:r>
          </w:p>
        </w:tc>
        <w:tc>
          <w:tcPr>
            <w:tcW w:type="dxa" w:w="997"/>
          </w:tcPr>
          <w:p>
            <w:pPr>
              <w:spacing w:after="0"/>
            </w:pPr>
            <w:r/>
            <w:r>
              <w:rPr>
                <w:rFonts w:ascii="Arial" w:hAnsi="Arial" w:eastAsia="Arial"/>
                <w:b w:val="0"/>
                <w:i w:val="0"/>
                <w:sz w:val="13"/>
              </w:rPr>
              <w:t>G3</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Chai 2026</w:t>
            </w:r>
            <w:r>
              <w:rPr>
                <w:rFonts w:ascii="Arial" w:hAnsi="Arial" w:eastAsia="Arial"/>
                <w:b w:val="0"/>
                <w:i w:val="0"/>
                <w:sz w:val="13"/>
                <w:vertAlign w:val="superscript"/>
              </w:rPr>
              <w:t>39</w:t>
            </w:r>
          </w:p>
        </w:tc>
        <w:tc>
          <w:tcPr>
            <w:tcW w:type="dxa" w:w="997"/>
          </w:tcPr>
          <w:p>
            <w:pPr>
              <w:spacing w:after="0"/>
            </w:pPr>
            <w:r/>
            <w:r>
              <w:rPr>
                <w:rFonts w:ascii="Arial" w:hAnsi="Arial" w:eastAsia="Arial"/>
                <w:b w:val="0"/>
                <w:i w:val="0"/>
                <w:sz w:val="13"/>
              </w:rPr>
              <w:t>Shanghai (Qingpu)</w:t>
            </w:r>
          </w:p>
        </w:tc>
        <w:tc>
          <w:tcPr>
            <w:tcW w:type="dxa" w:w="997"/>
          </w:tcPr>
          <w:p>
            <w:pPr>
              <w:spacing w:after="0"/>
            </w:pPr>
            <w:r/>
            <w:r>
              <w:rPr>
                <w:rFonts w:ascii="Arial" w:hAnsi="Arial" w:eastAsia="Arial"/>
                <w:b w:val="0"/>
                <w:i w:val="0"/>
                <w:sz w:val="13"/>
              </w:rPr>
              <w:t>Qingpu Branch of Zhongshan Hospital</w:t>
            </w:r>
          </w:p>
        </w:tc>
        <w:tc>
          <w:tcPr>
            <w:tcW w:type="dxa" w:w="997"/>
          </w:tcPr>
          <w:p>
            <w:pPr>
              <w:spacing w:after="0"/>
            </w:pPr>
            <w:r/>
            <w:r>
              <w:rPr>
                <w:rFonts w:ascii="Arial" w:hAnsi="Arial" w:eastAsia="Arial"/>
                <w:b w:val="0"/>
                <w:i w:val="0"/>
                <w:sz w:val="13"/>
              </w:rPr>
              <w:t>2008-01 to 2016-08</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112</w:t>
            </w:r>
          </w:p>
        </w:tc>
        <w:tc>
          <w:tcPr>
            <w:tcW w:type="dxa" w:w="997"/>
          </w:tcPr>
          <w:p>
            <w:pPr>
              <w:spacing w:after="0"/>
            </w:pPr>
            <w:r/>
            <w:r>
              <w:rPr>
                <w:rFonts w:ascii="Arial" w:hAnsi="Arial" w:eastAsia="Arial"/>
                <w:b w:val="0"/>
                <w:i w:val="0"/>
                <w:sz w:val="13"/>
              </w:rPr>
              <w:t>174</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CFIm25; OS</w:t>
            </w:r>
          </w:p>
        </w:tc>
        <w:tc>
          <w:tcPr>
            <w:tcW w:type="dxa" w:w="997"/>
          </w:tcPr>
          <w:p>
            <w:pPr>
              <w:spacing w:after="0"/>
            </w:pPr>
            <w:r/>
            <w:r>
              <w:rPr>
                <w:rFonts w:ascii="Arial" w:hAnsi="Arial" w:eastAsia="Arial"/>
                <w:b w:val="0"/>
                <w:i w:val="0"/>
                <w:sz w:val="13"/>
              </w:rPr>
              <w:t>G3</w:t>
            </w:r>
          </w:p>
        </w:tc>
        <w:tc>
          <w:tcPr>
            <w:tcW w:type="dxa" w:w="997"/>
          </w:tcPr>
          <w:p>
            <w:pPr>
              <w:spacing w:after="0"/>
            </w:pPr>
            <w:r/>
            <w:r>
              <w:rPr>
                <w:rFonts w:ascii="Arial" w:hAnsi="Arial" w:eastAsia="Arial"/>
                <w:b w:val="0"/>
                <w:i w:val="0"/>
                <w:sz w:val="13"/>
              </w:rPr>
              <w:t>Molecular evidence table</w:t>
            </w:r>
          </w:p>
        </w:tc>
      </w:tr>
      <w:tr>
        <w:tc>
          <w:tcPr>
            <w:tcW w:type="dxa" w:w="997"/>
          </w:tcPr>
          <w:p>
            <w:pPr>
              <w:spacing w:after="0"/>
            </w:pPr>
            <w:r/>
            <w:r>
              <w:rPr>
                <w:rFonts w:ascii="Arial" w:hAnsi="Arial" w:eastAsia="Arial"/>
                <w:b w:val="0"/>
                <w:i w:val="0"/>
                <w:sz w:val="13"/>
              </w:rPr>
              <w:t>Li 2024</w:t>
            </w:r>
            <w:r>
              <w:rPr>
                <w:rFonts w:ascii="Arial" w:hAnsi="Arial" w:eastAsia="Arial"/>
                <w:b w:val="0"/>
                <w:i w:val="0"/>
                <w:sz w:val="13"/>
                <w:vertAlign w:val="superscript"/>
              </w:rPr>
              <w:t>18</w:t>
            </w:r>
          </w:p>
        </w:tc>
        <w:tc>
          <w:tcPr>
            <w:tcW w:type="dxa" w:w="997"/>
          </w:tcPr>
          <w:p>
            <w:pPr>
              <w:spacing w:after="0"/>
            </w:pPr>
            <w:r/>
            <w:r>
              <w:rPr>
                <w:rFonts w:ascii="Arial" w:hAnsi="Arial" w:eastAsia="Arial"/>
                <w:b w:val="0"/>
                <w:i w:val="0"/>
                <w:sz w:val="13"/>
              </w:rPr>
              <w:t>Wuhan, Hubei</w:t>
            </w:r>
          </w:p>
        </w:tc>
        <w:tc>
          <w:tcPr>
            <w:tcW w:type="dxa" w:w="997"/>
          </w:tcPr>
          <w:p>
            <w:pPr>
              <w:spacing w:after="0"/>
            </w:pPr>
            <w:r/>
            <w:r>
              <w:rPr>
                <w:rFonts w:ascii="Arial" w:hAnsi="Arial" w:eastAsia="Arial"/>
                <w:b w:val="0"/>
                <w:i w:val="0"/>
                <w:sz w:val="13"/>
              </w:rPr>
              <w:t>Dept of Pathology</w:t>
            </w:r>
          </w:p>
        </w:tc>
        <w:tc>
          <w:tcPr>
            <w:tcW w:type="dxa" w:w="997"/>
          </w:tcPr>
          <w:p>
            <w:pPr>
              <w:spacing w:after="0"/>
            </w:pPr>
            <w:r/>
            <w:r>
              <w:rPr>
                <w:rFonts w:ascii="Arial" w:hAnsi="Arial" w:eastAsia="Arial"/>
                <w:b w:val="0"/>
                <w:i w:val="0"/>
                <w:sz w:val="13"/>
              </w:rPr>
              <w:t>2010-01 to 2019-06</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30</w:t>
            </w:r>
          </w:p>
        </w:tc>
        <w:tc>
          <w:tcPr>
            <w:tcW w:type="dxa" w:w="997"/>
          </w:tcPr>
          <w:p>
            <w:pPr>
              <w:spacing w:after="0"/>
            </w:pPr>
            <w:r/>
            <w:r>
              <w:rPr>
                <w:rFonts w:ascii="Arial" w:hAnsi="Arial" w:eastAsia="Arial"/>
                <w:b w:val="0"/>
                <w:i w:val="0"/>
                <w:sz w:val="13"/>
              </w:rPr>
              <w:t>459</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Intact/calcified eggs, granulomas, or worms in CRC tissue</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KRAS G12S/D</w:t>
            </w:r>
          </w:p>
        </w:tc>
        <w:tc>
          <w:tcPr>
            <w:tcW w:type="dxa" w:w="997"/>
          </w:tcPr>
          <w:p>
            <w:pPr>
              <w:spacing w:after="0"/>
            </w:pPr>
            <w:r/>
            <w:r>
              <w:rPr>
                <w:rFonts w:ascii="Arial" w:hAnsi="Arial" w:eastAsia="Arial"/>
                <w:b w:val="0"/>
                <w:i w:val="0"/>
                <w:sz w:val="13"/>
              </w:rPr>
              <w:t>G4</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Zhu 2024</w:t>
            </w:r>
            <w:r>
              <w:rPr>
                <w:rFonts w:ascii="Arial" w:hAnsi="Arial" w:eastAsia="Arial"/>
                <w:b w:val="0"/>
                <w:i w:val="0"/>
                <w:sz w:val="13"/>
                <w:vertAlign w:val="superscript"/>
              </w:rPr>
              <w:t>15</w:t>
            </w:r>
          </w:p>
        </w:tc>
        <w:tc>
          <w:tcPr>
            <w:tcW w:type="dxa" w:w="997"/>
          </w:tcPr>
          <w:p>
            <w:pPr>
              <w:spacing w:after="0"/>
            </w:pPr>
            <w:r/>
            <w:r>
              <w:rPr>
                <w:rFonts w:ascii="Arial" w:hAnsi="Arial" w:eastAsia="Arial"/>
                <w:b w:val="0"/>
                <w:i w:val="0"/>
                <w:sz w:val="13"/>
              </w:rPr>
              <w:t>Jingzhou, Hubei</w:t>
            </w:r>
          </w:p>
        </w:tc>
        <w:tc>
          <w:tcPr>
            <w:tcW w:type="dxa" w:w="997"/>
          </w:tcPr>
          <w:p>
            <w:pPr>
              <w:spacing w:after="0"/>
            </w:pPr>
            <w:r/>
            <w:r>
              <w:rPr>
                <w:rFonts w:ascii="Arial" w:hAnsi="Arial" w:eastAsia="Arial"/>
                <w:b w:val="0"/>
                <w:i w:val="0"/>
                <w:sz w:val="13"/>
              </w:rPr>
              <w:t>Department of Pathology</w:t>
            </w:r>
          </w:p>
        </w:tc>
        <w:tc>
          <w:tcPr>
            <w:tcW w:type="dxa" w:w="997"/>
          </w:tcPr>
          <w:p>
            <w:pPr>
              <w:spacing w:after="0"/>
            </w:pPr>
            <w:r/>
            <w:r>
              <w:rPr>
                <w:rFonts w:ascii="Arial" w:hAnsi="Arial" w:eastAsia="Arial"/>
                <w:b w:val="0"/>
                <w:i w:val="0"/>
                <w:sz w:val="13"/>
              </w:rPr>
              <w:t>2020-01 to 2022-08</w:t>
            </w:r>
          </w:p>
        </w:tc>
        <w:tc>
          <w:tcPr>
            <w:tcW w:type="dxa" w:w="997"/>
          </w:tcPr>
          <w:p>
            <w:pPr>
              <w:spacing w:after="0"/>
            </w:pPr>
            <w:r/>
            <w:r>
              <w:rPr>
                <w:rFonts w:ascii="Arial" w:hAnsi="Arial" w:eastAsia="Arial"/>
                <w:b w:val="0"/>
                <w:i w:val="0"/>
                <w:sz w:val="13"/>
              </w:rPr>
              <w:t>Retrospective cross-sectional</w:t>
            </w:r>
          </w:p>
        </w:tc>
        <w:tc>
          <w:tcPr>
            <w:tcW w:type="dxa" w:w="997"/>
          </w:tcPr>
          <w:p>
            <w:pPr>
              <w:spacing w:after="0"/>
            </w:pPr>
            <w:r/>
            <w:r>
              <w:rPr>
                <w:rFonts w:ascii="Arial" w:hAnsi="Arial" w:eastAsia="Arial"/>
                <w:b w:val="0"/>
                <w:i w:val="0"/>
                <w:sz w:val="13"/>
              </w:rPr>
              <w:t>95</w:t>
            </w:r>
          </w:p>
        </w:tc>
        <w:tc>
          <w:tcPr>
            <w:tcW w:type="dxa" w:w="997"/>
          </w:tcPr>
          <w:p>
            <w:pPr>
              <w:spacing w:after="0"/>
            </w:pPr>
            <w:r/>
            <w:r>
              <w:rPr>
                <w:rFonts w:ascii="Arial" w:hAnsi="Arial" w:eastAsia="Arial"/>
                <w:b w:val="0"/>
                <w:i w:val="0"/>
                <w:sz w:val="13"/>
              </w:rPr>
              <w:t>406</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None</w:t>
            </w:r>
          </w:p>
        </w:tc>
        <w:tc>
          <w:tcPr>
            <w:tcW w:type="dxa" w:w="997"/>
          </w:tcPr>
          <w:p>
            <w:pPr>
              <w:spacing w:after="0"/>
            </w:pPr>
            <w:r/>
            <w:r>
              <w:rPr>
                <w:rFonts w:ascii="Arial" w:hAnsi="Arial" w:eastAsia="Arial"/>
                <w:b w:val="0"/>
                <w:i w:val="0"/>
                <w:sz w:val="13"/>
              </w:rPr>
              <w:t>Age &gt;60; site</w:t>
            </w:r>
          </w:p>
        </w:tc>
        <w:tc>
          <w:tcPr>
            <w:tcW w:type="dxa" w:w="997"/>
          </w:tcPr>
          <w:p>
            <w:pPr>
              <w:spacing w:after="0"/>
            </w:pPr>
            <w:r/>
            <w:r>
              <w:rPr>
                <w:rFonts w:ascii="Arial" w:hAnsi="Arial" w:eastAsia="Arial"/>
                <w:b w:val="0"/>
                <w:i w:val="0"/>
                <w:sz w:val="13"/>
              </w:rPr>
              <w:t>G5</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Zhang 2023</w:t>
            </w:r>
            <w:r>
              <w:rPr>
                <w:rFonts w:ascii="Arial" w:hAnsi="Arial" w:eastAsia="Arial"/>
                <w:b w:val="0"/>
                <w:i w:val="0"/>
                <w:sz w:val="13"/>
                <w:vertAlign w:val="superscript"/>
              </w:rPr>
              <w:t>14</w:t>
            </w:r>
          </w:p>
        </w:tc>
        <w:tc>
          <w:tcPr>
            <w:tcW w:type="dxa" w:w="997"/>
          </w:tcPr>
          <w:p>
            <w:pPr>
              <w:spacing w:after="0"/>
            </w:pPr>
            <w:r/>
            <w:r>
              <w:rPr>
                <w:rFonts w:ascii="Arial" w:hAnsi="Arial" w:eastAsia="Arial"/>
                <w:b w:val="0"/>
                <w:i w:val="0"/>
                <w:sz w:val="13"/>
              </w:rPr>
              <w:t>Jingzhou, Hubei</w:t>
            </w:r>
          </w:p>
        </w:tc>
        <w:tc>
          <w:tcPr>
            <w:tcW w:type="dxa" w:w="997"/>
          </w:tcPr>
          <w:p>
            <w:pPr>
              <w:spacing w:after="0"/>
            </w:pPr>
            <w:r/>
            <w:r>
              <w:rPr>
                <w:rFonts w:ascii="Arial" w:hAnsi="Arial" w:eastAsia="Arial"/>
                <w:b w:val="0"/>
                <w:i w:val="0"/>
                <w:sz w:val="13"/>
              </w:rPr>
              <w:t>Dept of Radiology</w:t>
            </w:r>
          </w:p>
        </w:tc>
        <w:tc>
          <w:tcPr>
            <w:tcW w:type="dxa" w:w="997"/>
          </w:tcPr>
          <w:p>
            <w:pPr>
              <w:spacing w:after="0"/>
            </w:pPr>
            <w:r/>
            <w:r>
              <w:rPr>
                <w:rFonts w:ascii="Arial" w:hAnsi="Arial" w:eastAsia="Arial"/>
                <w:b w:val="0"/>
                <w:i w:val="0"/>
                <w:sz w:val="13"/>
              </w:rPr>
              <w:t>2020-01 to 2022-12</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101</w:t>
            </w:r>
          </w:p>
        </w:tc>
        <w:tc>
          <w:tcPr>
            <w:tcW w:type="dxa" w:w="997"/>
          </w:tcPr>
          <w:p>
            <w:pPr>
              <w:spacing w:after="0"/>
            </w:pPr>
            <w:r/>
            <w:r>
              <w:rPr>
                <w:rFonts w:ascii="Arial" w:hAnsi="Arial" w:eastAsia="Arial"/>
                <w:b w:val="0"/>
                <w:i w:val="0"/>
                <w:sz w:val="13"/>
              </w:rPr>
              <w:t>240</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None</w:t>
            </w:r>
          </w:p>
        </w:tc>
        <w:tc>
          <w:tcPr>
            <w:tcW w:type="dxa" w:w="997"/>
          </w:tcPr>
          <w:p>
            <w:pPr>
              <w:spacing w:after="0"/>
            </w:pPr>
            <w:r/>
            <w:r>
              <w:rPr>
                <w:rFonts w:ascii="Arial" w:hAnsi="Arial" w:eastAsia="Arial"/>
                <w:b w:val="0"/>
                <w:i w:val="0"/>
                <w:sz w:val="13"/>
              </w:rPr>
              <w:t>Sex; TNM stage; LN metastasis; nerve invasion; vascular tumour thrombus; differe</w:t>
            </w:r>
          </w:p>
        </w:tc>
        <w:tc>
          <w:tcPr>
            <w:tcW w:type="dxa" w:w="997"/>
          </w:tcPr>
          <w:p>
            <w:pPr>
              <w:spacing w:after="0"/>
            </w:pPr>
            <w:r/>
            <w:r>
              <w:rPr>
                <w:rFonts w:ascii="Arial" w:hAnsi="Arial" w:eastAsia="Arial"/>
                <w:b w:val="0"/>
                <w:i w:val="0"/>
                <w:sz w:val="13"/>
              </w:rPr>
              <w:t>G5</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Wu 2021</w:t>
            </w:r>
            <w:r>
              <w:rPr>
                <w:rFonts w:ascii="Arial" w:hAnsi="Arial" w:eastAsia="Arial"/>
                <w:b w:val="0"/>
                <w:i w:val="0"/>
                <w:sz w:val="13"/>
                <w:vertAlign w:val="superscript"/>
              </w:rPr>
              <w:t>40</w:t>
            </w:r>
          </w:p>
        </w:tc>
        <w:tc>
          <w:tcPr>
            <w:tcW w:type="dxa" w:w="997"/>
          </w:tcPr>
          <w:p>
            <w:pPr>
              <w:spacing w:after="0"/>
            </w:pPr>
            <w:r/>
            <w:r>
              <w:rPr>
                <w:rFonts w:ascii="Arial" w:hAnsi="Arial" w:eastAsia="Arial"/>
                <w:b w:val="0"/>
                <w:i w:val="0"/>
                <w:sz w:val="13"/>
              </w:rPr>
              <w:t>Wuhu, Anhui</w:t>
            </w:r>
          </w:p>
        </w:tc>
        <w:tc>
          <w:tcPr>
            <w:tcW w:type="dxa" w:w="997"/>
          </w:tcPr>
          <w:p>
            <w:pPr>
              <w:spacing w:after="0"/>
            </w:pPr>
            <w:r/>
            <w:r>
              <w:rPr>
                <w:rFonts w:ascii="Arial" w:hAnsi="Arial" w:eastAsia="Arial"/>
                <w:b w:val="0"/>
                <w:i w:val="0"/>
                <w:sz w:val="13"/>
              </w:rPr>
              <w:t>Wuhu Second People's Hospital</w:t>
            </w:r>
          </w:p>
        </w:tc>
        <w:tc>
          <w:tcPr>
            <w:tcW w:type="dxa" w:w="997"/>
          </w:tcPr>
          <w:p>
            <w:pPr>
              <w:spacing w:after="0"/>
            </w:pPr>
            <w:r/>
            <w:r>
              <w:rPr>
                <w:rFonts w:ascii="Arial" w:hAnsi="Arial" w:eastAsia="Arial"/>
                <w:b w:val="0"/>
                <w:i w:val="0"/>
                <w:sz w:val="13"/>
              </w:rPr>
              <w:t>2015-06 to 2020-06</w:t>
            </w:r>
          </w:p>
        </w:tc>
        <w:tc>
          <w:tcPr>
            <w:tcW w:type="dxa" w:w="997"/>
          </w:tcPr>
          <w:p>
            <w:pPr>
              <w:spacing w:after="0"/>
            </w:pPr>
            <w:r/>
            <w:r>
              <w:rPr>
                <w:rFonts w:ascii="Arial" w:hAnsi="Arial" w:eastAsia="Arial"/>
                <w:b w:val="0"/>
                <w:i w:val="0"/>
                <w:sz w:val="13"/>
              </w:rPr>
              <w:t>Retrospective cohort</w:t>
            </w:r>
          </w:p>
        </w:tc>
        <w:tc>
          <w:tcPr>
            <w:tcW w:type="dxa" w:w="997"/>
          </w:tcPr>
          <w:p>
            <w:pPr>
              <w:spacing w:after="0"/>
            </w:pPr>
            <w:r/>
            <w:r>
              <w:rPr>
                <w:rFonts w:ascii="Arial" w:hAnsi="Arial" w:eastAsia="Arial"/>
                <w:b w:val="0"/>
                <w:i w:val="0"/>
                <w:sz w:val="13"/>
              </w:rPr>
              <w:t>56</w:t>
            </w:r>
          </w:p>
        </w:tc>
        <w:tc>
          <w:tcPr>
            <w:tcW w:type="dxa" w:w="997"/>
          </w:tcPr>
          <w:p>
            <w:pPr>
              <w:spacing w:after="0"/>
            </w:pPr>
            <w:r/>
            <w:r>
              <w:rPr>
                <w:rFonts w:ascii="Arial" w:hAnsi="Arial" w:eastAsia="Arial"/>
                <w:b w:val="0"/>
                <w:i w:val="0"/>
                <w:sz w:val="13"/>
              </w:rPr>
              <w:t>307</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None</w:t>
            </w:r>
          </w:p>
        </w:tc>
        <w:tc>
          <w:tcPr>
            <w:tcW w:type="dxa" w:w="997"/>
          </w:tcPr>
          <w:p>
            <w:pPr>
              <w:spacing w:after="0"/>
            </w:pPr>
            <w:r/>
            <w:r>
              <w:rPr>
                <w:rFonts w:ascii="Arial" w:hAnsi="Arial" w:eastAsia="Arial"/>
                <w:b w:val="0"/>
                <w:i w:val="0"/>
                <w:sz w:val="13"/>
              </w:rPr>
              <w:t>LN metastasis; differentiation; vascular and perineural invasion; depth; SIK2</w:t>
            </w:r>
          </w:p>
        </w:tc>
        <w:tc>
          <w:tcPr>
            <w:tcW w:type="dxa" w:w="997"/>
          </w:tcPr>
          <w:p>
            <w:pPr>
              <w:spacing w:after="0"/>
            </w:pPr>
            <w:r/>
            <w:r>
              <w:rPr>
                <w:rFonts w:ascii="Arial" w:hAnsi="Arial" w:eastAsia="Arial"/>
                <w:b w:val="0"/>
                <w:i w:val="0"/>
                <w:sz w:val="13"/>
              </w:rPr>
              <w:t>G10</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Feng 2015</w:t>
            </w:r>
            <w:r>
              <w:rPr>
                <w:rFonts w:ascii="Arial" w:hAnsi="Arial" w:eastAsia="Arial"/>
                <w:b w:val="0"/>
                <w:i w:val="0"/>
                <w:sz w:val="13"/>
                <w:vertAlign w:val="superscript"/>
              </w:rPr>
              <w:t>41</w:t>
            </w:r>
          </w:p>
        </w:tc>
        <w:tc>
          <w:tcPr>
            <w:tcW w:type="dxa" w:w="997"/>
          </w:tcPr>
          <w:p>
            <w:pPr>
              <w:spacing w:after="0"/>
            </w:pPr>
            <w:r/>
            <w:r>
              <w:rPr>
                <w:rFonts w:ascii="Arial" w:hAnsi="Arial" w:eastAsia="Arial"/>
                <w:b w:val="0"/>
                <w:i w:val="0"/>
                <w:sz w:val="13"/>
              </w:rPr>
              <w:t>Shanghai</w:t>
            </w:r>
          </w:p>
        </w:tc>
        <w:tc>
          <w:tcPr>
            <w:tcW w:type="dxa" w:w="997"/>
          </w:tcPr>
          <w:p>
            <w:pPr>
              <w:spacing w:after="0"/>
            </w:pPr>
            <w:r/>
            <w:r>
              <w:rPr>
                <w:rFonts w:ascii="Arial" w:hAnsi="Arial" w:eastAsia="Arial"/>
                <w:b w:val="0"/>
                <w:i w:val="0"/>
                <w:sz w:val="13"/>
              </w:rPr>
              <w:t>Shanghai Minimally Invasive Surgical Center</w:t>
            </w:r>
          </w:p>
        </w:tc>
        <w:tc>
          <w:tcPr>
            <w:tcW w:type="dxa" w:w="997"/>
          </w:tcPr>
          <w:p>
            <w:pPr>
              <w:spacing w:after="0"/>
            </w:pPr>
            <w:r/>
            <w:r>
              <w:rPr>
                <w:rFonts w:ascii="Arial" w:hAnsi="Arial" w:eastAsia="Arial"/>
                <w:b w:val="0"/>
                <w:i w:val="0"/>
                <w:sz w:val="13"/>
              </w:rPr>
              <w:t>2009-10 to 2013-11</w:t>
            </w:r>
          </w:p>
        </w:tc>
        <w:tc>
          <w:tcPr>
            <w:tcW w:type="dxa" w:w="997"/>
          </w:tcPr>
          <w:p>
            <w:pPr>
              <w:spacing w:after="0"/>
            </w:pPr>
            <w:r/>
            <w:r>
              <w:rPr>
                <w:rFonts w:ascii="Arial" w:hAnsi="Arial" w:eastAsia="Arial"/>
                <w:b w:val="0"/>
                <w:i w:val="0"/>
                <w:sz w:val="13"/>
              </w:rPr>
              <w:t>Retrospective comparative series</w:t>
            </w:r>
          </w:p>
        </w:tc>
        <w:tc>
          <w:tcPr>
            <w:tcW w:type="dxa" w:w="997"/>
          </w:tcPr>
          <w:p>
            <w:pPr>
              <w:spacing w:after="0"/>
            </w:pPr>
            <w:r/>
            <w:r>
              <w:rPr>
                <w:rFonts w:ascii="Arial" w:hAnsi="Arial" w:eastAsia="Arial"/>
                <w:b w:val="0"/>
                <w:i w:val="0"/>
                <w:sz w:val="13"/>
              </w:rPr>
              <w:t>26</w:t>
            </w:r>
          </w:p>
        </w:tc>
        <w:tc>
          <w:tcPr>
            <w:tcW w:type="dxa" w:w="997"/>
          </w:tcPr>
          <w:p>
            <w:pPr>
              <w:spacing w:after="0"/>
            </w:pPr>
            <w:r/>
            <w:r>
              <w:rPr>
                <w:rFonts w:ascii="Arial" w:hAnsi="Arial" w:eastAsia="Arial"/>
                <w:b w:val="0"/>
                <w:i w:val="0"/>
                <w:sz w:val="13"/>
              </w:rPr>
              <w:t>34</w:t>
            </w:r>
          </w:p>
        </w:tc>
        <w:tc>
          <w:tcPr>
            <w:tcW w:type="dxa" w:w="997"/>
          </w:tcPr>
          <w:p>
            <w:pPr>
              <w:spacing w:after="0"/>
            </w:pPr>
            <w:r/>
            <w:r>
              <w:rPr>
                <w:rFonts w:ascii="Arial" w:hAnsi="Arial" w:eastAsia="Arial"/>
                <w:b w:val="0"/>
                <w:i/>
                <w:sz w:val="13"/>
              </w:rPr>
              <w:t>S. japonicum</w:t>
            </w:r>
            <w:r>
              <w:rPr>
                <w:rFonts w:ascii="Arial" w:hAnsi="Arial" w:eastAsia="Arial"/>
                <w:b w:val="0"/>
                <w:i w:val="0"/>
                <w:sz w:val="13"/>
              </w:rPr>
              <w:t xml:space="preserve"> presumed</w:t>
            </w:r>
          </w:p>
        </w:tc>
        <w:tc>
          <w:tcPr>
            <w:tcW w:type="dxa" w:w="997"/>
          </w:tcPr>
          <w:p>
            <w:pPr>
              <w:spacing w:after="0"/>
            </w:pPr>
            <w:r/>
            <w:r>
              <w:rPr>
                <w:rFonts w:ascii="Arial" w:hAnsi="Arial" w:eastAsia="Arial"/>
                <w:b w:val="0"/>
                <w:i w:val="0"/>
                <w:sz w:val="13"/>
              </w:rPr>
              <w:t>Ova on microscopy (colon, rectum, or stool)</w:t>
            </w:r>
          </w:p>
        </w:tc>
        <w:tc>
          <w:tcPr>
            <w:tcW w:type="dxa" w:w="997"/>
          </w:tcPr>
          <w:p>
            <w:pPr>
              <w:spacing w:after="0"/>
            </w:pPr>
            <w:r/>
            <w:r>
              <w:rPr>
                <w:rFonts w:ascii="Arial" w:hAnsi="Arial" w:eastAsia="Arial"/>
                <w:b w:val="0"/>
                <w:i w:val="0"/>
                <w:sz w:val="13"/>
              </w:rPr>
              <w:t>None</w:t>
            </w:r>
          </w:p>
        </w:tc>
        <w:tc>
          <w:tcPr>
            <w:tcW w:type="dxa" w:w="997"/>
          </w:tcPr>
          <w:p>
            <w:pPr>
              <w:spacing w:after="0"/>
            </w:pPr>
            <w:r/>
            <w:r>
              <w:rPr>
                <w:rFonts w:ascii="Arial" w:hAnsi="Arial" w:eastAsia="Arial"/>
                <w:b w:val="0"/>
                <w:i w:val="0"/>
                <w:sz w:val="13"/>
              </w:rPr>
              <w:t>Sex, age, CEA, CA19-9, CA-125, stage, differentiation, histology</w:t>
            </w:r>
          </w:p>
        </w:tc>
        <w:tc>
          <w:tcPr>
            <w:tcW w:type="dxa" w:w="997"/>
          </w:tcPr>
          <w:p>
            <w:pPr>
              <w:spacing w:after="0"/>
            </w:pPr>
            <w:r/>
            <w:r>
              <w:rPr>
                <w:rFonts w:ascii="Arial" w:hAnsi="Arial" w:eastAsia="Arial"/>
                <w:b w:val="0"/>
                <w:i w:val="0"/>
                <w:sz w:val="13"/>
              </w:rPr>
              <w:t>G11</w:t>
            </w:r>
          </w:p>
        </w:tc>
        <w:tc>
          <w:tcPr>
            <w:tcW w:type="dxa" w:w="997"/>
          </w:tcPr>
          <w:p>
            <w:pPr>
              <w:spacing w:after="0"/>
            </w:pPr>
            <w:r/>
            <w:r>
              <w:rPr>
                <w:rFonts w:ascii="Arial" w:hAnsi="Arial" w:eastAsia="Arial"/>
                <w:b w:val="0"/>
                <w:i w:val="0"/>
                <w:sz w:val="13"/>
              </w:rPr>
              <w:t>Primary comparative</w:t>
            </w:r>
          </w:p>
        </w:tc>
      </w:tr>
      <w:tr>
        <w:tc>
          <w:tcPr>
            <w:tcW w:type="dxa" w:w="997"/>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997"/>
          </w:tcPr>
          <w:p>
            <w:pPr>
              <w:spacing w:after="0"/>
            </w:pPr>
            <w:r/>
            <w:r>
              <w:rPr>
                <w:rFonts w:ascii="Arial" w:hAnsi="Arial" w:eastAsia="Arial"/>
                <w:b w:val="0"/>
                <w:i w:val="0"/>
                <w:sz w:val="13"/>
              </w:rPr>
              <w:t>Shanghai</w:t>
            </w:r>
          </w:p>
        </w:tc>
        <w:tc>
          <w:tcPr>
            <w:tcW w:type="dxa" w:w="997"/>
          </w:tcPr>
          <w:p>
            <w:pPr>
              <w:spacing w:after="0"/>
            </w:pPr>
            <w:r/>
            <w:r>
              <w:rPr>
                <w:rFonts w:ascii="Arial" w:hAnsi="Arial" w:eastAsia="Arial"/>
                <w:b w:val="0"/>
                <w:i w:val="0"/>
                <w:sz w:val="13"/>
              </w:rPr>
              <w:t>Department of Pathology</w:t>
            </w:r>
          </w:p>
        </w:tc>
        <w:tc>
          <w:tcPr>
            <w:tcW w:type="dxa" w:w="997"/>
          </w:tcPr>
          <w:p>
            <w:pPr>
              <w:spacing w:after="0"/>
            </w:pPr>
            <w:r/>
            <w:r>
              <w:rPr>
                <w:rFonts w:ascii="Arial" w:hAnsi="Arial" w:eastAsia="Arial"/>
                <w:b w:val="0"/>
                <w:i w:val="0"/>
                <w:sz w:val="13"/>
              </w:rPr>
              <w:t>2016-01 to 2018-12</w:t>
            </w:r>
          </w:p>
        </w:tc>
        <w:tc>
          <w:tcPr>
            <w:tcW w:type="dxa" w:w="997"/>
          </w:tcPr>
          <w:p>
            <w:pPr>
              <w:spacing w:after="0"/>
            </w:pPr>
            <w:r/>
            <w:r>
              <w:rPr>
                <w:rFonts w:ascii="Arial" w:hAnsi="Arial" w:eastAsia="Arial"/>
                <w:b w:val="0"/>
                <w:i w:val="0"/>
                <w:sz w:val="13"/>
              </w:rPr>
              <w:t>Retrospective SACC-only cohort</w:t>
            </w:r>
          </w:p>
        </w:tc>
        <w:tc>
          <w:tcPr>
            <w:tcW w:type="dxa" w:w="997"/>
          </w:tcPr>
          <w:p>
            <w:pPr>
              <w:spacing w:after="0"/>
            </w:pPr>
            <w:r/>
            <w:r>
              <w:rPr>
                <w:rFonts w:ascii="Arial" w:hAnsi="Arial" w:eastAsia="Arial"/>
                <w:b w:val="0"/>
                <w:i w:val="0"/>
                <w:sz w:val="13"/>
              </w:rPr>
              <w:t>172</w:t>
            </w:r>
          </w:p>
        </w:tc>
        <w:tc>
          <w:tcPr>
            <w:tcW w:type="dxa" w:w="997"/>
          </w:tcPr>
          <w:p>
            <w:pPr>
              <w:spacing w:after="0"/>
            </w:pPr>
            <w:r/>
            <w:r>
              <w:rPr>
                <w:rFonts w:ascii="Arial" w:hAnsi="Arial" w:eastAsia="Arial"/>
                <w:b w:val="0"/>
                <w:i w:val="0"/>
                <w:sz w:val="13"/>
              </w:rPr>
              <w:t>-</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Eggs on H&amp;E in resected specimen</w:t>
            </w:r>
          </w:p>
        </w:tc>
        <w:tc>
          <w:tcPr>
            <w:tcW w:type="dxa" w:w="997"/>
          </w:tcPr>
          <w:p>
            <w:pPr>
              <w:spacing w:after="0"/>
            </w:pPr>
            <w:r/>
            <w:r>
              <w:rPr>
                <w:rFonts w:ascii="Arial" w:hAnsi="Arial" w:eastAsia="Arial"/>
                <w:b w:val="0"/>
                <w:i w:val="0"/>
                <w:sz w:val="13"/>
              </w:rPr>
              <w:t>Median 50.1 mo</w:t>
            </w:r>
          </w:p>
        </w:tc>
        <w:tc>
          <w:tcPr>
            <w:tcW w:type="dxa" w:w="997"/>
          </w:tcPr>
          <w:p>
            <w:pPr>
              <w:spacing w:after="0"/>
            </w:pPr>
            <w:r/>
            <w:r>
              <w:rPr>
                <w:rFonts w:ascii="Arial" w:hAnsi="Arial" w:eastAsia="Arial"/>
                <w:b w:val="0"/>
                <w:i w:val="0"/>
                <w:sz w:val="13"/>
              </w:rPr>
              <w:t>Eggs in lymph nodes</w:t>
            </w:r>
          </w:p>
        </w:tc>
        <w:tc>
          <w:tcPr>
            <w:tcW w:type="dxa" w:w="997"/>
          </w:tcPr>
          <w:p>
            <w:pPr>
              <w:spacing w:after="0"/>
            </w:pPr>
            <w:r/>
            <w:r>
              <w:rPr>
                <w:rFonts w:ascii="Arial" w:hAnsi="Arial" w:eastAsia="Arial"/>
                <w:b w:val="0"/>
                <w:i w:val="0"/>
                <w:sz w:val="13"/>
              </w:rPr>
              <w:t>G9</w:t>
            </w:r>
          </w:p>
        </w:tc>
        <w:tc>
          <w:tcPr>
            <w:tcW w:type="dxa" w:w="997"/>
          </w:tcPr>
          <w:p>
            <w:pPr>
              <w:spacing w:after="0"/>
            </w:pPr>
            <w:r/>
            <w:r>
              <w:rPr>
                <w:rFonts w:ascii="Arial" w:hAnsi="Arial" w:eastAsia="Arial"/>
                <w:b w:val="0"/>
                <w:i w:val="0"/>
                <w:sz w:val="13"/>
              </w:rPr>
              <w:t>Within-SACC prognostic</w:t>
            </w:r>
          </w:p>
        </w:tc>
      </w:tr>
      <w:tr>
        <w:tc>
          <w:tcPr>
            <w:tcW w:type="dxa" w:w="997"/>
          </w:tcPr>
          <w:p>
            <w:pPr>
              <w:spacing w:after="0"/>
            </w:pPr>
            <w:r/>
            <w:r>
              <w:rPr>
                <w:rFonts w:ascii="Arial" w:hAnsi="Arial" w:eastAsia="Arial"/>
                <w:b w:val="0"/>
                <w:i w:val="0"/>
                <w:sz w:val="13"/>
              </w:rPr>
              <w:t>Yu 2023</w:t>
            </w:r>
            <w:r>
              <w:rPr>
                <w:rFonts w:ascii="Arial" w:hAnsi="Arial" w:eastAsia="Arial"/>
                <w:b w:val="0"/>
                <w:i w:val="0"/>
                <w:sz w:val="13"/>
                <w:vertAlign w:val="superscript"/>
              </w:rPr>
              <w:t>43</w:t>
            </w:r>
          </w:p>
        </w:tc>
        <w:tc>
          <w:tcPr>
            <w:tcW w:type="dxa" w:w="997"/>
          </w:tcPr>
          <w:p>
            <w:pPr>
              <w:spacing w:after="0"/>
            </w:pPr>
            <w:r/>
            <w:r>
              <w:rPr>
                <w:rFonts w:ascii="Arial" w:hAnsi="Arial" w:eastAsia="Arial"/>
                <w:b w:val="0"/>
                <w:i w:val="0"/>
                <w:sz w:val="13"/>
              </w:rPr>
              <w:t>Shanghai</w:t>
            </w:r>
          </w:p>
        </w:tc>
        <w:tc>
          <w:tcPr>
            <w:tcW w:type="dxa" w:w="997"/>
          </w:tcPr>
          <w:p>
            <w:pPr>
              <w:spacing w:after="0"/>
            </w:pPr>
            <w:r/>
            <w:r>
              <w:rPr>
                <w:rFonts w:ascii="Arial" w:hAnsi="Arial" w:eastAsia="Arial"/>
                <w:b w:val="0"/>
                <w:i w:val="0"/>
                <w:sz w:val="13"/>
              </w:rPr>
              <w:t>Changzheng Hospital</w:t>
            </w:r>
          </w:p>
        </w:tc>
        <w:tc>
          <w:tcPr>
            <w:tcW w:type="dxa" w:w="997"/>
          </w:tcPr>
          <w:p>
            <w:pPr>
              <w:spacing w:after="0"/>
            </w:pPr>
            <w:r/>
            <w:r>
              <w:rPr>
                <w:rFonts w:ascii="Arial" w:hAnsi="Arial" w:eastAsia="Arial"/>
                <w:b w:val="0"/>
                <w:i w:val="0"/>
                <w:sz w:val="13"/>
              </w:rPr>
              <w:t>2014-2020</w:t>
            </w:r>
          </w:p>
        </w:tc>
        <w:tc>
          <w:tcPr>
            <w:tcW w:type="dxa" w:w="997"/>
          </w:tcPr>
          <w:p>
            <w:pPr>
              <w:spacing w:after="0"/>
            </w:pPr>
            <w:r/>
            <w:r>
              <w:rPr>
                <w:rFonts w:ascii="Arial" w:hAnsi="Arial" w:eastAsia="Arial"/>
                <w:b w:val="0"/>
                <w:i w:val="0"/>
                <w:sz w:val="13"/>
              </w:rPr>
              <w:t>Whole-exome sequencing, SACC tumours vs external sporadic-CRC data</w:t>
            </w:r>
          </w:p>
        </w:tc>
        <w:tc>
          <w:tcPr>
            <w:tcW w:type="dxa" w:w="997"/>
          </w:tcPr>
          <w:p>
            <w:pPr>
              <w:spacing w:after="0"/>
            </w:pPr>
            <w:r/>
            <w:r>
              <w:rPr>
                <w:rFonts w:ascii="Arial" w:hAnsi="Arial" w:eastAsia="Arial"/>
                <w:b w:val="0"/>
                <w:i w:val="0"/>
                <w:sz w:val="13"/>
              </w:rPr>
              <w:t>30</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History plus ova in specimen</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TMB</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Molecular evidence table</w:t>
            </w:r>
          </w:p>
        </w:tc>
      </w:tr>
      <w:tr>
        <w:tc>
          <w:tcPr>
            <w:tcW w:type="dxa" w:w="997"/>
          </w:tcPr>
          <w:p>
            <w:pPr>
              <w:spacing w:after="0"/>
            </w:pPr>
            <w:r/>
            <w:r>
              <w:rPr>
                <w:rFonts w:ascii="Arial" w:hAnsi="Arial" w:eastAsia="Arial"/>
                <w:b w:val="0"/>
                <w:i w:val="0"/>
                <w:sz w:val="13"/>
              </w:rPr>
              <w:t>Wang 2014</w:t>
            </w:r>
            <w:r>
              <w:rPr>
                <w:rFonts w:ascii="Arial" w:hAnsi="Arial" w:eastAsia="Arial"/>
                <w:b w:val="0"/>
                <w:i w:val="0"/>
                <w:sz w:val="13"/>
                <w:vertAlign w:val="superscript"/>
              </w:rPr>
              <w:t>17</w:t>
            </w:r>
          </w:p>
        </w:tc>
        <w:tc>
          <w:tcPr>
            <w:tcW w:type="dxa" w:w="997"/>
          </w:tcPr>
          <w:p>
            <w:pPr>
              <w:spacing w:after="0"/>
            </w:pPr>
            <w:r/>
            <w:r>
              <w:rPr>
                <w:rFonts w:ascii="Arial" w:hAnsi="Arial" w:eastAsia="Arial"/>
                <w:b w:val="0"/>
                <w:i w:val="0"/>
                <w:sz w:val="13"/>
              </w:rPr>
              <w:t>Chengdu, Sichuan</w:t>
            </w:r>
          </w:p>
        </w:tc>
        <w:tc>
          <w:tcPr>
            <w:tcW w:type="dxa" w:w="997"/>
          </w:tcPr>
          <w:p>
            <w:pPr>
              <w:spacing w:after="0"/>
            </w:pPr>
            <w:r/>
            <w:r>
              <w:rPr>
                <w:rFonts w:ascii="Arial" w:hAnsi="Arial" w:eastAsia="Arial"/>
                <w:b w:val="0"/>
                <w:i w:val="0"/>
                <w:sz w:val="13"/>
              </w:rPr>
              <w:t>Dept of Gastroenterological Surgery</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Retrospective matched</w:t>
            </w:r>
          </w:p>
        </w:tc>
        <w:tc>
          <w:tcPr>
            <w:tcW w:type="dxa" w:w="997"/>
          </w:tcPr>
          <w:p>
            <w:pPr>
              <w:spacing w:after="0"/>
            </w:pPr>
            <w:r/>
            <w:r>
              <w:rPr>
                <w:rFonts w:ascii="Arial" w:hAnsi="Arial" w:eastAsia="Arial"/>
                <w:b w:val="0"/>
                <w:i w:val="0"/>
                <w:sz w:val="13"/>
              </w:rPr>
              <w:t>30</w:t>
            </w:r>
          </w:p>
        </w:tc>
        <w:tc>
          <w:tcPr>
            <w:tcW w:type="dxa" w:w="997"/>
          </w:tcPr>
          <w:p>
            <w:pPr>
              <w:spacing w:after="0"/>
            </w:pPr>
            <w:r/>
            <w:r>
              <w:rPr>
                <w:rFonts w:ascii="Arial" w:hAnsi="Arial" w:eastAsia="Arial"/>
                <w:b w:val="0"/>
                <w:i w:val="0"/>
                <w:sz w:val="13"/>
              </w:rPr>
              <w:t>30</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NR (full text not retrieved)</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OS; DFS</w:t>
            </w:r>
          </w:p>
        </w:tc>
        <w:tc>
          <w:tcPr>
            <w:tcW w:type="dxa" w:w="997"/>
          </w:tcPr>
          <w:p>
            <w:pPr>
              <w:spacing w:after="0"/>
            </w:pPr>
            <w:r/>
            <w:r>
              <w:rPr>
                <w:rFonts w:ascii="Arial" w:hAnsi="Arial" w:eastAsia="Arial"/>
                <w:b w:val="0"/>
                <w:i w:val="0"/>
                <w:sz w:val="13"/>
              </w:rPr>
              <w:t>G6</w:t>
            </w:r>
          </w:p>
        </w:tc>
        <w:tc>
          <w:tcPr>
            <w:tcW w:type="dxa" w:w="997"/>
          </w:tcPr>
          <w:p>
            <w:pPr>
              <w:spacing w:after="0"/>
            </w:pPr>
            <w:r/>
            <w:r>
              <w:rPr>
                <w:rFonts w:ascii="Arial" w:hAnsi="Arial" w:eastAsia="Arial"/>
                <w:b w:val="0"/>
                <w:i w:val="0"/>
                <w:sz w:val="13"/>
              </w:rPr>
              <w:t>Not analysed (no full text)</w:t>
            </w:r>
          </w:p>
        </w:tc>
      </w:tr>
      <w:tr>
        <w:tc>
          <w:tcPr>
            <w:tcW w:type="dxa" w:w="997"/>
          </w:tcPr>
          <w:p>
            <w:pPr>
              <w:spacing w:after="0"/>
            </w:pPr>
            <w:r/>
            <w:r>
              <w:rPr>
                <w:rFonts w:ascii="Arial" w:hAnsi="Arial" w:eastAsia="Arial"/>
                <w:b w:val="0"/>
                <w:i w:val="0"/>
                <w:sz w:val="13"/>
              </w:rPr>
              <w:t>Wang 2016</w:t>
            </w:r>
            <w:r>
              <w:rPr>
                <w:rFonts w:ascii="Arial" w:hAnsi="Arial" w:eastAsia="Arial"/>
                <w:b w:val="0"/>
                <w:i w:val="0"/>
                <w:sz w:val="13"/>
                <w:vertAlign w:val="superscript"/>
              </w:rPr>
              <w:t>44</w:t>
            </w:r>
          </w:p>
        </w:tc>
        <w:tc>
          <w:tcPr>
            <w:tcW w:type="dxa" w:w="997"/>
          </w:tcPr>
          <w:p>
            <w:pPr>
              <w:spacing w:after="0"/>
            </w:pPr>
            <w:r/>
            <w:r>
              <w:rPr>
                <w:rFonts w:ascii="Arial" w:hAnsi="Arial" w:eastAsia="Arial"/>
                <w:b w:val="0"/>
                <w:i w:val="0"/>
                <w:sz w:val="13"/>
              </w:rPr>
              <w:t>Chengdu, Sichuan</w:t>
            </w:r>
          </w:p>
        </w:tc>
        <w:tc>
          <w:tcPr>
            <w:tcW w:type="dxa" w:w="997"/>
          </w:tcPr>
          <w:p>
            <w:pPr>
              <w:spacing w:after="0"/>
            </w:pPr>
            <w:r/>
            <w:r>
              <w:rPr>
                <w:rFonts w:ascii="Arial" w:hAnsi="Arial" w:eastAsia="Arial"/>
                <w:b w:val="0"/>
                <w:i w:val="0"/>
                <w:sz w:val="13"/>
              </w:rPr>
              <w:t>West China Hospital</w:t>
            </w:r>
          </w:p>
        </w:tc>
        <w:tc>
          <w:tcPr>
            <w:tcW w:type="dxa" w:w="997"/>
          </w:tcPr>
          <w:p>
            <w:pPr>
              <w:spacing w:after="0"/>
            </w:pPr>
            <w:r/>
            <w:r>
              <w:rPr>
                <w:rFonts w:ascii="Arial" w:hAnsi="Arial" w:eastAsia="Arial"/>
                <w:b w:val="0"/>
                <w:i w:val="0"/>
                <w:sz w:val="13"/>
              </w:rPr>
              <w:t>2009-07 to 2012-07</w:t>
            </w:r>
          </w:p>
        </w:tc>
        <w:tc>
          <w:tcPr>
            <w:tcW w:type="dxa" w:w="997"/>
          </w:tcPr>
          <w:p>
            <w:pPr>
              <w:spacing w:after="0"/>
            </w:pPr>
            <w:r/>
            <w:r>
              <w:rPr>
                <w:rFonts w:ascii="Arial" w:hAnsi="Arial" w:eastAsia="Arial"/>
                <w:b w:val="0"/>
                <w:i w:val="0"/>
                <w:sz w:val="13"/>
              </w:rPr>
              <w:t>Retrospective SACC-only cohort</w:t>
            </w:r>
          </w:p>
        </w:tc>
        <w:tc>
          <w:tcPr>
            <w:tcW w:type="dxa" w:w="997"/>
          </w:tcPr>
          <w:p>
            <w:pPr>
              <w:spacing w:after="0"/>
            </w:pPr>
            <w:r/>
            <w:r>
              <w:rPr>
                <w:rFonts w:ascii="Arial" w:hAnsi="Arial" w:eastAsia="Arial"/>
                <w:b w:val="0"/>
                <w:i w:val="0"/>
                <w:sz w:val="13"/>
              </w:rPr>
              <w:t>74</w:t>
            </w:r>
          </w:p>
        </w:tc>
        <w:tc>
          <w:tcPr>
            <w:tcW w:type="dxa" w:w="997"/>
          </w:tcPr>
          <w:p>
            <w:pPr>
              <w:spacing w:after="0"/>
            </w:pPr>
            <w:r/>
            <w:r>
              <w:rPr>
                <w:rFonts w:ascii="Arial" w:hAnsi="Arial" w:eastAsia="Arial"/>
                <w:b w:val="0"/>
                <w:i w:val="0"/>
                <w:sz w:val="13"/>
              </w:rPr>
              <w:t>-</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NR (full text not retrieved)</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Egg deposition site; CEA; pT; pN; resection margin eggs; OS</w:t>
            </w:r>
          </w:p>
        </w:tc>
        <w:tc>
          <w:tcPr>
            <w:tcW w:type="dxa" w:w="997"/>
          </w:tcPr>
          <w:p>
            <w:pPr>
              <w:spacing w:after="0"/>
            </w:pPr>
            <w:r/>
            <w:r>
              <w:rPr>
                <w:rFonts w:ascii="Arial" w:hAnsi="Arial" w:eastAsia="Arial"/>
                <w:b w:val="0"/>
                <w:i w:val="0"/>
                <w:sz w:val="13"/>
              </w:rPr>
              <w:t>G6</w:t>
            </w:r>
          </w:p>
        </w:tc>
        <w:tc>
          <w:tcPr>
            <w:tcW w:type="dxa" w:w="997"/>
          </w:tcPr>
          <w:p>
            <w:pPr>
              <w:spacing w:after="0"/>
            </w:pPr>
            <w:r/>
            <w:r>
              <w:rPr>
                <w:rFonts w:ascii="Arial" w:hAnsi="Arial" w:eastAsia="Arial"/>
                <w:b w:val="0"/>
                <w:i w:val="0"/>
                <w:sz w:val="13"/>
              </w:rPr>
              <w:t>Not analysed (no full text)</w:t>
            </w:r>
          </w:p>
        </w:tc>
      </w:tr>
      <w:tr>
        <w:tc>
          <w:tcPr>
            <w:tcW w:type="dxa" w:w="997"/>
          </w:tcPr>
          <w:p>
            <w:pPr>
              <w:spacing w:after="0"/>
            </w:pPr>
            <w:r/>
            <w:r>
              <w:rPr>
                <w:rFonts w:ascii="Arial" w:hAnsi="Arial" w:eastAsia="Arial"/>
                <w:b w:val="0"/>
                <w:i w:val="0"/>
                <w:sz w:val="13"/>
              </w:rPr>
              <w:t>NCG 1986</w:t>
            </w:r>
            <w:r>
              <w:rPr>
                <w:rFonts w:ascii="Arial" w:hAnsi="Arial" w:eastAsia="Arial"/>
                <w:b w:val="0"/>
                <w:i w:val="0"/>
                <w:sz w:val="13"/>
                <w:vertAlign w:val="superscript"/>
              </w:rPr>
              <w:t>16</w:t>
            </w:r>
          </w:p>
        </w:tc>
        <w:tc>
          <w:tcPr>
            <w:tcW w:type="dxa" w:w="997"/>
          </w:tcPr>
          <w:p>
            <w:pPr>
              <w:spacing w:after="0"/>
            </w:pPr>
            <w:r/>
            <w:r>
              <w:rPr>
                <w:rFonts w:ascii="Arial" w:hAnsi="Arial" w:eastAsia="Arial"/>
                <w:b w:val="0"/>
                <w:i w:val="0"/>
                <w:sz w:val="13"/>
              </w:rPr>
              <w:t>China (multi-province)</w:t>
            </w:r>
          </w:p>
        </w:tc>
        <w:tc>
          <w:tcPr>
            <w:tcW w:type="dxa" w:w="997"/>
          </w:tcPr>
          <w:p>
            <w:pPr>
              <w:spacing w:after="0"/>
            </w:pPr>
            <w:r/>
            <w:r>
              <w:rPr>
                <w:rFonts w:ascii="Arial" w:hAnsi="Arial" w:eastAsia="Arial"/>
                <w:b w:val="0"/>
                <w:i w:val="0"/>
                <w:sz w:val="13"/>
              </w:rPr>
              <w:t>Multicentre</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Multicentre retrospective cohort</w:t>
            </w:r>
          </w:p>
        </w:tc>
        <w:tc>
          <w:tcPr>
            <w:tcW w:type="dxa" w:w="997"/>
          </w:tcPr>
          <w:p>
            <w:pPr>
              <w:spacing w:after="0"/>
            </w:pPr>
            <w:r/>
            <w:r>
              <w:rPr>
                <w:rFonts w:ascii="Arial" w:hAnsi="Arial" w:eastAsia="Arial"/>
                <w:b w:val="0"/>
                <w:i w:val="0"/>
                <w:sz w:val="13"/>
              </w:rPr>
              <w:t>430</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sz w:val="13"/>
              </w:rPr>
              <w:t>S. japonicum</w:t>
            </w:r>
          </w:p>
        </w:tc>
        <w:tc>
          <w:tcPr>
            <w:tcW w:type="dxa" w:w="997"/>
          </w:tcPr>
          <w:p>
            <w:pPr>
              <w:spacing w:after="0"/>
            </w:pPr>
            <w:r/>
            <w:r>
              <w:rPr>
                <w:rFonts w:ascii="Arial" w:hAnsi="Arial" w:eastAsia="Arial"/>
                <w:b w:val="0"/>
                <w:i w:val="0"/>
                <w:sz w:val="13"/>
              </w:rPr>
              <w:t>NR (full text not retrieved)</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 xml:space="preserve">5-year survival lower in SACC; regional LN immune response; infiltrating growth </w:t>
            </w:r>
          </w:p>
        </w:tc>
        <w:tc>
          <w:tcPr>
            <w:tcW w:type="dxa" w:w="997"/>
          </w:tcPr>
          <w:p>
            <w:pPr>
              <w:spacing w:after="0"/>
            </w:pPr>
            <w:r/>
            <w:r>
              <w:rPr>
                <w:rFonts w:ascii="Arial" w:hAnsi="Arial" w:eastAsia="Arial"/>
                <w:b w:val="0"/>
                <w:i w:val="0"/>
                <w:sz w:val="13"/>
              </w:rPr>
              <w:t>G7</w:t>
            </w:r>
          </w:p>
        </w:tc>
        <w:tc>
          <w:tcPr>
            <w:tcW w:type="dxa" w:w="997"/>
          </w:tcPr>
          <w:p>
            <w:pPr>
              <w:spacing w:after="0"/>
            </w:pPr>
            <w:r/>
            <w:r>
              <w:rPr>
                <w:rFonts w:ascii="Arial" w:hAnsi="Arial" w:eastAsia="Arial"/>
                <w:b w:val="0"/>
                <w:i w:val="0"/>
                <w:sz w:val="13"/>
              </w:rPr>
              <w:t>Not analysed (no full text)</w:t>
            </w:r>
          </w:p>
        </w:tc>
      </w:tr>
      <w:tr>
        <w:tc>
          <w:tcPr>
            <w:tcW w:type="dxa" w:w="997"/>
          </w:tcPr>
          <w:p>
            <w:pPr>
              <w:spacing w:after="0"/>
            </w:pPr>
            <w:r/>
            <w:r>
              <w:rPr>
                <w:rFonts w:ascii="Arial" w:hAnsi="Arial" w:eastAsia="Arial"/>
                <w:b w:val="0"/>
                <w:i w:val="0"/>
                <w:sz w:val="13"/>
              </w:rPr>
              <w:t>Madbouly 2007</w:t>
            </w:r>
            <w:r>
              <w:rPr>
                <w:rFonts w:ascii="Arial" w:hAnsi="Arial" w:eastAsia="Arial"/>
                <w:b w:val="0"/>
                <w:i w:val="0"/>
                <w:sz w:val="13"/>
                <w:vertAlign w:val="superscript"/>
              </w:rPr>
              <w:t>45</w:t>
            </w:r>
          </w:p>
        </w:tc>
        <w:tc>
          <w:tcPr>
            <w:tcW w:type="dxa" w:w="997"/>
          </w:tcPr>
          <w:p>
            <w:pPr>
              <w:spacing w:after="0"/>
            </w:pPr>
            <w:r/>
            <w:r>
              <w:rPr>
                <w:rFonts w:ascii="Arial" w:hAnsi="Arial" w:eastAsia="Arial"/>
                <w:b w:val="0"/>
                <w:i w:val="0"/>
                <w:sz w:val="13"/>
              </w:rPr>
              <w:t>Alexandria, Egypt</w:t>
            </w:r>
          </w:p>
        </w:tc>
        <w:tc>
          <w:tcPr>
            <w:tcW w:type="dxa" w:w="997"/>
          </w:tcPr>
          <w:p>
            <w:pPr>
              <w:spacing w:after="0"/>
            </w:pPr>
            <w:r/>
            <w:r>
              <w:rPr>
                <w:rFonts w:ascii="Arial" w:hAnsi="Arial" w:eastAsia="Arial"/>
                <w:b w:val="0"/>
                <w:i w:val="0"/>
                <w:sz w:val="13"/>
              </w:rPr>
              <w:t>Dept of Surgery</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Comparative pathological series</w:t>
            </w:r>
          </w:p>
        </w:tc>
        <w:tc>
          <w:tcPr>
            <w:tcW w:type="dxa" w:w="997"/>
          </w:tcPr>
          <w:p>
            <w:pPr>
              <w:spacing w:after="0"/>
            </w:pPr>
            <w:r/>
            <w:r>
              <w:rPr>
                <w:rFonts w:ascii="Arial" w:hAnsi="Arial" w:eastAsia="Arial"/>
                <w:b w:val="0"/>
                <w:i w:val="0"/>
                <w:sz w:val="13"/>
              </w:rPr>
              <w:t>40</w:t>
            </w:r>
          </w:p>
        </w:tc>
        <w:tc>
          <w:tcPr>
            <w:tcW w:type="dxa" w:w="997"/>
          </w:tcPr>
          <w:p>
            <w:pPr>
              <w:spacing w:after="0"/>
            </w:pPr>
            <w:r/>
            <w:r>
              <w:rPr>
                <w:rFonts w:ascii="Arial" w:hAnsi="Arial" w:eastAsia="Arial"/>
                <w:b w:val="0"/>
                <w:i w:val="0"/>
                <w:sz w:val="13"/>
              </w:rPr>
              <w:t>20</w:t>
            </w:r>
          </w:p>
        </w:tc>
        <w:tc>
          <w:tcPr>
            <w:tcW w:type="dxa" w:w="997"/>
          </w:tcPr>
          <w:p>
            <w:pPr>
              <w:spacing w:after="0"/>
            </w:pPr>
            <w:r/>
            <w:r>
              <w:rPr>
                <w:rFonts w:ascii="Arial" w:hAnsi="Arial" w:eastAsia="Arial"/>
                <w:b w:val="0"/>
                <w:i/>
                <w:sz w:val="13"/>
              </w:rPr>
              <w:t>S. mansoni</w:t>
            </w:r>
          </w:p>
        </w:tc>
        <w:tc>
          <w:tcPr>
            <w:tcW w:type="dxa" w:w="997"/>
          </w:tcPr>
          <w:p>
            <w:pPr>
              <w:spacing w:after="0"/>
            </w:pPr>
            <w:r/>
            <w:r>
              <w:rPr>
                <w:rFonts w:ascii="Arial" w:hAnsi="Arial" w:eastAsia="Arial"/>
                <w:b w:val="0"/>
                <w:i w:val="0"/>
                <w:sz w:val="13"/>
              </w:rPr>
              <w:t>NR (full text not retrieved)</w:t>
            </w:r>
          </w:p>
        </w:tc>
        <w:tc>
          <w:tcPr>
            <w:tcW w:type="dxa" w:w="997"/>
          </w:tcPr>
          <w:p>
            <w:pPr>
              <w:spacing w:after="0"/>
            </w:pPr>
            <w:r/>
            <w:r>
              <w:rPr>
                <w:rFonts w:ascii="Arial" w:hAnsi="Arial" w:eastAsia="Arial"/>
                <w:b w:val="0"/>
                <w:i w:val="0"/>
                <w:sz w:val="13"/>
              </w:rPr>
              <w:t>NR</w:t>
            </w:r>
          </w:p>
        </w:tc>
        <w:tc>
          <w:tcPr>
            <w:tcW w:type="dxa" w:w="997"/>
          </w:tcPr>
          <w:p>
            <w:pPr>
              <w:spacing w:after="0"/>
            </w:pPr>
            <w:r/>
            <w:r>
              <w:rPr>
                <w:rFonts w:ascii="Arial" w:hAnsi="Arial" w:eastAsia="Arial"/>
                <w:b w:val="0"/>
                <w:i w:val="0"/>
                <w:sz w:val="13"/>
              </w:rPr>
              <w:t>p53 IHC; DCC; MLH1/MSH2</w:t>
            </w:r>
          </w:p>
        </w:tc>
        <w:tc>
          <w:tcPr>
            <w:tcW w:type="dxa" w:w="997"/>
          </w:tcPr>
          <w:p>
            <w:pPr>
              <w:spacing w:after="0"/>
            </w:pPr>
            <w:r/>
            <w:r>
              <w:rPr>
                <w:rFonts w:ascii="Arial" w:hAnsi="Arial" w:eastAsia="Arial"/>
                <w:b w:val="0"/>
                <w:i w:val="0"/>
                <w:sz w:val="13"/>
              </w:rPr>
              <w:t>G8</w:t>
            </w:r>
          </w:p>
        </w:tc>
        <w:tc>
          <w:tcPr>
            <w:tcW w:type="dxa" w:w="997"/>
          </w:tcPr>
          <w:p>
            <w:pPr>
              <w:spacing w:after="0"/>
            </w:pPr>
            <w:r/>
            <w:r>
              <w:rPr>
                <w:rFonts w:ascii="Arial" w:hAnsi="Arial" w:eastAsia="Arial"/>
                <w:b w:val="0"/>
                <w:i w:val="0"/>
                <w:sz w:val="13"/>
              </w:rPr>
              <w:t>Not analysed (no full text)</w:t>
            </w:r>
          </w:p>
        </w:tc>
      </w:tr>
    </w:tbl>
    <w:p>
      <w:r>
        <w:rPr>
          <w:rFonts w:ascii="Arial" w:hAnsi="Arial" w:eastAsia="Arial"/>
          <w:b w:val="0"/>
          <w:i w:val="0"/>
          <w:sz w:val="18"/>
        </w:rPr>
        <w:t xml:space="preserve">Extracted from full texts on 5 October 2026 except where marked 'no full text'. NR, not reported; mo, months; </w:t>
      </w:r>
      <w:r>
        <w:rPr>
          <w:rFonts w:ascii="Arial" w:hAnsi="Arial" w:eastAsia="Arial"/>
          <w:b w:val="0"/>
          <w:i/>
          <w:sz w:val="18"/>
        </w:rPr>
        <w:t>S. japonicum</w:t>
      </w:r>
      <w:r>
        <w:rPr>
          <w:rFonts w:ascii="Arial" w:hAnsi="Arial" w:eastAsia="Arial"/>
          <w:b w:val="0"/>
          <w:i w:val="0"/>
          <w:sz w:val="18"/>
        </w:rPr>
        <w:t xml:space="preserve"> presumed = endemic-area cohort, species not confirmed. Overlap groups are defined in Supplementary Table S6. Six further comparative reports identified by the PubMed search could not be retrieved (Supplementary Table S2).</w:t>
      </w:r>
    </w:p>
    <w:p>
      <w:pPr>
        <w:sectPr>
          <w:pgSz w:w="15840" w:h="12240" w:orient="landscape"/>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5760000" cy="6392404"/>
            <wp:docPr id="2" name="Picture 2"/>
            <wp:cNvGraphicFramePr>
              <a:graphicFrameLocks noChangeAspect="1"/>
            </wp:cNvGraphicFramePr>
            <a:graphic>
              <a:graphicData uri="http://schemas.openxmlformats.org/drawingml/2006/picture">
                <pic:pic>
                  <pic:nvPicPr>
                    <pic:cNvPr id="0" name="Figure2_landscape_timeline.png"/>
                    <pic:cNvPicPr/>
                  </pic:nvPicPr>
                  <pic:blipFill>
                    <a:blip r:embed="rId10"/>
                    <a:stretch>
                      <a:fillRect/>
                    </a:stretch>
                  </pic:blipFill>
                  <pic:spPr>
                    <a:xfrm>
                      <a:off x="0" y="0"/>
                      <a:ext cx="5760000" cy="6392404"/>
                    </a:xfrm>
                    <a:prstGeom prst="rect"/>
                  </pic:spPr>
                </pic:pic>
              </a:graphicData>
            </a:graphic>
          </wp:inline>
        </w:drawing>
      </w:r>
    </w:p>
    <w:p>
      <w:r>
        <w:rPr>
          <w:rFonts w:ascii="Arial" w:hAnsi="Arial" w:eastAsia="Arial"/>
          <w:b/>
          <w:i w:val="0"/>
          <w:sz w:val="22"/>
        </w:rPr>
        <w:t>Figure 2.</w:t>
      </w:r>
      <w:r>
        <w:rPr>
          <w:rFonts w:ascii="Arial" w:hAnsi="Arial" w:eastAsia="Arial"/>
          <w:b w:val="0"/>
          <w:i w:val="0"/>
          <w:sz w:val="22"/>
        </w:rPr>
        <w:t xml:space="preserve"> Chronological landscape of identified studies. Bars show recruitment periods where reported; diamonds show publication year. Right column: SACC/NSACC sample sizes (NR, not reported; dash, SACC-only cohort). Labels give city/province.</w:t>
      </w:r>
    </w:p>
    <w:p>
      <w:r>
        <w:rPr>
          <w:rFonts w:ascii="Arial" w:hAnsi="Arial" w:eastAsia="Arial"/>
          <w:b/>
          <w:i w:val="0"/>
          <w:sz w:val="24"/>
        </w:rPr>
        <w:t>Schistosomiasis ascertainment</w:t>
      </w:r>
    </w:p>
    <w:p>
      <w:pPr>
        <w:jc w:val="both"/>
      </w:pPr>
      <w:r>
        <w:rPr>
          <w:rFonts w:ascii="Arial" w:hAnsi="Arial" w:eastAsia="Arial"/>
          <w:b w:val="0"/>
          <w:i w:val="0"/>
          <w:sz w:val="24"/>
        </w:rPr>
        <w:t>All analysed comparative cohorts defined schistosomiasis by histological identification of schistosome eggs (often calcified) in the resected colorectal specimen; one series also accepted ova in stool or biopsy.</w:t>
      </w:r>
      <w:r>
        <w:rPr>
          <w:rFonts w:ascii="Arial" w:hAnsi="Arial" w:eastAsia="Arial"/>
          <w:b w:val="0"/>
          <w:i w:val="0"/>
          <w:sz w:val="24"/>
          <w:vertAlign w:val="superscript"/>
        </w:rPr>
        <w:t>41</w:t>
      </w:r>
      <w:r>
        <w:rPr>
          <w:rFonts w:ascii="Arial" w:hAnsi="Arial" w:eastAsia="Arial"/>
          <w:b w:val="0"/>
          <w:i w:val="0"/>
          <w:sz w:val="24"/>
        </w:rPr>
        <w:t xml:space="preserve"> No study confirmed the species morphologically or molecularly; all were classified as </w:t>
      </w:r>
      <w:r>
        <w:rPr>
          <w:rFonts w:ascii="Arial" w:hAnsi="Arial" w:eastAsia="Arial"/>
          <w:b w:val="0"/>
          <w:i/>
          <w:sz w:val="24"/>
        </w:rPr>
        <w:t>S. japonicum</w:t>
      </w:r>
      <w:r>
        <w:rPr>
          <w:rFonts w:ascii="Arial" w:hAnsi="Arial" w:eastAsia="Arial"/>
          <w:b w:val="0"/>
          <w:i w:val="0"/>
          <w:sz w:val="24"/>
        </w:rPr>
        <w:t xml:space="preserve"> presumed from endemic-area residence. Two pathologists blinded to clinical data reviewed slides in the Qingpu reports;</w:t>
      </w:r>
      <w:r>
        <w:rPr>
          <w:rFonts w:ascii="Arial" w:hAnsi="Arial" w:eastAsia="Arial"/>
          <w:b w:val="0"/>
          <w:i w:val="0"/>
          <w:sz w:val="24"/>
          <w:vertAlign w:val="superscript"/>
        </w:rPr>
        <w:t>13,36</w:t>
      </w:r>
      <w:r>
        <w:rPr>
          <w:rFonts w:ascii="Arial" w:hAnsi="Arial" w:eastAsia="Arial"/>
          <w:b w:val="0"/>
          <w:i w:val="0"/>
          <w:sz w:val="24"/>
        </w:rPr>
        <w:t xml:space="preserve"> Zheng </w:t>
      </w:r>
      <w:r>
        <w:rPr>
          <w:rFonts w:ascii="Arial" w:hAnsi="Arial" w:eastAsia="Arial"/>
          <w:b w:val="0"/>
          <w:i w:val="0"/>
          <w:sz w:val="24"/>
        </w:rPr>
        <w:t>et al.</w:t>
      </w:r>
      <w:r>
        <w:rPr>
          <w:rFonts w:ascii="Arial" w:hAnsi="Arial" w:eastAsia="Arial"/>
          <w:b w:val="0"/>
          <w:i w:val="0"/>
          <w:sz w:val="24"/>
        </w:rPr>
        <w:t xml:space="preserve"> noted that egg reporting was not compulsory in routine pathology, so some SACC may have been misclassified as NSACC.</w:t>
      </w:r>
      <w:r>
        <w:rPr>
          <w:rFonts w:ascii="Arial" w:hAnsi="Arial" w:eastAsia="Arial"/>
          <w:b w:val="0"/>
          <w:i w:val="0"/>
          <w:sz w:val="24"/>
          <w:vertAlign w:val="superscript"/>
        </w:rPr>
        <w:t>19</w:t>
      </w:r>
      <w:r>
        <w:rPr>
          <w:rFonts w:ascii="Arial" w:hAnsi="Arial" w:eastAsia="Arial"/>
          <w:b w:val="0"/>
          <w:i w:val="0"/>
          <w:sz w:val="24"/>
        </w:rPr>
        <w:t xml:space="preserve"> The comparison was therefore strictly SACC with egg-proven intestinal involvement versus CRC without eggs in the specimen.</w:t>
      </w:r>
    </w:p>
    <w:p>
      <w:r>
        <w:rPr>
          <w:rFonts w:ascii="Arial" w:hAnsi="Arial" w:eastAsia="Arial"/>
          <w:b/>
          <w:i w:val="0"/>
          <w:sz w:val="24"/>
        </w:rPr>
        <w:t>Demographic characteristics</w:t>
      </w:r>
    </w:p>
    <w:p>
      <w:pPr>
        <w:jc w:val="both"/>
      </w:pPr>
      <w:r>
        <w:rPr>
          <w:rFonts w:ascii="Arial" w:hAnsi="Arial" w:eastAsia="Arial"/>
          <w:b w:val="0"/>
          <w:i w:val="0"/>
          <w:sz w:val="24"/>
        </w:rPr>
        <w:t>For male sex, the pooled OR was 1.38 (95% CI 1.22-1.55; P &lt; 0.001; 6 studies; I² = 0%; tau² = 0.000). For age (mean difference, years), the pooled MD was 3.39 (95% CI -1.52-8.31; P = 0.176; 3 studies; I² = 97%; tau² = 16.888). For age over 60 years, the pooled OR was 2.63 (95% CI 0.88-7.89; P = 0.084; 4 studies; I² = 94%; tau² = 1.145). Every cohort that reported age found SACC patients to be older or of similar age (Figure 7); the very high heterogeneity reflects the size, not the direction, of the difference.</w:t>
      </w:r>
    </w:p>
    <w:p>
      <w:r>
        <w:rPr>
          <w:rFonts w:ascii="Arial" w:hAnsi="Arial" w:eastAsia="Arial"/>
          <w:b/>
          <w:i w:val="0"/>
          <w:sz w:val="24"/>
        </w:rPr>
        <w:t>Anatomical distribution</w:t>
      </w:r>
    </w:p>
    <w:p>
      <w:pPr>
        <w:jc w:val="both"/>
      </w:pPr>
      <w:r>
        <w:rPr>
          <w:rFonts w:ascii="Arial" w:hAnsi="Arial" w:eastAsia="Arial"/>
          <w:b w:val="0"/>
          <w:i w:val="0"/>
          <w:sz w:val="24"/>
        </w:rPr>
        <w:t>For rectal location, the pooled OR was 1.19 (95% CI 1.06-1.33; P = 0.004; 5 studies; I² = 0%; tau² = 0.000). After exclusion of the largest cohort,</w:t>
      </w:r>
      <w:r>
        <w:rPr>
          <w:rFonts w:ascii="Arial" w:hAnsi="Arial" w:eastAsia="Arial"/>
          <w:b w:val="0"/>
          <w:i w:val="0"/>
          <w:sz w:val="24"/>
          <w:vertAlign w:val="superscript"/>
        </w:rPr>
        <w:t>19</w:t>
      </w:r>
      <w:r>
        <w:rPr>
          <w:rFonts w:ascii="Arial" w:hAnsi="Arial" w:eastAsia="Arial"/>
          <w:b w:val="0"/>
          <w:i w:val="0"/>
          <w:sz w:val="24"/>
        </w:rPr>
        <w:t xml:space="preserve"> the OR was 1.07 (95% CI 0.87-1.31) (4 studies; I² = 0%). For right-sided colon location, the pooled OR was 0.79 (95% CI 0.61-1.01; P = 0.055; 5 studies; I² = 51%; tau² = 0.037). For sigmoid location, the pooled OR was 0.92 (95% CI 0.70-1.21; P = 0.562; 2 studies; I² = 0%; tau² = 0.000).</w:t>
      </w:r>
    </w:p>
    <w:p>
      <w:r>
        <w:rPr>
          <w:rFonts w:ascii="Arial" w:hAnsi="Arial" w:eastAsia="Arial"/>
          <w:b/>
          <w:i w:val="0"/>
          <w:sz w:val="24"/>
        </w:rPr>
        <w:t>Pathological characteristics</w:t>
      </w:r>
    </w:p>
    <w:p>
      <w:pPr>
        <w:jc w:val="both"/>
      </w:pPr>
      <w:r>
        <w:rPr>
          <w:rFonts w:ascii="Arial" w:hAnsi="Arial" w:eastAsia="Arial"/>
          <w:b w:val="0"/>
          <w:i w:val="0"/>
          <w:sz w:val="24"/>
        </w:rPr>
        <w:t>For poor differentiation, the pooled OR was 0.70 (95% CI 0.35-1.40; P = 0.311; 7 studies; I² = 88%; tau² = 0.701). For mucinous or signet-ring histology, the pooled OR was 1.45 (95% CI 0.61-3.47; P = 0.399; 3 studies; I² = 62%; tau² = 0.362). For vascular invasion, the pooled OR was 0.88 (95% CI 0.70-1.11; P = 0.269; 5 studies; I² = 17%; tau² = 0.013). For perineural invasion, the pooled OR was 0.95 (95% CI 0.77-1.18; P = 0.664; 5 studies; I² = 6%; tau² = 0.005). For tumour budding, the pooled OR was 0.75 (95% CI 0.35-1.62; P = 0.460; 2 studies; I² = 90%; tau² = 0.280). For tumour size of 5 cm or more, the pooled OR was 1.00 (95% CI 0.69-1.46; P = 0.982; 2 studies; I² = 0%; tau² = 0.000). Heterogeneity for differentiation was driven by one cohort reporting 2.6% poorly differentiated SACC against 21.9% NSACC with a non-significant P value;</w:t>
      </w:r>
      <w:r>
        <w:rPr>
          <w:rFonts w:ascii="Arial" w:hAnsi="Arial" w:eastAsia="Arial"/>
          <w:b w:val="0"/>
          <w:i w:val="0"/>
          <w:sz w:val="24"/>
          <w:vertAlign w:val="superscript"/>
        </w:rPr>
        <w:t>12</w:t>
      </w:r>
      <w:r>
        <w:rPr>
          <w:rFonts w:ascii="Arial" w:hAnsi="Arial" w:eastAsia="Arial"/>
          <w:b w:val="0"/>
          <w:i w:val="0"/>
          <w:sz w:val="24"/>
        </w:rPr>
        <w:t xml:space="preserve"> without it the OR was 1.18 (95% CI 0.99-1.40) (I² = 0%). Single cohorts reported more multiple primary CRC (4.3% vs 2.8%), more concomitant polyps (20.0% vs 13.6%), and more positive resection margins (3.6% vs 1.1%) in SACC, and lymphovascular invasion in 34% vs 36%;</w:t>
      </w:r>
      <w:r>
        <w:rPr>
          <w:rFonts w:ascii="Arial" w:hAnsi="Arial" w:eastAsia="Arial"/>
          <w:b w:val="0"/>
          <w:i w:val="0"/>
          <w:sz w:val="24"/>
          <w:vertAlign w:val="superscript"/>
        </w:rPr>
        <w:t>13,19</w:t>
      </w:r>
      <w:r>
        <w:rPr>
          <w:rFonts w:ascii="Arial" w:hAnsi="Arial" w:eastAsia="Arial"/>
          <w:b w:val="0"/>
          <w:i w:val="0"/>
          <w:sz w:val="24"/>
        </w:rPr>
        <w:t xml:space="preserve"> these were not pooled. Study-level counts are given in Table 2.</w:t>
      </w:r>
    </w:p>
    <w:p>
      <w:pPr>
        <w:sectPr>
          <w:pgSz w:w="12240" w:h="15840"/>
          <w:pgMar w:top="1440" w:right="1440" w:bottom="1440" w:left="1440" w:header="720" w:footer="720" w:gutter="0"/>
          <w:cols w:space="720"/>
          <w:docGrid w:linePitch="360"/>
        </w:sectPr>
      </w:pPr>
    </w:p>
    <w:p>
      <w:r>
        <w:rPr>
          <w:rFonts w:ascii="Arial" w:hAnsi="Arial" w:eastAsia="Arial"/>
          <w:b/>
          <w:i w:val="0"/>
          <w:sz w:val="22"/>
        </w:rPr>
        <w:t>Table 2.</w:t>
      </w:r>
      <w:r>
        <w:rPr>
          <w:rFonts w:ascii="Arial" w:hAnsi="Arial" w:eastAsia="Arial"/>
          <w:b w:val="0"/>
          <w:i w:val="0"/>
          <w:sz w:val="22"/>
        </w:rPr>
        <w:t xml:space="preserve"> Clinicopathological outcomes by study: events/total in SACC vs NSACC</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gridCol w:w="1080"/>
        <w:gridCol w:w="1080"/>
        <w:gridCol w:w="1080"/>
        <w:gridCol w:w="1080"/>
      </w:tblGrid>
      <w:tr>
        <w:tc>
          <w:tcPr>
            <w:tcW w:type="dxa" w:w="1080"/>
            <w:shd w:val="clear" w:color="auto" w:fill="DCE6F1"/>
          </w:tcPr>
          <w:p>
            <w:r/>
            <w:r>
              <w:rPr>
                <w:rFonts w:ascii="Arial" w:hAnsi="Arial" w:eastAsia="Arial"/>
                <w:b/>
                <w:i w:val="0"/>
                <w:sz w:val="13"/>
              </w:rPr>
              <w:t>Study</w:t>
            </w:r>
          </w:p>
        </w:tc>
        <w:tc>
          <w:tcPr>
            <w:tcW w:type="dxa" w:w="1080"/>
            <w:shd w:val="clear" w:color="auto" w:fill="DCE6F1"/>
          </w:tcPr>
          <w:p>
            <w:r/>
            <w:r>
              <w:rPr>
                <w:rFonts w:ascii="Arial" w:hAnsi="Arial" w:eastAsia="Arial"/>
                <w:b/>
                <w:i w:val="0"/>
                <w:sz w:val="13"/>
              </w:rPr>
              <w:t>Male</w:t>
            </w:r>
          </w:p>
        </w:tc>
        <w:tc>
          <w:tcPr>
            <w:tcW w:type="dxa" w:w="1080"/>
            <w:shd w:val="clear" w:color="auto" w:fill="DCE6F1"/>
          </w:tcPr>
          <w:p>
            <w:r/>
            <w:r>
              <w:rPr>
                <w:rFonts w:ascii="Arial" w:hAnsi="Arial" w:eastAsia="Arial"/>
                <w:b/>
                <w:i w:val="0"/>
                <w:sz w:val="13"/>
              </w:rPr>
              <w:t>Age &gt;60</w:t>
            </w:r>
          </w:p>
        </w:tc>
        <w:tc>
          <w:tcPr>
            <w:tcW w:type="dxa" w:w="1080"/>
            <w:shd w:val="clear" w:color="auto" w:fill="DCE6F1"/>
          </w:tcPr>
          <w:p>
            <w:r/>
            <w:r>
              <w:rPr>
                <w:rFonts w:ascii="Arial" w:hAnsi="Arial" w:eastAsia="Arial"/>
                <w:b/>
                <w:i w:val="0"/>
                <w:sz w:val="13"/>
              </w:rPr>
              <w:t>Rectum</w:t>
            </w:r>
          </w:p>
        </w:tc>
        <w:tc>
          <w:tcPr>
            <w:tcW w:type="dxa" w:w="1080"/>
            <w:shd w:val="clear" w:color="auto" w:fill="DCE6F1"/>
          </w:tcPr>
          <w:p>
            <w:r/>
            <w:r>
              <w:rPr>
                <w:rFonts w:ascii="Arial" w:hAnsi="Arial" w:eastAsia="Arial"/>
                <w:b/>
                <w:i w:val="0"/>
                <w:sz w:val="13"/>
              </w:rPr>
              <w:t>Stage III-IV</w:t>
            </w:r>
          </w:p>
        </w:tc>
        <w:tc>
          <w:tcPr>
            <w:tcW w:type="dxa" w:w="1080"/>
            <w:shd w:val="clear" w:color="auto" w:fill="DCE6F1"/>
          </w:tcPr>
          <w:p>
            <w:r/>
            <w:r>
              <w:rPr>
                <w:rFonts w:ascii="Arial" w:hAnsi="Arial" w:eastAsia="Arial"/>
                <w:b/>
                <w:i w:val="0"/>
                <w:sz w:val="13"/>
              </w:rPr>
              <w:t>T3-T4</w:t>
            </w:r>
          </w:p>
        </w:tc>
        <w:tc>
          <w:tcPr>
            <w:tcW w:type="dxa" w:w="1080"/>
            <w:shd w:val="clear" w:color="auto" w:fill="DCE6F1"/>
          </w:tcPr>
          <w:p>
            <w:r/>
            <w:r>
              <w:rPr>
                <w:rFonts w:ascii="Arial" w:hAnsi="Arial" w:eastAsia="Arial"/>
                <w:b/>
                <w:i w:val="0"/>
                <w:sz w:val="13"/>
              </w:rPr>
              <w:t>LN+</w:t>
            </w:r>
          </w:p>
        </w:tc>
        <w:tc>
          <w:tcPr>
            <w:tcW w:type="dxa" w:w="1080"/>
            <w:shd w:val="clear" w:color="auto" w:fill="DCE6F1"/>
          </w:tcPr>
          <w:p>
            <w:r/>
            <w:r>
              <w:rPr>
                <w:rFonts w:ascii="Arial" w:hAnsi="Arial" w:eastAsia="Arial"/>
                <w:b/>
                <w:i w:val="0"/>
                <w:sz w:val="13"/>
              </w:rPr>
              <w:t>M1</w:t>
            </w:r>
          </w:p>
        </w:tc>
        <w:tc>
          <w:tcPr>
            <w:tcW w:type="dxa" w:w="1080"/>
            <w:shd w:val="clear" w:color="auto" w:fill="DCE6F1"/>
          </w:tcPr>
          <w:p>
            <w:r/>
            <w:r>
              <w:rPr>
                <w:rFonts w:ascii="Arial" w:hAnsi="Arial" w:eastAsia="Arial"/>
                <w:b/>
                <w:i w:val="0"/>
                <w:sz w:val="13"/>
              </w:rPr>
              <w:t>Poor diff.</w:t>
            </w:r>
          </w:p>
        </w:tc>
        <w:tc>
          <w:tcPr>
            <w:tcW w:type="dxa" w:w="1080"/>
            <w:shd w:val="clear" w:color="auto" w:fill="DCE6F1"/>
          </w:tcPr>
          <w:p>
            <w:r/>
            <w:r>
              <w:rPr>
                <w:rFonts w:ascii="Arial" w:hAnsi="Arial" w:eastAsia="Arial"/>
                <w:b/>
                <w:i w:val="0"/>
                <w:sz w:val="13"/>
              </w:rPr>
              <w:t>Mucinous/SRC</w:t>
            </w:r>
          </w:p>
        </w:tc>
        <w:tc>
          <w:tcPr>
            <w:tcW w:type="dxa" w:w="1080"/>
            <w:shd w:val="clear" w:color="auto" w:fill="DCE6F1"/>
          </w:tcPr>
          <w:p>
            <w:r/>
            <w:r>
              <w:rPr>
                <w:rFonts w:ascii="Arial" w:hAnsi="Arial" w:eastAsia="Arial"/>
                <w:b/>
                <w:i w:val="0"/>
                <w:sz w:val="13"/>
              </w:rPr>
              <w:t>Vascular inv.</w:t>
            </w:r>
          </w:p>
        </w:tc>
        <w:tc>
          <w:tcPr>
            <w:tcW w:type="dxa" w:w="1080"/>
            <w:shd w:val="clear" w:color="auto" w:fill="DCE6F1"/>
          </w:tcPr>
          <w:p>
            <w:r/>
            <w:r>
              <w:rPr>
                <w:rFonts w:ascii="Arial" w:hAnsi="Arial" w:eastAsia="Arial"/>
                <w:b/>
                <w:i w:val="0"/>
                <w:sz w:val="13"/>
              </w:rPr>
              <w:t>PNI</w:t>
            </w:r>
          </w:p>
        </w:tc>
      </w:tr>
      <w:tr>
        <w:tc>
          <w:tcPr>
            <w:tcW w:type="dxa" w:w="108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080"/>
          </w:tcPr>
          <w:p>
            <w:pPr>
              <w:spacing w:after="0"/>
            </w:pPr>
            <w:r/>
            <w:r>
              <w:rPr>
                <w:rFonts w:ascii="Arial" w:hAnsi="Arial" w:eastAsia="Arial"/>
                <w:b w:val="0"/>
                <w:i w:val="0"/>
                <w:sz w:val="13"/>
              </w:rPr>
              <w:t>566/823 vs 18827/30330</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474/798 vs 16047/29782</w:t>
            </w:r>
          </w:p>
        </w:tc>
        <w:tc>
          <w:tcPr>
            <w:tcW w:type="dxa" w:w="1080"/>
          </w:tcPr>
          <w:p>
            <w:pPr>
              <w:spacing w:after="0"/>
            </w:pPr>
            <w:r/>
            <w:r>
              <w:rPr>
                <w:rFonts w:ascii="Arial" w:hAnsi="Arial" w:eastAsia="Arial"/>
                <w:b w:val="0"/>
                <w:i w:val="0"/>
                <w:sz w:val="13"/>
              </w:rPr>
              <w:t>308/767 vs 7056/15829</w:t>
            </w:r>
          </w:p>
        </w:tc>
        <w:tc>
          <w:tcPr>
            <w:tcW w:type="dxa" w:w="1080"/>
          </w:tcPr>
          <w:p>
            <w:pPr>
              <w:spacing w:after="0"/>
            </w:pPr>
            <w:r/>
            <w:r>
              <w:rPr>
                <w:rFonts w:ascii="Arial" w:hAnsi="Arial" w:eastAsia="Arial"/>
                <w:b w:val="0"/>
                <w:i w:val="0"/>
                <w:sz w:val="13"/>
              </w:rPr>
              <w:t>563/752 vs 11779/15483</w:t>
            </w:r>
          </w:p>
        </w:tc>
        <w:tc>
          <w:tcPr>
            <w:tcW w:type="dxa" w:w="1080"/>
          </w:tcPr>
          <w:p>
            <w:pPr>
              <w:spacing w:after="0"/>
            </w:pPr>
            <w:r/>
            <w:r>
              <w:rPr>
                <w:rFonts w:ascii="Arial" w:hAnsi="Arial" w:eastAsia="Arial"/>
                <w:b w:val="0"/>
                <w:i w:val="0"/>
                <w:sz w:val="13"/>
              </w:rPr>
              <w:t>261/751 vs 6001/15383</w:t>
            </w:r>
          </w:p>
        </w:tc>
        <w:tc>
          <w:tcPr>
            <w:tcW w:type="dxa" w:w="1080"/>
          </w:tcPr>
          <w:p>
            <w:pPr>
              <w:spacing w:after="0"/>
            </w:pPr>
            <w:r/>
            <w:r>
              <w:rPr>
                <w:rFonts w:ascii="Arial" w:hAnsi="Arial" w:eastAsia="Arial"/>
                <w:b w:val="0"/>
                <w:i w:val="0"/>
                <w:sz w:val="13"/>
              </w:rPr>
              <w:t>103/808 vs 2504/16155</w:t>
            </w:r>
          </w:p>
        </w:tc>
        <w:tc>
          <w:tcPr>
            <w:tcW w:type="dxa" w:w="1080"/>
          </w:tcPr>
          <w:p>
            <w:pPr>
              <w:spacing w:after="0"/>
            </w:pPr>
            <w:r/>
            <w:r>
              <w:rPr>
                <w:rFonts w:ascii="Arial" w:hAnsi="Arial" w:eastAsia="Arial"/>
                <w:b w:val="0"/>
                <w:i w:val="0"/>
                <w:sz w:val="13"/>
              </w:rPr>
              <w:t>122/792 vs 1920/15165</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54/808 vs 1461/16155</w:t>
            </w:r>
          </w:p>
        </w:tc>
        <w:tc>
          <w:tcPr>
            <w:tcW w:type="dxa" w:w="1080"/>
          </w:tcPr>
          <w:p>
            <w:pPr>
              <w:spacing w:after="0"/>
            </w:pPr>
            <w:r/>
            <w:r>
              <w:rPr>
                <w:rFonts w:ascii="Arial" w:hAnsi="Arial" w:eastAsia="Arial"/>
                <w:b w:val="0"/>
                <w:i w:val="0"/>
                <w:sz w:val="13"/>
              </w:rPr>
              <w:t>85/808 vs 1888/16155</w:t>
            </w:r>
          </w:p>
        </w:tc>
      </w:tr>
      <w:tr>
        <w:tc>
          <w:tcPr>
            <w:tcW w:type="dxa" w:w="1080"/>
          </w:tcPr>
          <w:p>
            <w:pPr>
              <w:spacing w:after="0"/>
            </w:pPr>
            <w:r/>
            <w:r>
              <w:rPr>
                <w:rFonts w:ascii="Arial" w:hAnsi="Arial" w:eastAsia="Arial"/>
                <w:b w:val="0"/>
                <w:i w:val="0"/>
                <w:sz w:val="13"/>
              </w:rPr>
              <w:t>Wang 2020</w:t>
            </w:r>
            <w:r>
              <w:rPr>
                <w:rFonts w:ascii="Arial" w:hAnsi="Arial" w:eastAsia="Arial"/>
                <w:b w:val="0"/>
                <w:i w:val="0"/>
                <w:sz w:val="13"/>
                <w:vertAlign w:val="superscript"/>
              </w:rPr>
              <w:t>12</w:t>
            </w:r>
          </w:p>
        </w:tc>
        <w:tc>
          <w:tcPr>
            <w:tcW w:type="dxa" w:w="1080"/>
          </w:tcPr>
          <w:p>
            <w:pPr>
              <w:spacing w:after="0"/>
            </w:pPr>
            <w:r/>
            <w:r>
              <w:rPr>
                <w:rFonts w:ascii="Arial" w:hAnsi="Arial" w:eastAsia="Arial"/>
                <w:b w:val="0"/>
                <w:i w:val="0"/>
                <w:sz w:val="13"/>
              </w:rPr>
              <w:t>174/253 vs 1721/2885</w:t>
            </w:r>
          </w:p>
        </w:tc>
        <w:tc>
          <w:tcPr>
            <w:tcW w:type="dxa" w:w="1080"/>
          </w:tcPr>
          <w:p>
            <w:pPr>
              <w:spacing w:after="0"/>
            </w:pPr>
            <w:r/>
            <w:r>
              <w:rPr>
                <w:rFonts w:ascii="Arial" w:hAnsi="Arial" w:eastAsia="Arial"/>
                <w:b w:val="0"/>
                <w:i w:val="0"/>
                <w:sz w:val="13"/>
              </w:rPr>
              <w:t>176/253 vs 1609/2885</w:t>
            </w:r>
          </w:p>
        </w:tc>
        <w:tc>
          <w:tcPr>
            <w:tcW w:type="dxa" w:w="1080"/>
          </w:tcPr>
          <w:p>
            <w:pPr>
              <w:spacing w:after="0"/>
            </w:pPr>
            <w:r/>
            <w:r>
              <w:rPr>
                <w:rFonts w:ascii="Arial" w:hAnsi="Arial" w:eastAsia="Arial"/>
                <w:b w:val="0"/>
                <w:i w:val="0"/>
                <w:sz w:val="13"/>
              </w:rPr>
              <w:t>130/253 vs 1395/2885</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178/253 vs 2300/2885</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7/253 vs 633/2885</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r>
      <w:tr>
        <w:tc>
          <w:tcPr>
            <w:tcW w:type="dxa" w:w="1080"/>
          </w:tcPr>
          <w:p>
            <w:pPr>
              <w:spacing w:after="0"/>
            </w:pPr>
            <w:r/>
            <w:r>
              <w:rPr>
                <w:rFonts w:ascii="Arial" w:hAnsi="Arial" w:eastAsia="Arial"/>
                <w:b w:val="0"/>
                <w:i w:val="0"/>
                <w:sz w:val="13"/>
              </w:rPr>
              <w:t>Yang 2023</w:t>
            </w:r>
            <w:r>
              <w:rPr>
                <w:rFonts w:ascii="Arial" w:hAnsi="Arial" w:eastAsia="Arial"/>
                <w:b w:val="0"/>
                <w:i w:val="0"/>
                <w:sz w:val="13"/>
                <w:vertAlign w:val="superscript"/>
              </w:rPr>
              <w:t>34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42/195 vs 61/227</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38/195 vs 47/227</w:t>
            </w:r>
          </w:p>
        </w:tc>
        <w:tc>
          <w:tcPr>
            <w:tcW w:type="dxa" w:w="1080"/>
          </w:tcPr>
          <w:p>
            <w:pPr>
              <w:spacing w:after="0"/>
            </w:pPr>
            <w:r/>
            <w:r>
              <w:rPr>
                <w:rFonts w:ascii="Arial" w:hAnsi="Arial" w:eastAsia="Arial"/>
                <w:b w:val="0"/>
                <w:i w:val="0"/>
                <w:sz w:val="13"/>
              </w:rPr>
              <w:t>-</w:t>
            </w:r>
          </w:p>
        </w:tc>
      </w:tr>
      <w:tr>
        <w:tc>
          <w:tcPr>
            <w:tcW w:type="dxa" w:w="1080"/>
          </w:tcPr>
          <w:p>
            <w:pPr>
              <w:spacing w:after="0"/>
            </w:pPr>
            <w:r/>
            <w:r>
              <w:rPr>
                <w:rFonts w:ascii="Arial" w:hAnsi="Arial" w:eastAsia="Arial"/>
                <w:b w:val="0"/>
                <w:i w:val="0"/>
                <w:sz w:val="13"/>
              </w:rPr>
              <w:t>Wang 2020</w:t>
            </w:r>
            <w:r>
              <w:rPr>
                <w:rFonts w:ascii="Arial" w:hAnsi="Arial" w:eastAsia="Arial"/>
                <w:b w:val="0"/>
                <w:i w:val="0"/>
                <w:sz w:val="13"/>
                <w:vertAlign w:val="superscript"/>
              </w:rPr>
              <w:t>13</w:t>
            </w:r>
          </w:p>
        </w:tc>
        <w:tc>
          <w:tcPr>
            <w:tcW w:type="dxa" w:w="1080"/>
          </w:tcPr>
          <w:p>
            <w:pPr>
              <w:spacing w:after="0"/>
            </w:pPr>
            <w:r/>
            <w:r>
              <w:rPr>
                <w:rFonts w:ascii="Arial" w:hAnsi="Arial" w:eastAsia="Arial"/>
                <w:b w:val="0"/>
                <w:i w:val="0"/>
                <w:sz w:val="13"/>
              </w:rPr>
              <w:t>86/137 vs 126/214</w:t>
            </w:r>
          </w:p>
        </w:tc>
        <w:tc>
          <w:tcPr>
            <w:tcW w:type="dxa" w:w="1080"/>
          </w:tcPr>
          <w:p>
            <w:pPr>
              <w:spacing w:after="0"/>
            </w:pPr>
            <w:r/>
            <w:r>
              <w:rPr>
                <w:rFonts w:ascii="Arial" w:hAnsi="Arial" w:eastAsia="Arial"/>
                <w:b w:val="0"/>
                <w:i w:val="0"/>
                <w:sz w:val="13"/>
              </w:rPr>
              <w:t>132/137 vs 136/214</w:t>
            </w:r>
          </w:p>
        </w:tc>
        <w:tc>
          <w:tcPr>
            <w:tcW w:type="dxa" w:w="1080"/>
          </w:tcPr>
          <w:p>
            <w:pPr>
              <w:spacing w:after="0"/>
            </w:pPr>
            <w:r/>
            <w:r>
              <w:rPr>
                <w:rFonts w:ascii="Arial" w:hAnsi="Arial" w:eastAsia="Arial"/>
                <w:b w:val="0"/>
                <w:i w:val="0"/>
                <w:sz w:val="13"/>
              </w:rPr>
              <w:t>37/137 vs 57/214</w:t>
            </w:r>
          </w:p>
        </w:tc>
        <w:tc>
          <w:tcPr>
            <w:tcW w:type="dxa" w:w="1080"/>
          </w:tcPr>
          <w:p>
            <w:pPr>
              <w:spacing w:after="0"/>
            </w:pPr>
            <w:r/>
            <w:r>
              <w:rPr>
                <w:rFonts w:ascii="Arial" w:hAnsi="Arial" w:eastAsia="Arial"/>
                <w:b w:val="0"/>
                <w:i w:val="0"/>
                <w:sz w:val="13"/>
              </w:rPr>
              <w:t>61/137 vs 98/214</w:t>
            </w:r>
          </w:p>
        </w:tc>
        <w:tc>
          <w:tcPr>
            <w:tcW w:type="dxa" w:w="1080"/>
          </w:tcPr>
          <w:p>
            <w:pPr>
              <w:spacing w:after="0"/>
            </w:pPr>
            <w:r/>
            <w:r>
              <w:rPr>
                <w:rFonts w:ascii="Arial" w:hAnsi="Arial" w:eastAsia="Arial"/>
                <w:b w:val="0"/>
                <w:i w:val="0"/>
                <w:sz w:val="13"/>
              </w:rPr>
              <w:t>108/137 vs 163/214</w:t>
            </w:r>
          </w:p>
        </w:tc>
        <w:tc>
          <w:tcPr>
            <w:tcW w:type="dxa" w:w="1080"/>
          </w:tcPr>
          <w:p>
            <w:pPr>
              <w:spacing w:after="0"/>
            </w:pPr>
            <w:r/>
            <w:r>
              <w:rPr>
                <w:rFonts w:ascii="Arial" w:hAnsi="Arial" w:eastAsia="Arial"/>
                <w:b w:val="0"/>
                <w:i w:val="0"/>
                <w:sz w:val="13"/>
              </w:rPr>
              <w:t>56/137 vs 88/214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35/137 vs 49/214</w:t>
            </w:r>
          </w:p>
        </w:tc>
        <w:tc>
          <w:tcPr>
            <w:tcW w:type="dxa" w:w="1080"/>
          </w:tcPr>
          <w:p>
            <w:pPr>
              <w:spacing w:after="0"/>
            </w:pPr>
            <w:r/>
            <w:r>
              <w:rPr>
                <w:rFonts w:ascii="Arial" w:hAnsi="Arial" w:eastAsia="Arial"/>
                <w:b w:val="0"/>
                <w:i w:val="0"/>
                <w:sz w:val="13"/>
              </w:rPr>
              <w:t>17/137 vs 23/214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12/137 vs 20/214</w:t>
            </w:r>
          </w:p>
        </w:tc>
      </w:tr>
      <w:tr>
        <w:tc>
          <w:tcPr>
            <w:tcW w:type="dxa" w:w="1080"/>
          </w:tcPr>
          <w:p>
            <w:pPr>
              <w:spacing w:after="0"/>
            </w:pPr>
            <w:r/>
            <w:r>
              <w:rPr>
                <w:rFonts w:ascii="Arial" w:hAnsi="Arial" w:eastAsia="Arial"/>
                <w:b w:val="0"/>
                <w:i w:val="0"/>
                <w:sz w:val="13"/>
              </w:rPr>
              <w:t>Li 2024</w:t>
            </w:r>
            <w:r>
              <w:rPr>
                <w:rFonts w:ascii="Arial" w:hAnsi="Arial" w:eastAsia="Arial"/>
                <w:b w:val="0"/>
                <w:i w:val="0"/>
                <w:sz w:val="13"/>
                <w:vertAlign w:val="superscript"/>
              </w:rPr>
              <w:t>18</w:t>
            </w:r>
          </w:p>
        </w:tc>
        <w:tc>
          <w:tcPr>
            <w:tcW w:type="dxa" w:w="1080"/>
          </w:tcPr>
          <w:p>
            <w:pPr>
              <w:spacing w:after="0"/>
            </w:pPr>
            <w:r/>
            <w:r>
              <w:rPr>
                <w:rFonts w:ascii="Arial" w:hAnsi="Arial" w:eastAsia="Arial"/>
                <w:b w:val="0"/>
                <w:i w:val="0"/>
                <w:sz w:val="13"/>
              </w:rPr>
              <w:t>22/30 vs 288/459</w:t>
            </w:r>
          </w:p>
        </w:tc>
        <w:tc>
          <w:tcPr>
            <w:tcW w:type="dxa" w:w="1080"/>
          </w:tcPr>
          <w:p>
            <w:pPr>
              <w:spacing w:after="0"/>
            </w:pPr>
            <w:r/>
            <w:r>
              <w:rPr>
                <w:rFonts w:ascii="Arial" w:hAnsi="Arial" w:eastAsia="Arial"/>
                <w:b w:val="0"/>
                <w:i w:val="0"/>
                <w:sz w:val="13"/>
              </w:rPr>
              <w:t>13/30 vs 206/459</w:t>
            </w:r>
          </w:p>
        </w:tc>
        <w:tc>
          <w:tcPr>
            <w:tcW w:type="dxa" w:w="1080"/>
          </w:tcPr>
          <w:p>
            <w:pPr>
              <w:spacing w:after="0"/>
            </w:pPr>
            <w:r/>
            <w:r>
              <w:rPr>
                <w:rFonts w:ascii="Arial" w:hAnsi="Arial" w:eastAsia="Arial"/>
                <w:b w:val="0"/>
                <w:i w:val="0"/>
                <w:sz w:val="13"/>
              </w:rPr>
              <w:t>13/30 vs 195/459</w:t>
            </w:r>
          </w:p>
        </w:tc>
        <w:tc>
          <w:tcPr>
            <w:tcW w:type="dxa" w:w="1080"/>
          </w:tcPr>
          <w:p>
            <w:pPr>
              <w:spacing w:after="0"/>
            </w:pPr>
            <w:r/>
            <w:r>
              <w:rPr>
                <w:rFonts w:ascii="Arial" w:hAnsi="Arial" w:eastAsia="Arial"/>
                <w:b w:val="0"/>
                <w:i w:val="0"/>
                <w:sz w:val="13"/>
              </w:rPr>
              <w:t>19/30 vs 251/459</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6/30 vs 60/459</w:t>
            </w:r>
          </w:p>
        </w:tc>
        <w:tc>
          <w:tcPr>
            <w:tcW w:type="dxa" w:w="1080"/>
          </w:tcPr>
          <w:p>
            <w:pPr>
              <w:spacing w:after="0"/>
            </w:pPr>
            <w:r/>
            <w:r>
              <w:rPr>
                <w:rFonts w:ascii="Arial" w:hAnsi="Arial" w:eastAsia="Arial"/>
                <w:b w:val="0"/>
                <w:i w:val="0"/>
                <w:sz w:val="13"/>
              </w:rPr>
              <w:t>4/30 vs 75/459</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8/30 vs 115/459</w:t>
            </w:r>
          </w:p>
        </w:tc>
        <w:tc>
          <w:tcPr>
            <w:tcW w:type="dxa" w:w="1080"/>
          </w:tcPr>
          <w:p>
            <w:pPr>
              <w:spacing w:after="0"/>
            </w:pPr>
            <w:r/>
            <w:r>
              <w:rPr>
                <w:rFonts w:ascii="Arial" w:hAnsi="Arial" w:eastAsia="Arial"/>
                <w:b w:val="0"/>
                <w:i w:val="0"/>
                <w:sz w:val="13"/>
              </w:rPr>
              <w:t>11/30 vs 114/459</w:t>
            </w:r>
          </w:p>
        </w:tc>
      </w:tr>
      <w:tr>
        <w:tc>
          <w:tcPr>
            <w:tcW w:type="dxa" w:w="1080"/>
          </w:tcPr>
          <w:p>
            <w:pPr>
              <w:spacing w:after="0"/>
            </w:pPr>
            <w:r/>
            <w:r>
              <w:rPr>
                <w:rFonts w:ascii="Arial" w:hAnsi="Arial" w:eastAsia="Arial"/>
                <w:b w:val="0"/>
                <w:i w:val="0"/>
                <w:sz w:val="13"/>
              </w:rPr>
              <w:t>Zhu 2024</w:t>
            </w:r>
            <w:r>
              <w:rPr>
                <w:rFonts w:ascii="Arial" w:hAnsi="Arial" w:eastAsia="Arial"/>
                <w:b w:val="0"/>
                <w:i w:val="0"/>
                <w:sz w:val="13"/>
                <w:vertAlign w:val="superscript"/>
              </w:rPr>
              <w:t>15</w:t>
            </w:r>
          </w:p>
        </w:tc>
        <w:tc>
          <w:tcPr>
            <w:tcW w:type="dxa" w:w="1080"/>
          </w:tcPr>
          <w:p>
            <w:pPr>
              <w:spacing w:after="0"/>
            </w:pPr>
            <w:r/>
            <w:r>
              <w:rPr>
                <w:rFonts w:ascii="Arial" w:hAnsi="Arial" w:eastAsia="Arial"/>
                <w:b w:val="0"/>
                <w:i w:val="0"/>
                <w:sz w:val="13"/>
              </w:rPr>
              <w:t>65/95 vs 234/406</w:t>
            </w:r>
          </w:p>
        </w:tc>
        <w:tc>
          <w:tcPr>
            <w:tcW w:type="dxa" w:w="1080"/>
          </w:tcPr>
          <w:p>
            <w:pPr>
              <w:spacing w:after="0"/>
            </w:pPr>
            <w:r/>
            <w:r>
              <w:rPr>
                <w:rFonts w:ascii="Arial" w:hAnsi="Arial" w:eastAsia="Arial"/>
                <w:b w:val="0"/>
                <w:i w:val="0"/>
                <w:sz w:val="13"/>
              </w:rPr>
              <w:t>70/95 vs 228/406</w:t>
            </w:r>
          </w:p>
        </w:tc>
        <w:tc>
          <w:tcPr>
            <w:tcW w:type="dxa" w:w="1080"/>
          </w:tcPr>
          <w:p>
            <w:pPr>
              <w:spacing w:after="0"/>
            </w:pPr>
            <w:r/>
            <w:r>
              <w:rPr>
                <w:rFonts w:ascii="Arial" w:hAnsi="Arial" w:eastAsia="Arial"/>
                <w:b w:val="0"/>
                <w:i w:val="0"/>
                <w:sz w:val="13"/>
              </w:rPr>
              <w:t>23/95 vs 105/406</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78/95 vs 322/406</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9/89 vs 39/375</w:t>
            </w:r>
          </w:p>
        </w:tc>
        <w:tc>
          <w:tcPr>
            <w:tcW w:type="dxa" w:w="1080"/>
          </w:tcPr>
          <w:p>
            <w:pPr>
              <w:spacing w:after="0"/>
            </w:pPr>
            <w:r/>
            <w:r>
              <w:rPr>
                <w:rFonts w:ascii="Arial" w:hAnsi="Arial" w:eastAsia="Arial"/>
                <w:b w:val="0"/>
                <w:i w:val="0"/>
                <w:sz w:val="13"/>
              </w:rPr>
              <w:t>6/95 vs 31/406</w:t>
            </w:r>
          </w:p>
        </w:tc>
        <w:tc>
          <w:tcPr>
            <w:tcW w:type="dxa" w:w="1080"/>
          </w:tcPr>
          <w:p>
            <w:pPr>
              <w:spacing w:after="0"/>
            </w:pPr>
            <w:r/>
            <w:r>
              <w:rPr>
                <w:rFonts w:ascii="Arial" w:hAnsi="Arial" w:eastAsia="Arial"/>
                <w:b w:val="0"/>
                <w:i w:val="0"/>
                <w:sz w:val="13"/>
              </w:rPr>
              <w:t>38/95 vs 174/406</w:t>
            </w:r>
          </w:p>
        </w:tc>
        <w:tc>
          <w:tcPr>
            <w:tcW w:type="dxa" w:w="1080"/>
          </w:tcPr>
          <w:p>
            <w:pPr>
              <w:spacing w:after="0"/>
            </w:pPr>
            <w:r/>
            <w:r>
              <w:rPr>
                <w:rFonts w:ascii="Arial" w:hAnsi="Arial" w:eastAsia="Arial"/>
                <w:b w:val="0"/>
                <w:i w:val="0"/>
                <w:sz w:val="13"/>
              </w:rPr>
              <w:t>-</w:t>
            </w:r>
          </w:p>
        </w:tc>
      </w:tr>
      <w:tr>
        <w:tc>
          <w:tcPr>
            <w:tcW w:type="dxa" w:w="1080"/>
          </w:tcPr>
          <w:p>
            <w:pPr>
              <w:spacing w:after="0"/>
            </w:pPr>
            <w:r/>
            <w:r>
              <w:rPr>
                <w:rFonts w:ascii="Arial" w:hAnsi="Arial" w:eastAsia="Arial"/>
                <w:b w:val="0"/>
                <w:i w:val="0"/>
                <w:sz w:val="13"/>
              </w:rPr>
              <w:t>Zhang 2023</w:t>
            </w:r>
            <w:r>
              <w:rPr>
                <w:rFonts w:ascii="Arial" w:hAnsi="Arial" w:eastAsia="Arial"/>
                <w:b w:val="0"/>
                <w:i w:val="0"/>
                <w:sz w:val="13"/>
                <w:vertAlign w:val="superscript"/>
              </w:rPr>
              <w:t>14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38/101 vs 87/240</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30/101 vs 62/240</w:t>
            </w:r>
          </w:p>
        </w:tc>
      </w:tr>
      <w:tr>
        <w:tc>
          <w:tcPr>
            <w:tcW w:type="dxa" w:w="1080"/>
          </w:tcPr>
          <w:p>
            <w:pPr>
              <w:spacing w:after="0"/>
            </w:pPr>
            <w:r/>
            <w:r>
              <w:rPr>
                <w:rFonts w:ascii="Arial" w:hAnsi="Arial" w:eastAsia="Arial"/>
                <w:b w:val="0"/>
                <w:i w:val="0"/>
                <w:sz w:val="13"/>
              </w:rPr>
              <w:t>Wu 2021</w:t>
            </w:r>
            <w:r>
              <w:rPr>
                <w:rFonts w:ascii="Arial" w:hAnsi="Arial" w:eastAsia="Arial"/>
                <w:b w:val="0"/>
                <w:i w:val="0"/>
                <w:sz w:val="13"/>
                <w:vertAlign w:val="superscript"/>
              </w:rPr>
              <w:t>40</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49/56 vs 249/307</w:t>
            </w:r>
          </w:p>
        </w:tc>
        <w:tc>
          <w:tcPr>
            <w:tcW w:type="dxa" w:w="1080"/>
          </w:tcPr>
          <w:p>
            <w:pPr>
              <w:spacing w:after="0"/>
            </w:pPr>
            <w:r/>
            <w:r>
              <w:rPr>
                <w:rFonts w:ascii="Arial" w:hAnsi="Arial" w:eastAsia="Arial"/>
                <w:b w:val="0"/>
                <w:i w:val="0"/>
                <w:sz w:val="13"/>
              </w:rPr>
              <w:t>35/56 vs 145/307</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6/56 vs 52/307</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13/56 vs 52/307</w:t>
            </w:r>
          </w:p>
        </w:tc>
        <w:tc>
          <w:tcPr>
            <w:tcW w:type="dxa" w:w="1080"/>
          </w:tcPr>
          <w:p>
            <w:pPr>
              <w:spacing w:after="0"/>
            </w:pPr>
            <w:r/>
            <w:r>
              <w:rPr>
                <w:rFonts w:ascii="Arial" w:hAnsi="Arial" w:eastAsia="Arial"/>
                <w:b w:val="0"/>
                <w:i w:val="0"/>
                <w:sz w:val="13"/>
              </w:rPr>
              <w:t>8/56 vs 69/307</w:t>
            </w:r>
          </w:p>
        </w:tc>
      </w:tr>
      <w:tr>
        <w:tc>
          <w:tcPr>
            <w:tcW w:type="dxa" w:w="1080"/>
          </w:tcPr>
          <w:p>
            <w:pPr>
              <w:spacing w:after="0"/>
            </w:pPr>
            <w:r/>
            <w:r>
              <w:rPr>
                <w:rFonts w:ascii="Arial" w:hAnsi="Arial" w:eastAsia="Arial"/>
                <w:b w:val="0"/>
                <w:i w:val="0"/>
                <w:sz w:val="13"/>
              </w:rPr>
              <w:t>Feng 2015</w:t>
            </w:r>
            <w:r>
              <w:rPr>
                <w:rFonts w:ascii="Arial" w:hAnsi="Arial" w:eastAsia="Arial"/>
                <w:b w:val="0"/>
                <w:i w:val="0"/>
                <w:sz w:val="13"/>
                <w:vertAlign w:val="superscript"/>
              </w:rPr>
              <w:t>41</w:t>
            </w:r>
          </w:p>
        </w:tc>
        <w:tc>
          <w:tcPr>
            <w:tcW w:type="dxa" w:w="1080"/>
          </w:tcPr>
          <w:p>
            <w:pPr>
              <w:spacing w:after="0"/>
            </w:pPr>
            <w:r/>
            <w:r>
              <w:rPr>
                <w:rFonts w:ascii="Arial" w:hAnsi="Arial" w:eastAsia="Arial"/>
                <w:b w:val="0"/>
                <w:i w:val="0"/>
                <w:sz w:val="13"/>
              </w:rPr>
              <w:t>18/26 vs 22/34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4/26 vs 18/34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3/26 vs 3/34</w:t>
            </w:r>
          </w:p>
        </w:tc>
        <w:tc>
          <w:tcPr>
            <w:tcW w:type="dxa" w:w="1080"/>
          </w:tcPr>
          <w:p>
            <w:pPr>
              <w:spacing w:after="0"/>
            </w:pPr>
            <w:r/>
            <w:r>
              <w:rPr>
                <w:rFonts w:ascii="Arial" w:hAnsi="Arial" w:eastAsia="Arial"/>
                <w:b w:val="0"/>
                <w:i w:val="0"/>
                <w:sz w:val="13"/>
              </w:rPr>
              <w:t>10/26 vs 4/34</w:t>
            </w:r>
          </w:p>
        </w:tc>
        <w:tc>
          <w:tcPr>
            <w:tcW w:type="dxa" w:w="1080"/>
          </w:tcPr>
          <w:p>
            <w:pPr>
              <w:spacing w:after="0"/>
            </w:pPr>
            <w:r/>
            <w:r>
              <w:rPr>
                <w:rFonts w:ascii="Arial" w:hAnsi="Arial" w:eastAsia="Arial"/>
                <w:b w:val="0"/>
                <w:i w:val="0"/>
                <w:sz w:val="13"/>
              </w:rPr>
              <w:t>-</w:t>
            </w:r>
          </w:p>
        </w:tc>
        <w:tc>
          <w:tcPr>
            <w:tcW w:type="dxa" w:w="1080"/>
          </w:tcPr>
          <w:p>
            <w:pPr>
              <w:spacing w:after="0"/>
            </w:pPr>
            <w:r/>
            <w:r>
              <w:rPr>
                <w:rFonts w:ascii="Arial" w:hAnsi="Arial" w:eastAsia="Arial"/>
                <w:b w:val="0"/>
                <w:i w:val="0"/>
                <w:sz w:val="13"/>
              </w:rPr>
              <w:t>-</w:t>
            </w:r>
          </w:p>
        </w:tc>
      </w:tr>
    </w:tbl>
    <w:p>
      <w:r>
        <w:rPr>
          <w:rFonts w:ascii="Arial" w:hAnsi="Arial" w:eastAsia="Arial"/>
          <w:b w:val="0"/>
          <w:i w:val="0"/>
          <w:sz w:val="18"/>
        </w:rPr>
        <w:t>Only the report used for each outcome within an overlap group is shown (Supplementary Table S6). -, not reported or taken from another report of the same cohort. LN+, lymph-node metastasis; M1, distant metastasis (stage IV where M stage was not given separately); PNI, perineural invasion. Definitions differ between studies (see notes in the extraction file).</w:t>
      </w:r>
    </w:p>
    <w:p>
      <w:pPr>
        <w:sectPr>
          <w:pgSz w:w="15840" w:h="12240" w:orient="landscape"/>
          <w:pgMar w:top="1440" w:right="1440" w:bottom="1440" w:left="1440" w:header="720" w:footer="720" w:gutter="0"/>
          <w:cols w:space="720"/>
          <w:docGrid w:linePitch="360"/>
        </w:sectPr>
      </w:pPr>
    </w:p>
    <w:p>
      <w:r>
        <w:rPr>
          <w:rFonts w:ascii="Arial" w:hAnsi="Arial" w:eastAsia="Arial"/>
          <w:b/>
          <w:i w:val="0"/>
          <w:sz w:val="24"/>
        </w:rPr>
        <w:t>Tumour stage and metastatic behaviour</w:t>
      </w:r>
    </w:p>
    <w:p>
      <w:pPr>
        <w:jc w:val="both"/>
      </w:pPr>
      <w:r>
        <w:rPr>
          <w:rFonts w:ascii="Arial" w:hAnsi="Arial" w:eastAsia="Arial"/>
          <w:b w:val="0"/>
          <w:i w:val="0"/>
          <w:sz w:val="24"/>
        </w:rPr>
        <w:t>For stage III-IV disease, the pooled OR was 0.84 (95% CI 0.74-0.97; P = 0.015; 4 studies; I² = 0%; tau² = 0.000). After exclusion of the largest cohort,</w:t>
      </w:r>
      <w:r>
        <w:rPr>
          <w:rFonts w:ascii="Arial" w:hAnsi="Arial" w:eastAsia="Arial"/>
          <w:b w:val="0"/>
          <w:i w:val="0"/>
          <w:sz w:val="24"/>
          <w:vertAlign w:val="superscript"/>
        </w:rPr>
        <w:t>19</w:t>
      </w:r>
      <w:r>
        <w:rPr>
          <w:rFonts w:ascii="Arial" w:hAnsi="Arial" w:eastAsia="Arial"/>
          <w:b w:val="0"/>
          <w:i w:val="0"/>
          <w:sz w:val="24"/>
        </w:rPr>
        <w:t xml:space="preserve"> the OR was 0.67 (95% CI 0.21-2.18) (3 studies; I² = 86%). For pT3-T4 tumours, the pooled OR was 0.95 (95% CI 0.70-1.30; P = 0.755; 5 studies; I² = 69%; tau² = 0.076). For lymph-node metastasis, the pooled OR was 0.97 (95% CI 0.76-1.23; P = 0.783; 5 studies; I² = 49%; tau² = 0.035). For distant metastasis, the pooled OR was 0.99 (95% CI 0.51-1.93; P = 0.985; 2 studies; I² = 56%; tau² = 0.151). The largest cohort reported less nodal and distant metastasis in SACC,</w:t>
      </w:r>
      <w:r>
        <w:rPr>
          <w:rFonts w:ascii="Arial" w:hAnsi="Arial" w:eastAsia="Arial"/>
          <w:b w:val="0"/>
          <w:i w:val="0"/>
          <w:sz w:val="24"/>
          <w:vertAlign w:val="superscript"/>
        </w:rPr>
        <w:t>19</w:t>
      </w:r>
      <w:r>
        <w:rPr>
          <w:rFonts w:ascii="Arial" w:hAnsi="Arial" w:eastAsia="Arial"/>
          <w:b w:val="0"/>
          <w:i w:val="0"/>
          <w:sz w:val="24"/>
        </w:rPr>
        <w:t xml:space="preserve"> whereas the Wuhu Second People's Hospital cohort reported more nodal metastasis;</w:t>
      </w:r>
      <w:r>
        <w:rPr>
          <w:rFonts w:ascii="Arial" w:hAnsi="Arial" w:eastAsia="Arial"/>
          <w:b w:val="0"/>
          <w:i w:val="0"/>
          <w:sz w:val="24"/>
          <w:vertAlign w:val="superscript"/>
        </w:rPr>
        <w:t>40</w:t>
      </w:r>
      <w:r>
        <w:rPr>
          <w:rFonts w:ascii="Arial" w:hAnsi="Arial" w:eastAsia="Arial"/>
          <w:b w:val="0"/>
          <w:i w:val="0"/>
          <w:sz w:val="24"/>
        </w:rPr>
        <w:t xml:space="preserve"> the pooled estimates show no consistent difference.</w:t>
      </w:r>
    </w:p>
    <w:p>
      <w:pPr>
        <w:jc w:val="center"/>
      </w:pPr>
      <w:r>
        <w:drawing>
          <wp:inline xmlns:a="http://schemas.openxmlformats.org/drawingml/2006/main" xmlns:pic="http://schemas.openxmlformats.org/drawingml/2006/picture">
            <wp:extent cx="5760000" cy="5184000"/>
            <wp:docPr id="3" name="Picture 3"/>
            <wp:cNvGraphicFramePr>
              <a:graphicFrameLocks noChangeAspect="1"/>
            </wp:cNvGraphicFramePr>
            <a:graphic>
              <a:graphicData uri="http://schemas.openxmlformats.org/drawingml/2006/picture">
                <pic:pic>
                  <pic:nvPicPr>
                    <pic:cNvPr id="0" name="Figure3_phenotype_forest.png"/>
                    <pic:cNvPicPr/>
                  </pic:nvPicPr>
                  <pic:blipFill>
                    <a:blip r:embed="rId11"/>
                    <a:stretch>
                      <a:fillRect/>
                    </a:stretch>
                  </pic:blipFill>
                  <pic:spPr>
                    <a:xfrm>
                      <a:off x="0" y="0"/>
                      <a:ext cx="5760000" cy="5184000"/>
                    </a:xfrm>
                    <a:prstGeom prst="rect"/>
                  </pic:spPr>
                </pic:pic>
              </a:graphicData>
            </a:graphic>
          </wp:inline>
        </w:drawing>
      </w:r>
    </w:p>
    <w:p>
      <w:r>
        <w:rPr>
          <w:rFonts w:ascii="Arial" w:hAnsi="Arial" w:eastAsia="Arial"/>
          <w:b/>
          <w:i w:val="0"/>
          <w:sz w:val="22"/>
        </w:rPr>
        <w:t>Figure 3.</w:t>
      </w:r>
      <w:r>
        <w:rPr>
          <w:rFonts w:ascii="Arial" w:hAnsi="Arial" w:eastAsia="Arial"/>
          <w:b w:val="0"/>
          <w:i w:val="0"/>
          <w:sz w:val="22"/>
        </w:rPr>
        <w:t xml:space="preserve"> Clinicopathological phenotype of SACC versus NSACC: pooled odds ratios (random effects, REML) with 95% confidence intervals for each outcome with at least two independent cohorts. Red, primary outcomes; blue, secondary outcomes. Study-level forest plots are provided in the Supplementary Material.</w:t>
      </w:r>
    </w:p>
    <w:p>
      <w:r>
        <w:rPr>
          <w:rFonts w:ascii="Arial" w:hAnsi="Arial" w:eastAsia="Arial"/>
          <w:b/>
          <w:i w:val="0"/>
          <w:sz w:val="24"/>
        </w:rPr>
        <w:t>Molecular characteristics</w:t>
      </w:r>
    </w:p>
    <w:p>
      <w:pPr>
        <w:jc w:val="both"/>
      </w:pPr>
      <w:r>
        <w:rPr>
          <w:rFonts w:ascii="Arial" w:hAnsi="Arial" w:eastAsia="Arial"/>
          <w:b w:val="0"/>
          <w:i w:val="0"/>
          <w:sz w:val="24"/>
        </w:rPr>
        <w:t>KRAS mutation was more frequent in SACC in the two cohorts with internal comparators (pooled OR 1.41 (95% CI 1.18-1.69); I² = 0%), although only the larger cohort was individually significant,</w:t>
      </w:r>
      <w:r>
        <w:rPr>
          <w:rFonts w:ascii="Arial" w:hAnsi="Arial" w:eastAsia="Arial"/>
          <w:b w:val="0"/>
          <w:i w:val="0"/>
          <w:sz w:val="24"/>
          <w:vertAlign w:val="superscript"/>
        </w:rPr>
        <w:t>19</w:t>
      </w:r>
      <w:r>
        <w:rPr>
          <w:rFonts w:ascii="Arial" w:hAnsi="Arial" w:eastAsia="Arial"/>
          <w:b w:val="0"/>
          <w:i w:val="0"/>
          <w:sz w:val="24"/>
        </w:rPr>
        <w:t xml:space="preserve"> and the smaller one found the excess confined to G12S/D mutations (43.3% vs 18.1%).</w:t>
      </w:r>
      <w:r>
        <w:rPr>
          <w:rFonts w:ascii="Arial" w:hAnsi="Arial" w:eastAsia="Arial"/>
          <w:b w:val="0"/>
          <w:i w:val="0"/>
          <w:sz w:val="24"/>
          <w:vertAlign w:val="superscript"/>
        </w:rPr>
        <w:t>18</w:t>
      </w:r>
      <w:r>
        <w:rPr>
          <w:rFonts w:ascii="Arial" w:hAnsi="Arial" w:eastAsia="Arial"/>
          <w:b w:val="0"/>
          <w:i w:val="0"/>
          <w:sz w:val="24"/>
        </w:rPr>
        <w:t xml:space="preserve"> In the largest cohort, NRAS, BRAF, and PIK3CA mutation and mismatch-repair deficiency did not differ.</w:t>
      </w:r>
      <w:r>
        <w:rPr>
          <w:rFonts w:ascii="Arial" w:hAnsi="Arial" w:eastAsia="Arial"/>
          <w:b w:val="0"/>
          <w:i w:val="0"/>
          <w:sz w:val="24"/>
          <w:vertAlign w:val="superscript"/>
        </w:rPr>
        <w:t>19</w:t>
      </w:r>
      <w:r>
        <w:rPr>
          <w:rFonts w:ascii="Arial" w:hAnsi="Arial" w:eastAsia="Arial"/>
          <w:b w:val="0"/>
          <w:i w:val="0"/>
          <w:sz w:val="24"/>
        </w:rPr>
        <w:t xml:space="preserve"> All other biomarkers came from single reports of the Qingpu cohort and showed no difference between groups: c-MYC amplification (13.8% vs 14.4%),</w:t>
      </w:r>
      <w:r>
        <w:rPr>
          <w:rFonts w:ascii="Arial" w:hAnsi="Arial" w:eastAsia="Arial"/>
          <w:b w:val="0"/>
          <w:i w:val="0"/>
          <w:sz w:val="24"/>
          <w:vertAlign w:val="superscript"/>
        </w:rPr>
        <w:t>37</w:t>
      </w:r>
      <w:r>
        <w:rPr>
          <w:rFonts w:ascii="Arial" w:hAnsi="Arial" w:eastAsia="Arial"/>
          <w:b w:val="0"/>
          <w:i w:val="0"/>
          <w:sz w:val="24"/>
        </w:rPr>
        <w:t xml:space="preserve"> stromal and tumoural PD-L1,</w:t>
      </w:r>
      <w:r>
        <w:rPr>
          <w:rFonts w:ascii="Arial" w:hAnsi="Arial" w:eastAsia="Arial"/>
          <w:b w:val="0"/>
          <w:i w:val="0"/>
          <w:sz w:val="24"/>
          <w:vertAlign w:val="superscript"/>
        </w:rPr>
        <w:t>35</w:t>
      </w:r>
      <w:r>
        <w:rPr>
          <w:rFonts w:ascii="Arial" w:hAnsi="Arial" w:eastAsia="Arial"/>
          <w:b w:val="0"/>
          <w:i w:val="0"/>
          <w:sz w:val="24"/>
        </w:rPr>
        <w:t xml:space="preserve"> stromal and intratumoural TILs, CD3 and CD20,</w:t>
      </w:r>
      <w:r>
        <w:rPr>
          <w:rFonts w:ascii="Arial" w:hAnsi="Arial" w:eastAsia="Arial"/>
          <w:b w:val="0"/>
          <w:i w:val="0"/>
          <w:sz w:val="24"/>
          <w:vertAlign w:val="superscript"/>
        </w:rPr>
        <w:t>36</w:t>
      </w:r>
      <w:r>
        <w:rPr>
          <w:rFonts w:ascii="Arial" w:hAnsi="Arial" w:eastAsia="Arial"/>
          <w:b w:val="0"/>
          <w:i w:val="0"/>
          <w:sz w:val="24"/>
        </w:rPr>
        <w:t xml:space="preserve"> CD4 and CD8 densities,</w:t>
      </w:r>
      <w:r>
        <w:rPr>
          <w:rFonts w:ascii="Arial" w:hAnsi="Arial" w:eastAsia="Arial"/>
          <w:b w:val="0"/>
          <w:i w:val="0"/>
          <w:sz w:val="24"/>
          <w:vertAlign w:val="superscript"/>
        </w:rPr>
        <w:t>38</w:t>
      </w:r>
      <w:r>
        <w:rPr>
          <w:rFonts w:ascii="Arial" w:hAnsi="Arial" w:eastAsia="Arial"/>
          <w:b w:val="0"/>
          <w:i w:val="0"/>
          <w:sz w:val="24"/>
        </w:rPr>
        <w:t xml:space="preserve"> and CFIm25.</w:t>
      </w:r>
      <w:r>
        <w:rPr>
          <w:rFonts w:ascii="Arial" w:hAnsi="Arial" w:eastAsia="Arial"/>
          <w:b w:val="0"/>
          <w:i w:val="0"/>
          <w:sz w:val="24"/>
          <w:vertAlign w:val="superscript"/>
        </w:rPr>
        <w:t>39</w:t>
      </w:r>
      <w:r>
        <w:rPr>
          <w:rFonts w:ascii="Arial" w:hAnsi="Arial" w:eastAsia="Arial"/>
          <w:b w:val="0"/>
          <w:i w:val="0"/>
          <w:sz w:val="24"/>
        </w:rPr>
        <w:t xml:space="preserve"> Exome sequencing of 30 SACC tumours against an external sporadic-CRC reference found a lower median tumour mutational burden (1.61 vs 2.03 mutations/Mb), microsatellite stability or low instability in all cases, and less frequent RTK-RAS and Hippo pathway alteration.</w:t>
      </w:r>
      <w:r>
        <w:rPr>
          <w:rFonts w:ascii="Arial" w:hAnsi="Arial" w:eastAsia="Arial"/>
          <w:b w:val="0"/>
          <w:i w:val="0"/>
          <w:sz w:val="24"/>
          <w:vertAlign w:val="superscript"/>
        </w:rPr>
        <w:t>43</w:t>
      </w:r>
      <w:r>
        <w:rPr>
          <w:rFonts w:ascii="Arial" w:hAnsi="Arial" w:eastAsia="Arial"/>
          <w:b w:val="0"/>
          <w:i w:val="0"/>
          <w:sz w:val="24"/>
        </w:rPr>
        <w:t xml:space="preserve"> Molecular data on </w:t>
      </w:r>
      <w:r>
        <w:rPr>
          <w:rFonts w:ascii="Arial" w:hAnsi="Arial" w:eastAsia="Arial"/>
          <w:b w:val="0"/>
          <w:i/>
          <w:sz w:val="24"/>
        </w:rPr>
        <w:t>S. mansoni</w:t>
      </w:r>
      <w:r>
        <w:rPr>
          <w:rFonts w:ascii="Arial" w:hAnsi="Arial" w:eastAsia="Arial"/>
          <w:b w:val="0"/>
          <w:i w:val="0"/>
          <w:sz w:val="24"/>
        </w:rPr>
        <w:t xml:space="preserve"> (p53, mismatch repair, c-Myc) and several small Chinese-language comparisons (mismatch repair, p53, COX-2, Bax, Bcl-2, VEGF) were identified but their full texts could not be retrieved.</w:t>
      </w:r>
      <w:r>
        <w:rPr>
          <w:rFonts w:ascii="Arial" w:hAnsi="Arial" w:eastAsia="Arial"/>
          <w:b w:val="0"/>
          <w:i w:val="0"/>
          <w:sz w:val="24"/>
          <w:vertAlign w:val="superscript"/>
        </w:rPr>
        <w:t>45-51</w:t>
      </w:r>
    </w:p>
    <w:p>
      <w:pPr>
        <w:sectPr>
          <w:pgSz w:w="12240" w:h="15840"/>
          <w:pgMar w:top="1440" w:right="1440" w:bottom="1440" w:left="1440" w:header="720" w:footer="720" w:gutter="0"/>
          <w:cols w:space="720"/>
          <w:docGrid w:linePitch="360"/>
        </w:sectPr>
      </w:pPr>
    </w:p>
    <w:p>
      <w:r>
        <w:rPr>
          <w:rFonts w:ascii="Arial" w:hAnsi="Arial" w:eastAsia="Arial"/>
          <w:b/>
          <w:i w:val="0"/>
          <w:sz w:val="22"/>
        </w:rPr>
        <w:t>Table 3.</w:t>
      </w:r>
      <w:r>
        <w:rPr>
          <w:rFonts w:ascii="Arial" w:hAnsi="Arial" w:eastAsia="Arial"/>
          <w:b w:val="0"/>
          <w:i w:val="0"/>
          <w:sz w:val="22"/>
        </w:rPr>
        <w:t xml:space="preserve"> Molecular evidence map for SACC versus NSACC</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c>
          <w:tcPr>
            <w:tcW w:type="dxa" w:w="1851"/>
            <w:shd w:val="clear" w:color="auto" w:fill="DCE6F1"/>
          </w:tcPr>
          <w:p>
            <w:r/>
            <w:r>
              <w:rPr>
                <w:rFonts w:ascii="Arial" w:hAnsi="Arial" w:eastAsia="Arial"/>
                <w:b/>
                <w:i w:val="0"/>
                <w:sz w:val="14"/>
              </w:rPr>
              <w:t>Biomarker</w:t>
            </w:r>
          </w:p>
        </w:tc>
        <w:tc>
          <w:tcPr>
            <w:tcW w:type="dxa" w:w="1851"/>
            <w:shd w:val="clear" w:color="auto" w:fill="DCE6F1"/>
          </w:tcPr>
          <w:p>
            <w:r/>
            <w:r>
              <w:rPr>
                <w:rFonts w:ascii="Arial" w:hAnsi="Arial" w:eastAsia="Arial"/>
                <w:b/>
                <w:i w:val="0"/>
                <w:sz w:val="14"/>
              </w:rPr>
              <w:t>Study</w:t>
            </w:r>
          </w:p>
        </w:tc>
        <w:tc>
          <w:tcPr>
            <w:tcW w:type="dxa" w:w="1851"/>
            <w:shd w:val="clear" w:color="auto" w:fill="DCE6F1"/>
          </w:tcPr>
          <w:p>
            <w:r/>
            <w:r>
              <w:rPr>
                <w:rFonts w:ascii="Arial" w:hAnsi="Arial" w:eastAsia="Arial"/>
                <w:b/>
                <w:i w:val="0"/>
                <w:sz w:val="14"/>
              </w:rPr>
              <w:t>Method</w:t>
            </w:r>
          </w:p>
        </w:tc>
        <w:tc>
          <w:tcPr>
            <w:tcW w:type="dxa" w:w="1851"/>
            <w:shd w:val="clear" w:color="auto" w:fill="DCE6F1"/>
          </w:tcPr>
          <w:p>
            <w:r/>
            <w:r>
              <w:rPr>
                <w:rFonts w:ascii="Arial" w:hAnsi="Arial" w:eastAsia="Arial"/>
                <w:b/>
                <w:i w:val="0"/>
                <w:sz w:val="14"/>
              </w:rPr>
              <w:t>SACC positive/total</w:t>
            </w:r>
          </w:p>
        </w:tc>
        <w:tc>
          <w:tcPr>
            <w:tcW w:type="dxa" w:w="1851"/>
            <w:shd w:val="clear" w:color="auto" w:fill="DCE6F1"/>
          </w:tcPr>
          <w:p>
            <w:r/>
            <w:r>
              <w:rPr>
                <w:rFonts w:ascii="Arial" w:hAnsi="Arial" w:eastAsia="Arial"/>
                <w:b/>
                <w:i w:val="0"/>
                <w:sz w:val="14"/>
              </w:rPr>
              <w:t>NSACC positive/total</w:t>
            </w:r>
          </w:p>
        </w:tc>
        <w:tc>
          <w:tcPr>
            <w:tcW w:type="dxa" w:w="1851"/>
            <w:shd w:val="clear" w:color="auto" w:fill="DCE6F1"/>
          </w:tcPr>
          <w:p>
            <w:r/>
            <w:r>
              <w:rPr>
                <w:rFonts w:ascii="Arial" w:hAnsi="Arial" w:eastAsia="Arial"/>
                <w:b/>
                <w:i w:val="0"/>
                <w:sz w:val="14"/>
              </w:rPr>
              <w:t>Reported P</w:t>
            </w:r>
          </w:p>
        </w:tc>
        <w:tc>
          <w:tcPr>
            <w:tcW w:type="dxa" w:w="1851"/>
            <w:shd w:val="clear" w:color="auto" w:fill="DCE6F1"/>
          </w:tcPr>
          <w:p>
            <w:r/>
            <w:r>
              <w:rPr>
                <w:rFonts w:ascii="Arial" w:hAnsi="Arial" w:eastAsia="Arial"/>
                <w:b/>
                <w:i w:val="0"/>
                <w:sz w:val="14"/>
              </w:rPr>
              <w:t>Pooled effect (random effects)</w:t>
            </w:r>
          </w:p>
        </w:tc>
      </w:tr>
      <w:tr>
        <w:tc>
          <w:tcPr>
            <w:tcW w:type="dxa" w:w="1851"/>
          </w:tcPr>
          <w:p>
            <w:pPr>
              <w:spacing w:after="0"/>
            </w:pPr>
            <w:r/>
            <w:r>
              <w:rPr>
                <w:rFonts w:ascii="Arial" w:hAnsi="Arial" w:eastAsia="Arial"/>
                <w:b w:val="0"/>
                <w:i w:val="0"/>
                <w:sz w:val="14"/>
              </w:rPr>
              <w:t>KRAS mutation</w:t>
            </w:r>
          </w:p>
        </w:tc>
        <w:tc>
          <w:tcPr>
            <w:tcW w:type="dxa" w:w="1851"/>
          </w:tcPr>
          <w:p>
            <w:pPr>
              <w:spacing w:after="0"/>
            </w:pPr>
            <w:r/>
            <w:r>
              <w:rPr>
                <w:rFonts w:ascii="Arial" w:hAnsi="Arial" w:eastAsia="Arial"/>
                <w:b w:val="0"/>
                <w:i w:val="0"/>
                <w:sz w:val="14"/>
              </w:rPr>
              <w:t>Zheng 2023</w:t>
            </w:r>
            <w:r>
              <w:rPr>
                <w:rFonts w:ascii="Arial" w:hAnsi="Arial" w:eastAsia="Arial"/>
                <w:b w:val="0"/>
                <w:i w:val="0"/>
                <w:sz w:val="14"/>
                <w:vertAlign w:val="superscript"/>
              </w:rPr>
              <w:t>19</w:t>
            </w:r>
          </w:p>
        </w:tc>
        <w:tc>
          <w:tcPr>
            <w:tcW w:type="dxa" w:w="1851"/>
          </w:tcPr>
          <w:p>
            <w:pPr>
              <w:spacing w:after="0"/>
            </w:pPr>
            <w:r/>
            <w:r>
              <w:rPr>
                <w:rFonts w:ascii="Arial" w:hAnsi="Arial" w:eastAsia="Arial"/>
                <w:b w:val="0"/>
                <w:i w:val="0"/>
                <w:sz w:val="14"/>
              </w:rPr>
              <w:t>not stated</w:t>
            </w:r>
          </w:p>
        </w:tc>
        <w:tc>
          <w:tcPr>
            <w:tcW w:type="dxa" w:w="1851"/>
          </w:tcPr>
          <w:p>
            <w:pPr>
              <w:spacing w:after="0"/>
            </w:pPr>
            <w:r/>
            <w:r>
              <w:rPr>
                <w:rFonts w:ascii="Arial" w:hAnsi="Arial" w:eastAsia="Arial"/>
                <w:b w:val="0"/>
                <w:i w:val="0"/>
                <w:sz w:val="14"/>
              </w:rPr>
              <w:t>249/479 (52.0%)</w:t>
            </w:r>
          </w:p>
        </w:tc>
        <w:tc>
          <w:tcPr>
            <w:tcW w:type="dxa" w:w="1851"/>
          </w:tcPr>
          <w:p>
            <w:pPr>
              <w:spacing w:after="0"/>
            </w:pPr>
            <w:r/>
            <w:r>
              <w:rPr>
                <w:rFonts w:ascii="Arial" w:hAnsi="Arial" w:eastAsia="Arial"/>
                <w:b w:val="0"/>
                <w:i w:val="0"/>
                <w:sz w:val="14"/>
              </w:rPr>
              <w:t>4165/9514 (43.8%)</w:t>
            </w:r>
          </w:p>
        </w:tc>
        <w:tc>
          <w:tcPr>
            <w:tcW w:type="dxa" w:w="1851"/>
          </w:tcPr>
          <w:p>
            <w:pPr>
              <w:spacing w:after="0"/>
            </w:pPr>
            <w:r/>
            <w:r>
              <w:rPr>
                <w:rFonts w:ascii="Arial" w:hAnsi="Arial" w:eastAsia="Arial"/>
                <w:b w:val="0"/>
                <w:i w:val="0"/>
                <w:sz w:val="14"/>
              </w:rPr>
              <w:t>&lt;0.001</w:t>
            </w:r>
          </w:p>
        </w:tc>
        <w:tc>
          <w:tcPr>
            <w:tcW w:type="dxa" w:w="1851"/>
          </w:tcPr>
          <w:p>
            <w:pPr>
              <w:spacing w:after="0"/>
            </w:pPr>
            <w:r/>
            <w:r>
              <w:rPr>
                <w:rFonts w:ascii="Arial" w:hAnsi="Arial" w:eastAsia="Arial"/>
                <w:b w:val="0"/>
                <w:i w:val="0"/>
                <w:sz w:val="14"/>
              </w:rPr>
              <w:t>OR 1.41 (1.18-1.69); I2 0%</w:t>
            </w:r>
          </w:p>
        </w:tc>
      </w:tr>
      <w:tr>
        <w:tc>
          <w:tcPr>
            <w:tcW w:type="dxa" w:w="1851"/>
          </w:tcPr>
          <w:p>
            <w:pPr>
              <w:spacing w:after="0"/>
            </w:pPr>
            <w:r/>
            <w:r>
              <w:rPr>
                <w:rFonts w:ascii="Arial" w:hAnsi="Arial" w:eastAsia="Arial"/>
                <w:b w:val="0"/>
                <w:i w:val="0"/>
                <w:sz w:val="14"/>
              </w:rPr>
              <w:t>KRAS mutation</w:t>
            </w:r>
          </w:p>
        </w:tc>
        <w:tc>
          <w:tcPr>
            <w:tcW w:type="dxa" w:w="1851"/>
          </w:tcPr>
          <w:p>
            <w:pPr>
              <w:spacing w:after="0"/>
            </w:pPr>
            <w:r/>
            <w:r>
              <w:rPr>
                <w:rFonts w:ascii="Arial" w:hAnsi="Arial" w:eastAsia="Arial"/>
                <w:b w:val="0"/>
                <w:i w:val="0"/>
                <w:sz w:val="14"/>
              </w:rPr>
              <w:t>Li 2024</w:t>
            </w:r>
            <w:r>
              <w:rPr>
                <w:rFonts w:ascii="Arial" w:hAnsi="Arial" w:eastAsia="Arial"/>
                <w:b w:val="0"/>
                <w:i w:val="0"/>
                <w:sz w:val="14"/>
                <w:vertAlign w:val="superscript"/>
              </w:rPr>
              <w:t>18</w:t>
            </w:r>
          </w:p>
        </w:tc>
        <w:tc>
          <w:tcPr>
            <w:tcW w:type="dxa" w:w="1851"/>
          </w:tcPr>
          <w:p>
            <w:pPr>
              <w:spacing w:after="0"/>
            </w:pPr>
            <w:r/>
            <w:r>
              <w:rPr>
                <w:rFonts w:ascii="Arial" w:hAnsi="Arial" w:eastAsia="Arial"/>
                <w:b w:val="0"/>
                <w:i w:val="0"/>
                <w:sz w:val="14"/>
              </w:rPr>
              <w:t>qPCR kit</w:t>
            </w:r>
          </w:p>
        </w:tc>
        <w:tc>
          <w:tcPr>
            <w:tcW w:type="dxa" w:w="1851"/>
          </w:tcPr>
          <w:p>
            <w:pPr>
              <w:spacing w:after="0"/>
            </w:pPr>
            <w:r/>
            <w:r>
              <w:rPr>
                <w:rFonts w:ascii="Arial" w:hAnsi="Arial" w:eastAsia="Arial"/>
                <w:b w:val="0"/>
                <w:i w:val="0"/>
                <w:sz w:val="14"/>
              </w:rPr>
              <w:t>19/30 (63.3%)</w:t>
            </w:r>
          </w:p>
        </w:tc>
        <w:tc>
          <w:tcPr>
            <w:tcW w:type="dxa" w:w="1851"/>
          </w:tcPr>
          <w:p>
            <w:pPr>
              <w:spacing w:after="0"/>
            </w:pPr>
            <w:r/>
            <w:r>
              <w:rPr>
                <w:rFonts w:ascii="Arial" w:hAnsi="Arial" w:eastAsia="Arial"/>
                <w:b w:val="0"/>
                <w:i w:val="0"/>
                <w:sz w:val="14"/>
              </w:rPr>
              <w:t>224/459 (48.8%)</w:t>
            </w:r>
          </w:p>
        </w:tc>
        <w:tc>
          <w:tcPr>
            <w:tcW w:type="dxa" w:w="1851"/>
          </w:tcPr>
          <w:p>
            <w:pPr>
              <w:spacing w:after="0"/>
            </w:pPr>
            <w:r/>
            <w:r>
              <w:rPr>
                <w:rFonts w:ascii="Arial" w:hAnsi="Arial" w:eastAsia="Arial"/>
                <w:b w:val="0"/>
                <w:i w:val="0"/>
                <w:sz w:val="14"/>
              </w:rPr>
              <w:t>0.123</w:t>
            </w:r>
          </w:p>
        </w:tc>
        <w:tc>
          <w:tcPr>
            <w:tcW w:type="dxa" w:w="1851"/>
          </w:tcPr>
          <w:p>
            <w:pPr>
              <w:spacing w:after="0"/>
            </w:pPr>
            <w:r/>
            <w:r>
              <w:rPr>
                <w:rFonts w:ascii="Arial" w:hAnsi="Arial" w:eastAsia="Arial"/>
                <w:b w:val="0"/>
                <w:i w:val="0"/>
                <w:sz w:val="14"/>
              </w:rPr>
              <w:t>OR 1.41 (1.18-1.69); I2 0%</w:t>
            </w:r>
          </w:p>
        </w:tc>
      </w:tr>
      <w:tr>
        <w:tc>
          <w:tcPr>
            <w:tcW w:type="dxa" w:w="1851"/>
          </w:tcPr>
          <w:p>
            <w:pPr>
              <w:spacing w:after="0"/>
            </w:pPr>
            <w:r/>
            <w:r>
              <w:rPr>
                <w:rFonts w:ascii="Arial" w:hAnsi="Arial" w:eastAsia="Arial"/>
                <w:b w:val="0"/>
                <w:i w:val="0"/>
                <w:sz w:val="14"/>
              </w:rPr>
              <w:t>KRAS G12S/D mutation</w:t>
            </w:r>
          </w:p>
        </w:tc>
        <w:tc>
          <w:tcPr>
            <w:tcW w:type="dxa" w:w="1851"/>
          </w:tcPr>
          <w:p>
            <w:pPr>
              <w:spacing w:after="0"/>
            </w:pPr>
            <w:r/>
            <w:r>
              <w:rPr>
                <w:rFonts w:ascii="Arial" w:hAnsi="Arial" w:eastAsia="Arial"/>
                <w:b w:val="0"/>
                <w:i w:val="0"/>
                <w:sz w:val="14"/>
              </w:rPr>
              <w:t>Li 2024</w:t>
            </w:r>
            <w:r>
              <w:rPr>
                <w:rFonts w:ascii="Arial" w:hAnsi="Arial" w:eastAsia="Arial"/>
                <w:b w:val="0"/>
                <w:i w:val="0"/>
                <w:sz w:val="14"/>
                <w:vertAlign w:val="superscript"/>
              </w:rPr>
              <w:t>18</w:t>
            </w:r>
          </w:p>
        </w:tc>
        <w:tc>
          <w:tcPr>
            <w:tcW w:type="dxa" w:w="1851"/>
          </w:tcPr>
          <w:p>
            <w:pPr>
              <w:spacing w:after="0"/>
            </w:pPr>
            <w:r/>
            <w:r>
              <w:rPr>
                <w:rFonts w:ascii="Arial" w:hAnsi="Arial" w:eastAsia="Arial"/>
                <w:b w:val="0"/>
                <w:i w:val="0"/>
                <w:sz w:val="14"/>
              </w:rPr>
              <w:t>qPCR kit</w:t>
            </w:r>
          </w:p>
        </w:tc>
        <w:tc>
          <w:tcPr>
            <w:tcW w:type="dxa" w:w="1851"/>
          </w:tcPr>
          <w:p>
            <w:pPr>
              <w:spacing w:after="0"/>
            </w:pPr>
            <w:r/>
            <w:r>
              <w:rPr>
                <w:rFonts w:ascii="Arial" w:hAnsi="Arial" w:eastAsia="Arial"/>
                <w:b w:val="0"/>
                <w:i w:val="0"/>
                <w:sz w:val="14"/>
              </w:rPr>
              <w:t>13/30 (43.3%)</w:t>
            </w:r>
          </w:p>
        </w:tc>
        <w:tc>
          <w:tcPr>
            <w:tcW w:type="dxa" w:w="1851"/>
          </w:tcPr>
          <w:p>
            <w:pPr>
              <w:spacing w:after="0"/>
            </w:pPr>
            <w:r/>
            <w:r>
              <w:rPr>
                <w:rFonts w:ascii="Arial" w:hAnsi="Arial" w:eastAsia="Arial"/>
                <w:b w:val="0"/>
                <w:i w:val="0"/>
                <w:sz w:val="14"/>
              </w:rPr>
              <w:t>83/459 (18.1%)</w:t>
            </w:r>
          </w:p>
        </w:tc>
        <w:tc>
          <w:tcPr>
            <w:tcW w:type="dxa" w:w="1851"/>
          </w:tcPr>
          <w:p>
            <w:pPr>
              <w:spacing w:after="0"/>
            </w:pPr>
            <w:r/>
            <w:r>
              <w:rPr>
                <w:rFonts w:ascii="Arial" w:hAnsi="Arial" w:eastAsia="Arial"/>
                <w:b w:val="0"/>
                <w:i w:val="0"/>
                <w:sz w:val="14"/>
              </w:rPr>
              <w:t>0.001</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NRAS mutation</w:t>
            </w:r>
          </w:p>
        </w:tc>
        <w:tc>
          <w:tcPr>
            <w:tcW w:type="dxa" w:w="1851"/>
          </w:tcPr>
          <w:p>
            <w:pPr>
              <w:spacing w:after="0"/>
            </w:pPr>
            <w:r/>
            <w:r>
              <w:rPr>
                <w:rFonts w:ascii="Arial" w:hAnsi="Arial" w:eastAsia="Arial"/>
                <w:b w:val="0"/>
                <w:i w:val="0"/>
                <w:sz w:val="14"/>
              </w:rPr>
              <w:t>Zheng 2023</w:t>
            </w:r>
            <w:r>
              <w:rPr>
                <w:rFonts w:ascii="Arial" w:hAnsi="Arial" w:eastAsia="Arial"/>
                <w:b w:val="0"/>
                <w:i w:val="0"/>
                <w:sz w:val="14"/>
                <w:vertAlign w:val="superscript"/>
              </w:rPr>
              <w:t>19</w:t>
            </w:r>
          </w:p>
        </w:tc>
        <w:tc>
          <w:tcPr>
            <w:tcW w:type="dxa" w:w="1851"/>
          </w:tcPr>
          <w:p>
            <w:pPr>
              <w:spacing w:after="0"/>
            </w:pPr>
            <w:r/>
            <w:r>
              <w:rPr>
                <w:rFonts w:ascii="Arial" w:hAnsi="Arial" w:eastAsia="Arial"/>
                <w:b w:val="0"/>
                <w:i w:val="0"/>
                <w:sz w:val="14"/>
              </w:rPr>
              <w:t>not stated</w:t>
            </w:r>
          </w:p>
        </w:tc>
        <w:tc>
          <w:tcPr>
            <w:tcW w:type="dxa" w:w="1851"/>
          </w:tcPr>
          <w:p>
            <w:pPr>
              <w:spacing w:after="0"/>
            </w:pPr>
            <w:r/>
            <w:r>
              <w:rPr>
                <w:rFonts w:ascii="Arial" w:hAnsi="Arial" w:eastAsia="Arial"/>
                <w:b w:val="0"/>
                <w:i w:val="0"/>
                <w:sz w:val="14"/>
              </w:rPr>
              <w:t>5/266 (1.9%)</w:t>
            </w:r>
          </w:p>
        </w:tc>
        <w:tc>
          <w:tcPr>
            <w:tcW w:type="dxa" w:w="1851"/>
          </w:tcPr>
          <w:p>
            <w:pPr>
              <w:spacing w:after="0"/>
            </w:pPr>
            <w:r/>
            <w:r>
              <w:rPr>
                <w:rFonts w:ascii="Arial" w:hAnsi="Arial" w:eastAsia="Arial"/>
                <w:b w:val="0"/>
                <w:i w:val="0"/>
                <w:sz w:val="14"/>
              </w:rPr>
              <w:t>241/6341 (3.8%)</w:t>
            </w:r>
          </w:p>
        </w:tc>
        <w:tc>
          <w:tcPr>
            <w:tcW w:type="dxa" w:w="1851"/>
          </w:tcPr>
          <w:p>
            <w:pPr>
              <w:spacing w:after="0"/>
            </w:pPr>
            <w:r/>
            <w:r>
              <w:rPr>
                <w:rFonts w:ascii="Arial" w:hAnsi="Arial" w:eastAsia="Arial"/>
                <w:b w:val="0"/>
                <w:i w:val="0"/>
                <w:sz w:val="14"/>
              </w:rPr>
              <w:t>0.105</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BRAF mutation</w:t>
            </w:r>
          </w:p>
        </w:tc>
        <w:tc>
          <w:tcPr>
            <w:tcW w:type="dxa" w:w="1851"/>
          </w:tcPr>
          <w:p>
            <w:pPr>
              <w:spacing w:after="0"/>
            </w:pPr>
            <w:r/>
            <w:r>
              <w:rPr>
                <w:rFonts w:ascii="Arial" w:hAnsi="Arial" w:eastAsia="Arial"/>
                <w:b w:val="0"/>
                <w:i w:val="0"/>
                <w:sz w:val="14"/>
              </w:rPr>
              <w:t>Zheng 2023</w:t>
            </w:r>
            <w:r>
              <w:rPr>
                <w:rFonts w:ascii="Arial" w:hAnsi="Arial" w:eastAsia="Arial"/>
                <w:b w:val="0"/>
                <w:i w:val="0"/>
                <w:sz w:val="14"/>
                <w:vertAlign w:val="superscript"/>
              </w:rPr>
              <w:t>19</w:t>
            </w:r>
          </w:p>
        </w:tc>
        <w:tc>
          <w:tcPr>
            <w:tcW w:type="dxa" w:w="1851"/>
          </w:tcPr>
          <w:p>
            <w:pPr>
              <w:spacing w:after="0"/>
            </w:pPr>
            <w:r/>
            <w:r>
              <w:rPr>
                <w:rFonts w:ascii="Arial" w:hAnsi="Arial" w:eastAsia="Arial"/>
                <w:b w:val="0"/>
                <w:i w:val="0"/>
                <w:sz w:val="14"/>
              </w:rPr>
              <w:t>not stated</w:t>
            </w:r>
          </w:p>
        </w:tc>
        <w:tc>
          <w:tcPr>
            <w:tcW w:type="dxa" w:w="1851"/>
          </w:tcPr>
          <w:p>
            <w:pPr>
              <w:spacing w:after="0"/>
            </w:pPr>
            <w:r/>
            <w:r>
              <w:rPr>
                <w:rFonts w:ascii="Arial" w:hAnsi="Arial" w:eastAsia="Arial"/>
                <w:b w:val="0"/>
                <w:i w:val="0"/>
                <w:sz w:val="14"/>
              </w:rPr>
              <w:t>17/478 (3.6%)</w:t>
            </w:r>
          </w:p>
        </w:tc>
        <w:tc>
          <w:tcPr>
            <w:tcW w:type="dxa" w:w="1851"/>
          </w:tcPr>
          <w:p>
            <w:pPr>
              <w:spacing w:after="0"/>
            </w:pPr>
            <w:r/>
            <w:r>
              <w:rPr>
                <w:rFonts w:ascii="Arial" w:hAnsi="Arial" w:eastAsia="Arial"/>
                <w:b w:val="0"/>
                <w:i w:val="0"/>
                <w:sz w:val="14"/>
              </w:rPr>
              <w:t>297/9378 (3.2%)</w:t>
            </w:r>
          </w:p>
        </w:tc>
        <w:tc>
          <w:tcPr>
            <w:tcW w:type="dxa" w:w="1851"/>
          </w:tcPr>
          <w:p>
            <w:pPr>
              <w:spacing w:after="0"/>
            </w:pPr>
            <w:r/>
            <w:r>
              <w:rPr>
                <w:rFonts w:ascii="Arial" w:hAnsi="Arial" w:eastAsia="Arial"/>
                <w:b w:val="0"/>
                <w:i w:val="0"/>
                <w:sz w:val="14"/>
              </w:rPr>
              <w:t>0.636</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PIK3CA mutation</w:t>
            </w:r>
          </w:p>
        </w:tc>
        <w:tc>
          <w:tcPr>
            <w:tcW w:type="dxa" w:w="1851"/>
          </w:tcPr>
          <w:p>
            <w:pPr>
              <w:spacing w:after="0"/>
            </w:pPr>
            <w:r/>
            <w:r>
              <w:rPr>
                <w:rFonts w:ascii="Arial" w:hAnsi="Arial" w:eastAsia="Arial"/>
                <w:b w:val="0"/>
                <w:i w:val="0"/>
                <w:sz w:val="14"/>
              </w:rPr>
              <w:t>Zheng 2023</w:t>
            </w:r>
            <w:r>
              <w:rPr>
                <w:rFonts w:ascii="Arial" w:hAnsi="Arial" w:eastAsia="Arial"/>
                <w:b w:val="0"/>
                <w:i w:val="0"/>
                <w:sz w:val="14"/>
                <w:vertAlign w:val="superscript"/>
              </w:rPr>
              <w:t>19</w:t>
            </w:r>
          </w:p>
        </w:tc>
        <w:tc>
          <w:tcPr>
            <w:tcW w:type="dxa" w:w="1851"/>
          </w:tcPr>
          <w:p>
            <w:pPr>
              <w:spacing w:after="0"/>
            </w:pPr>
            <w:r/>
            <w:r>
              <w:rPr>
                <w:rFonts w:ascii="Arial" w:hAnsi="Arial" w:eastAsia="Arial"/>
                <w:b w:val="0"/>
                <w:i w:val="0"/>
                <w:sz w:val="14"/>
              </w:rPr>
              <w:t>not stated</w:t>
            </w:r>
          </w:p>
        </w:tc>
        <w:tc>
          <w:tcPr>
            <w:tcW w:type="dxa" w:w="1851"/>
          </w:tcPr>
          <w:p>
            <w:pPr>
              <w:spacing w:after="0"/>
            </w:pPr>
            <w:r/>
            <w:r>
              <w:rPr>
                <w:rFonts w:ascii="Arial" w:hAnsi="Arial" w:eastAsia="Arial"/>
                <w:b w:val="0"/>
                <w:i w:val="0"/>
                <w:sz w:val="14"/>
              </w:rPr>
              <w:t>3/207 (1.4%)</w:t>
            </w:r>
          </w:p>
        </w:tc>
        <w:tc>
          <w:tcPr>
            <w:tcW w:type="dxa" w:w="1851"/>
          </w:tcPr>
          <w:p>
            <w:pPr>
              <w:spacing w:after="0"/>
            </w:pPr>
            <w:r/>
            <w:r>
              <w:rPr>
                <w:rFonts w:ascii="Arial" w:hAnsi="Arial" w:eastAsia="Arial"/>
                <w:b w:val="0"/>
                <w:i w:val="0"/>
                <w:sz w:val="14"/>
              </w:rPr>
              <w:t>181/4511 (4.0%)</w:t>
            </w:r>
          </w:p>
        </w:tc>
        <w:tc>
          <w:tcPr>
            <w:tcW w:type="dxa" w:w="1851"/>
          </w:tcPr>
          <w:p>
            <w:pPr>
              <w:spacing w:after="0"/>
            </w:pPr>
            <w:r/>
            <w:r>
              <w:rPr>
                <w:rFonts w:ascii="Arial" w:hAnsi="Arial" w:eastAsia="Arial"/>
                <w:b w:val="0"/>
                <w:i w:val="0"/>
                <w:sz w:val="14"/>
              </w:rPr>
              <w:t>0.063</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dMMR</w:t>
            </w:r>
          </w:p>
        </w:tc>
        <w:tc>
          <w:tcPr>
            <w:tcW w:type="dxa" w:w="1851"/>
          </w:tcPr>
          <w:p>
            <w:pPr>
              <w:spacing w:after="0"/>
            </w:pPr>
            <w:r/>
            <w:r>
              <w:rPr>
                <w:rFonts w:ascii="Arial" w:hAnsi="Arial" w:eastAsia="Arial"/>
                <w:b w:val="0"/>
                <w:i w:val="0"/>
                <w:sz w:val="14"/>
              </w:rPr>
              <w:t>Zheng 2023</w:t>
            </w:r>
            <w:r>
              <w:rPr>
                <w:rFonts w:ascii="Arial" w:hAnsi="Arial" w:eastAsia="Arial"/>
                <w:b w:val="0"/>
                <w:i w:val="0"/>
                <w:sz w:val="14"/>
                <w:vertAlign w:val="superscript"/>
              </w:rPr>
              <w:t>19</w:t>
            </w:r>
          </w:p>
        </w:tc>
        <w:tc>
          <w:tcPr>
            <w:tcW w:type="dxa" w:w="1851"/>
          </w:tcPr>
          <w:p>
            <w:pPr>
              <w:spacing w:after="0"/>
            </w:pPr>
            <w:r/>
            <w:r>
              <w:rPr>
                <w:rFonts w:ascii="Arial" w:hAnsi="Arial" w:eastAsia="Arial"/>
                <w:b w:val="0"/>
                <w:i w:val="0"/>
                <w:sz w:val="14"/>
              </w:rPr>
              <w:t>not stated (MMR status)</w:t>
            </w:r>
          </w:p>
        </w:tc>
        <w:tc>
          <w:tcPr>
            <w:tcW w:type="dxa" w:w="1851"/>
          </w:tcPr>
          <w:p>
            <w:pPr>
              <w:spacing w:after="0"/>
            </w:pPr>
            <w:r/>
            <w:r>
              <w:rPr>
                <w:rFonts w:ascii="Arial" w:hAnsi="Arial" w:eastAsia="Arial"/>
                <w:b w:val="0"/>
                <w:i w:val="0"/>
                <w:sz w:val="14"/>
              </w:rPr>
              <w:t>63/452 (13.9%)</w:t>
            </w:r>
          </w:p>
        </w:tc>
        <w:tc>
          <w:tcPr>
            <w:tcW w:type="dxa" w:w="1851"/>
          </w:tcPr>
          <w:p>
            <w:pPr>
              <w:spacing w:after="0"/>
            </w:pPr>
            <w:r/>
            <w:r>
              <w:rPr>
                <w:rFonts w:ascii="Arial" w:hAnsi="Arial" w:eastAsia="Arial"/>
                <w:b w:val="0"/>
                <w:i w:val="0"/>
                <w:sz w:val="14"/>
              </w:rPr>
              <w:t>1157/7820 (14.8%)</w:t>
            </w:r>
          </w:p>
        </w:tc>
        <w:tc>
          <w:tcPr>
            <w:tcW w:type="dxa" w:w="1851"/>
          </w:tcPr>
          <w:p>
            <w:pPr>
              <w:spacing w:after="0"/>
            </w:pPr>
            <w:r/>
            <w:r>
              <w:rPr>
                <w:rFonts w:ascii="Arial" w:hAnsi="Arial" w:eastAsia="Arial"/>
                <w:b w:val="0"/>
                <w:i w:val="0"/>
                <w:sz w:val="14"/>
              </w:rPr>
              <w:t>0.617</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c-MYC amplification</w:t>
            </w:r>
          </w:p>
        </w:tc>
        <w:tc>
          <w:tcPr>
            <w:tcW w:type="dxa" w:w="1851"/>
          </w:tcPr>
          <w:p>
            <w:pPr>
              <w:spacing w:after="0"/>
            </w:pPr>
            <w:r/>
            <w:r>
              <w:rPr>
                <w:rFonts w:ascii="Arial" w:hAnsi="Arial" w:eastAsia="Arial"/>
                <w:b w:val="0"/>
                <w:i w:val="0"/>
                <w:sz w:val="14"/>
              </w:rPr>
              <w:t>Pan 2020</w:t>
            </w:r>
            <w:r>
              <w:rPr>
                <w:rFonts w:ascii="Arial" w:hAnsi="Arial" w:eastAsia="Arial"/>
                <w:b w:val="0"/>
                <w:i w:val="0"/>
                <w:sz w:val="14"/>
                <w:vertAlign w:val="superscript"/>
              </w:rPr>
              <w:t>37</w:t>
            </w:r>
          </w:p>
        </w:tc>
        <w:tc>
          <w:tcPr>
            <w:tcW w:type="dxa" w:w="1851"/>
          </w:tcPr>
          <w:p>
            <w:pPr>
              <w:spacing w:after="0"/>
            </w:pPr>
            <w:r/>
            <w:r>
              <w:rPr>
                <w:rFonts w:ascii="Arial" w:hAnsi="Arial" w:eastAsia="Arial"/>
                <w:b w:val="0"/>
                <w:i w:val="0"/>
                <w:sz w:val="14"/>
              </w:rPr>
              <w:t>FISH on TMA</w:t>
            </w:r>
          </w:p>
        </w:tc>
        <w:tc>
          <w:tcPr>
            <w:tcW w:type="dxa" w:w="1851"/>
          </w:tcPr>
          <w:p>
            <w:pPr>
              <w:spacing w:after="0"/>
            </w:pPr>
            <w:r/>
            <w:r>
              <w:rPr>
                <w:rFonts w:ascii="Arial" w:hAnsi="Arial" w:eastAsia="Arial"/>
                <w:b w:val="0"/>
                <w:i w:val="0"/>
                <w:sz w:val="14"/>
              </w:rPr>
              <w:t>19/138 (13.8%)</w:t>
            </w:r>
          </w:p>
        </w:tc>
        <w:tc>
          <w:tcPr>
            <w:tcW w:type="dxa" w:w="1851"/>
          </w:tcPr>
          <w:p>
            <w:pPr>
              <w:spacing w:after="0"/>
            </w:pPr>
            <w:r/>
            <w:r>
              <w:rPr>
                <w:rFonts w:ascii="Arial" w:hAnsi="Arial" w:eastAsia="Arial"/>
                <w:b w:val="0"/>
                <w:i w:val="0"/>
                <w:sz w:val="14"/>
              </w:rPr>
              <w:t>31/216 (14.4%)</w:t>
            </w:r>
          </w:p>
        </w:tc>
        <w:tc>
          <w:tcPr>
            <w:tcW w:type="dxa" w:w="1851"/>
          </w:tcPr>
          <w:p>
            <w:pPr>
              <w:spacing w:after="0"/>
            </w:pPr>
            <w:r/>
            <w:r>
              <w:rPr>
                <w:rFonts w:ascii="Arial" w:hAnsi="Arial" w:eastAsia="Arial"/>
                <w:b w:val="0"/>
                <w:i w:val="0"/>
                <w:sz w:val="14"/>
              </w:rPr>
              <w:t>0.878</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c-MYC protein overexpression</w:t>
            </w:r>
          </w:p>
        </w:tc>
        <w:tc>
          <w:tcPr>
            <w:tcW w:type="dxa" w:w="1851"/>
          </w:tcPr>
          <w:p>
            <w:pPr>
              <w:spacing w:after="0"/>
            </w:pPr>
            <w:r/>
            <w:r>
              <w:rPr>
                <w:rFonts w:ascii="Arial" w:hAnsi="Arial" w:eastAsia="Arial"/>
                <w:b w:val="0"/>
                <w:i w:val="0"/>
                <w:sz w:val="14"/>
              </w:rPr>
              <w:t>Pan 2020</w:t>
            </w:r>
            <w:r>
              <w:rPr>
                <w:rFonts w:ascii="Arial" w:hAnsi="Arial" w:eastAsia="Arial"/>
                <w:b w:val="0"/>
                <w:i w:val="0"/>
                <w:sz w:val="14"/>
                <w:vertAlign w:val="superscript"/>
              </w:rPr>
              <w:t>37</w:t>
            </w:r>
          </w:p>
        </w:tc>
        <w:tc>
          <w:tcPr>
            <w:tcW w:type="dxa" w:w="1851"/>
          </w:tcPr>
          <w:p>
            <w:pPr>
              <w:spacing w:after="0"/>
            </w:pPr>
            <w:r/>
            <w:r>
              <w:rPr>
                <w:rFonts w:ascii="Arial" w:hAnsi="Arial" w:eastAsia="Arial"/>
                <w:b w:val="0"/>
                <w:i w:val="0"/>
                <w:sz w:val="14"/>
              </w:rPr>
              <w:t>IHC (EP121)</w:t>
            </w:r>
          </w:p>
        </w:tc>
        <w:tc>
          <w:tcPr>
            <w:tcW w:type="dxa" w:w="1851"/>
          </w:tcPr>
          <w:p>
            <w:pPr>
              <w:spacing w:after="0"/>
            </w:pPr>
            <w:r/>
            <w:r>
              <w:rPr>
                <w:rFonts w:ascii="Arial" w:hAnsi="Arial" w:eastAsia="Arial"/>
                <w:b w:val="0"/>
                <w:i w:val="0"/>
                <w:sz w:val="14"/>
              </w:rPr>
              <w:t>98/138 (71.0%)</w:t>
            </w:r>
          </w:p>
        </w:tc>
        <w:tc>
          <w:tcPr>
            <w:tcW w:type="dxa" w:w="1851"/>
          </w:tcPr>
          <w:p>
            <w:pPr>
              <w:spacing w:after="0"/>
            </w:pPr>
            <w:r/>
            <w:r>
              <w:rPr>
                <w:rFonts w:ascii="Arial" w:hAnsi="Arial" w:eastAsia="Arial"/>
                <w:b w:val="0"/>
                <w:i w:val="0"/>
                <w:sz w:val="14"/>
              </w:rPr>
              <w:t>143/216 (66.2%)</w:t>
            </w:r>
          </w:p>
        </w:tc>
        <w:tc>
          <w:tcPr>
            <w:tcW w:type="dxa" w:w="1851"/>
          </w:tcPr>
          <w:p>
            <w:pPr>
              <w:spacing w:after="0"/>
            </w:pPr>
            <w:r/>
            <w:r>
              <w:rPr>
                <w:rFonts w:ascii="Arial" w:hAnsi="Arial" w:eastAsia="Arial"/>
                <w:b w:val="0"/>
                <w:i w:val="0"/>
                <w:sz w:val="14"/>
              </w:rPr>
              <w:t>0.344</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Stromal PD-L1 positive</w:t>
            </w:r>
          </w:p>
        </w:tc>
        <w:tc>
          <w:tcPr>
            <w:tcW w:type="dxa" w:w="1851"/>
          </w:tcPr>
          <w:p>
            <w:pPr>
              <w:spacing w:after="0"/>
            </w:pPr>
            <w:r/>
            <w:r>
              <w:rPr>
                <w:rFonts w:ascii="Arial" w:hAnsi="Arial" w:eastAsia="Arial"/>
                <w:b w:val="0"/>
                <w:i w:val="0"/>
                <w:sz w:val="14"/>
              </w:rPr>
              <w:t>Wang 2021</w:t>
            </w:r>
            <w:r>
              <w:rPr>
                <w:rFonts w:ascii="Arial" w:hAnsi="Arial" w:eastAsia="Arial"/>
                <w:b w:val="0"/>
                <w:i w:val="0"/>
                <w:sz w:val="14"/>
                <w:vertAlign w:val="superscript"/>
              </w:rPr>
              <w:t>35</w:t>
            </w:r>
          </w:p>
        </w:tc>
        <w:tc>
          <w:tcPr>
            <w:tcW w:type="dxa" w:w="1851"/>
          </w:tcPr>
          <w:p>
            <w:pPr>
              <w:spacing w:after="0"/>
            </w:pPr>
            <w:r/>
            <w:r>
              <w:rPr>
                <w:rFonts w:ascii="Arial" w:hAnsi="Arial" w:eastAsia="Arial"/>
                <w:b w:val="0"/>
                <w:i w:val="0"/>
                <w:sz w:val="14"/>
              </w:rPr>
              <w:t>IHC (MXR003) on TMA</w:t>
            </w:r>
          </w:p>
        </w:tc>
        <w:tc>
          <w:tcPr>
            <w:tcW w:type="dxa" w:w="1851"/>
          </w:tcPr>
          <w:p>
            <w:pPr>
              <w:spacing w:after="0"/>
            </w:pPr>
            <w:r/>
            <w:r>
              <w:rPr>
                <w:rFonts w:ascii="Arial" w:hAnsi="Arial" w:eastAsia="Arial"/>
                <w:b w:val="0"/>
                <w:i w:val="0"/>
                <w:sz w:val="14"/>
              </w:rPr>
              <w:t>56/128 (43.8%)</w:t>
            </w:r>
          </w:p>
        </w:tc>
        <w:tc>
          <w:tcPr>
            <w:tcW w:type="dxa" w:w="1851"/>
          </w:tcPr>
          <w:p>
            <w:pPr>
              <w:spacing w:after="0"/>
            </w:pPr>
            <w:r/>
            <w:r>
              <w:rPr>
                <w:rFonts w:ascii="Arial" w:hAnsi="Arial" w:eastAsia="Arial"/>
                <w:b w:val="0"/>
                <w:i w:val="0"/>
                <w:sz w:val="14"/>
              </w:rPr>
              <w:t>86/210 (41.0%)</w:t>
            </w:r>
          </w:p>
        </w:tc>
        <w:tc>
          <w:tcPr>
            <w:tcW w:type="dxa" w:w="1851"/>
          </w:tcPr>
          <w:p>
            <w:pPr>
              <w:spacing w:after="0"/>
            </w:pPr>
            <w:r/>
            <w:r>
              <w:rPr>
                <w:rFonts w:ascii="Arial" w:hAnsi="Arial" w:eastAsia="Arial"/>
                <w:b w:val="0"/>
                <w:i w:val="0"/>
                <w:sz w:val="14"/>
              </w:rPr>
              <w:t>0.650</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Tumoural PD-L1 positive</w:t>
            </w:r>
          </w:p>
        </w:tc>
        <w:tc>
          <w:tcPr>
            <w:tcW w:type="dxa" w:w="1851"/>
          </w:tcPr>
          <w:p>
            <w:pPr>
              <w:spacing w:after="0"/>
            </w:pPr>
            <w:r/>
            <w:r>
              <w:rPr>
                <w:rFonts w:ascii="Arial" w:hAnsi="Arial" w:eastAsia="Arial"/>
                <w:b w:val="0"/>
                <w:i w:val="0"/>
                <w:sz w:val="14"/>
              </w:rPr>
              <w:t>Wang 2021</w:t>
            </w:r>
            <w:r>
              <w:rPr>
                <w:rFonts w:ascii="Arial" w:hAnsi="Arial" w:eastAsia="Arial"/>
                <w:b w:val="0"/>
                <w:i w:val="0"/>
                <w:sz w:val="14"/>
                <w:vertAlign w:val="superscript"/>
              </w:rPr>
              <w:t>35</w:t>
            </w:r>
          </w:p>
        </w:tc>
        <w:tc>
          <w:tcPr>
            <w:tcW w:type="dxa" w:w="1851"/>
          </w:tcPr>
          <w:p>
            <w:pPr>
              <w:spacing w:after="0"/>
            </w:pPr>
            <w:r/>
            <w:r>
              <w:rPr>
                <w:rFonts w:ascii="Arial" w:hAnsi="Arial" w:eastAsia="Arial"/>
                <w:b w:val="0"/>
                <w:i w:val="0"/>
                <w:sz w:val="14"/>
              </w:rPr>
              <w:t>IHC (MXR003) on TMA</w:t>
            </w:r>
          </w:p>
        </w:tc>
        <w:tc>
          <w:tcPr>
            <w:tcW w:type="dxa" w:w="1851"/>
          </w:tcPr>
          <w:p>
            <w:pPr>
              <w:spacing w:after="0"/>
            </w:pPr>
            <w:r/>
            <w:r>
              <w:rPr>
                <w:rFonts w:ascii="Arial" w:hAnsi="Arial" w:eastAsia="Arial"/>
                <w:b w:val="0"/>
                <w:i w:val="0"/>
                <w:sz w:val="14"/>
              </w:rPr>
              <w:t>58/128 (45.3%)</w:t>
            </w:r>
          </w:p>
        </w:tc>
        <w:tc>
          <w:tcPr>
            <w:tcW w:type="dxa" w:w="1851"/>
          </w:tcPr>
          <w:p>
            <w:pPr>
              <w:spacing w:after="0"/>
            </w:pPr>
            <w:r/>
            <w:r>
              <w:rPr>
                <w:rFonts w:ascii="Arial" w:hAnsi="Arial" w:eastAsia="Arial"/>
                <w:b w:val="0"/>
                <w:i w:val="0"/>
                <w:sz w:val="14"/>
              </w:rPr>
              <w:t>80/210 (38.1%)</w:t>
            </w:r>
          </w:p>
        </w:tc>
        <w:tc>
          <w:tcPr>
            <w:tcW w:type="dxa" w:w="1851"/>
          </w:tcPr>
          <w:p>
            <w:pPr>
              <w:spacing w:after="0"/>
            </w:pPr>
            <w:r/>
            <w:r>
              <w:rPr>
                <w:rFonts w:ascii="Arial" w:hAnsi="Arial" w:eastAsia="Arial"/>
                <w:b w:val="0"/>
                <w:i w:val="0"/>
                <w:sz w:val="14"/>
              </w:rPr>
              <w:t>0.210</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Stromal TILs rich</w:t>
            </w:r>
          </w:p>
        </w:tc>
        <w:tc>
          <w:tcPr>
            <w:tcW w:type="dxa" w:w="1851"/>
          </w:tcPr>
          <w:p>
            <w:pPr>
              <w:spacing w:after="0"/>
            </w:pPr>
            <w:r/>
            <w:r>
              <w:rPr>
                <w:rFonts w:ascii="Arial" w:hAnsi="Arial" w:eastAsia="Arial"/>
                <w:b w:val="0"/>
                <w:i w:val="0"/>
                <w:sz w:val="14"/>
              </w:rPr>
              <w:t>Wang 2023</w:t>
            </w:r>
            <w:r>
              <w:rPr>
                <w:rFonts w:ascii="Arial" w:hAnsi="Arial" w:eastAsia="Arial"/>
                <w:b w:val="0"/>
                <w:i w:val="0"/>
                <w:sz w:val="14"/>
                <w:vertAlign w:val="superscript"/>
              </w:rPr>
              <w:t>36</w:t>
            </w:r>
          </w:p>
        </w:tc>
        <w:tc>
          <w:tcPr>
            <w:tcW w:type="dxa" w:w="1851"/>
          </w:tcPr>
          <w:p>
            <w:pPr>
              <w:spacing w:after="0"/>
            </w:pPr>
            <w:r/>
            <w:r>
              <w:rPr>
                <w:rFonts w:ascii="Arial" w:hAnsi="Arial" w:eastAsia="Arial"/>
                <w:b w:val="0"/>
                <w:i w:val="0"/>
                <w:sz w:val="14"/>
              </w:rPr>
              <w:t>H&amp;E</w:t>
            </w:r>
          </w:p>
        </w:tc>
        <w:tc>
          <w:tcPr>
            <w:tcW w:type="dxa" w:w="1851"/>
          </w:tcPr>
          <w:p>
            <w:pPr>
              <w:spacing w:after="0"/>
            </w:pPr>
            <w:r/>
            <w:r>
              <w:rPr>
                <w:rFonts w:ascii="Arial" w:hAnsi="Arial" w:eastAsia="Arial"/>
                <w:b w:val="0"/>
                <w:i w:val="0"/>
                <w:sz w:val="14"/>
              </w:rPr>
              <w:t>73/126 (57.9%)</w:t>
            </w:r>
          </w:p>
        </w:tc>
        <w:tc>
          <w:tcPr>
            <w:tcW w:type="dxa" w:w="1851"/>
          </w:tcPr>
          <w:p>
            <w:pPr>
              <w:spacing w:after="0"/>
            </w:pPr>
            <w:r/>
            <w:r>
              <w:rPr>
                <w:rFonts w:ascii="Arial" w:hAnsi="Arial" w:eastAsia="Arial"/>
                <w:b w:val="0"/>
                <w:i w:val="0"/>
                <w:sz w:val="14"/>
              </w:rPr>
              <w:t>121/188 (64.4%)</w:t>
            </w:r>
          </w:p>
        </w:tc>
        <w:tc>
          <w:tcPr>
            <w:tcW w:type="dxa" w:w="1851"/>
          </w:tcPr>
          <w:p>
            <w:pPr>
              <w:spacing w:after="0"/>
            </w:pPr>
            <w:r/>
            <w:r>
              <w:rPr>
                <w:rFonts w:ascii="Arial" w:hAnsi="Arial" w:eastAsia="Arial"/>
                <w:b w:val="0"/>
                <w:i w:val="0"/>
                <w:sz w:val="14"/>
              </w:rPr>
              <w:t>0.287</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Intratumoral TILs rich</w:t>
            </w:r>
          </w:p>
        </w:tc>
        <w:tc>
          <w:tcPr>
            <w:tcW w:type="dxa" w:w="1851"/>
          </w:tcPr>
          <w:p>
            <w:pPr>
              <w:spacing w:after="0"/>
            </w:pPr>
            <w:r/>
            <w:r>
              <w:rPr>
                <w:rFonts w:ascii="Arial" w:hAnsi="Arial" w:eastAsia="Arial"/>
                <w:b w:val="0"/>
                <w:i w:val="0"/>
                <w:sz w:val="14"/>
              </w:rPr>
              <w:t>Wang 2023</w:t>
            </w:r>
            <w:r>
              <w:rPr>
                <w:rFonts w:ascii="Arial" w:hAnsi="Arial" w:eastAsia="Arial"/>
                <w:b w:val="0"/>
                <w:i w:val="0"/>
                <w:sz w:val="14"/>
                <w:vertAlign w:val="superscript"/>
              </w:rPr>
              <w:t>36</w:t>
            </w:r>
          </w:p>
        </w:tc>
        <w:tc>
          <w:tcPr>
            <w:tcW w:type="dxa" w:w="1851"/>
          </w:tcPr>
          <w:p>
            <w:pPr>
              <w:spacing w:after="0"/>
            </w:pPr>
            <w:r/>
            <w:r>
              <w:rPr>
                <w:rFonts w:ascii="Arial" w:hAnsi="Arial" w:eastAsia="Arial"/>
                <w:b w:val="0"/>
                <w:i w:val="0"/>
                <w:sz w:val="14"/>
              </w:rPr>
              <w:t>H&amp;E</w:t>
            </w:r>
          </w:p>
        </w:tc>
        <w:tc>
          <w:tcPr>
            <w:tcW w:type="dxa" w:w="1851"/>
          </w:tcPr>
          <w:p>
            <w:pPr>
              <w:spacing w:after="0"/>
            </w:pPr>
            <w:r/>
            <w:r>
              <w:rPr>
                <w:rFonts w:ascii="Arial" w:hAnsi="Arial" w:eastAsia="Arial"/>
                <w:b w:val="0"/>
                <w:i w:val="0"/>
                <w:sz w:val="14"/>
              </w:rPr>
              <w:t>6/126 (4.8%)</w:t>
            </w:r>
          </w:p>
        </w:tc>
        <w:tc>
          <w:tcPr>
            <w:tcW w:type="dxa" w:w="1851"/>
          </w:tcPr>
          <w:p>
            <w:pPr>
              <w:spacing w:after="0"/>
            </w:pPr>
            <w:r/>
            <w:r>
              <w:rPr>
                <w:rFonts w:ascii="Arial" w:hAnsi="Arial" w:eastAsia="Arial"/>
                <w:b w:val="0"/>
                <w:i w:val="0"/>
                <w:sz w:val="14"/>
              </w:rPr>
              <w:t>3/188 (1.6%)</w:t>
            </w:r>
          </w:p>
        </w:tc>
        <w:tc>
          <w:tcPr>
            <w:tcW w:type="dxa" w:w="1851"/>
          </w:tcPr>
          <w:p>
            <w:pPr>
              <w:spacing w:after="0"/>
            </w:pPr>
            <w:r/>
            <w:r>
              <w:rPr>
                <w:rFonts w:ascii="Arial" w:hAnsi="Arial" w:eastAsia="Arial"/>
                <w:b w:val="0"/>
                <w:i w:val="0"/>
                <w:sz w:val="14"/>
              </w:rPr>
              <w:t>0.164</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CD3 rich</w:t>
            </w:r>
          </w:p>
        </w:tc>
        <w:tc>
          <w:tcPr>
            <w:tcW w:type="dxa" w:w="1851"/>
          </w:tcPr>
          <w:p>
            <w:pPr>
              <w:spacing w:after="0"/>
            </w:pPr>
            <w:r/>
            <w:r>
              <w:rPr>
                <w:rFonts w:ascii="Arial" w:hAnsi="Arial" w:eastAsia="Arial"/>
                <w:b w:val="0"/>
                <w:i w:val="0"/>
                <w:sz w:val="14"/>
              </w:rPr>
              <w:t>Wang 2023</w:t>
            </w:r>
            <w:r>
              <w:rPr>
                <w:rFonts w:ascii="Arial" w:hAnsi="Arial" w:eastAsia="Arial"/>
                <w:b w:val="0"/>
                <w:i w:val="0"/>
                <w:sz w:val="14"/>
                <w:vertAlign w:val="superscript"/>
              </w:rPr>
              <w:t>36</w:t>
            </w:r>
          </w:p>
        </w:tc>
        <w:tc>
          <w:tcPr>
            <w:tcW w:type="dxa" w:w="1851"/>
          </w:tcPr>
          <w:p>
            <w:pPr>
              <w:spacing w:after="0"/>
            </w:pPr>
            <w:r/>
            <w:r>
              <w:rPr>
                <w:rFonts w:ascii="Arial" w:hAnsi="Arial" w:eastAsia="Arial"/>
                <w:b w:val="0"/>
                <w:i w:val="0"/>
                <w:sz w:val="14"/>
              </w:rPr>
              <w:t>IHC</w:t>
            </w:r>
          </w:p>
        </w:tc>
        <w:tc>
          <w:tcPr>
            <w:tcW w:type="dxa" w:w="1851"/>
          </w:tcPr>
          <w:p>
            <w:pPr>
              <w:spacing w:after="0"/>
            </w:pPr>
            <w:r/>
            <w:r>
              <w:rPr>
                <w:rFonts w:ascii="Arial" w:hAnsi="Arial" w:eastAsia="Arial"/>
                <w:b w:val="0"/>
                <w:i w:val="0"/>
                <w:sz w:val="14"/>
              </w:rPr>
              <w:t>35/126 (27.8%)</w:t>
            </w:r>
          </w:p>
        </w:tc>
        <w:tc>
          <w:tcPr>
            <w:tcW w:type="dxa" w:w="1851"/>
          </w:tcPr>
          <w:p>
            <w:pPr>
              <w:spacing w:after="0"/>
            </w:pPr>
            <w:r/>
            <w:r>
              <w:rPr>
                <w:rFonts w:ascii="Arial" w:hAnsi="Arial" w:eastAsia="Arial"/>
                <w:b w:val="0"/>
                <w:i w:val="0"/>
                <w:sz w:val="14"/>
              </w:rPr>
              <w:t>65/188 (34.6%)</w:t>
            </w:r>
          </w:p>
        </w:tc>
        <w:tc>
          <w:tcPr>
            <w:tcW w:type="dxa" w:w="1851"/>
          </w:tcPr>
          <w:p>
            <w:pPr>
              <w:spacing w:after="0"/>
            </w:pPr>
            <w:r/>
            <w:r>
              <w:rPr>
                <w:rFonts w:ascii="Arial" w:hAnsi="Arial" w:eastAsia="Arial"/>
                <w:b w:val="0"/>
                <w:i w:val="0"/>
                <w:sz w:val="14"/>
              </w:rPr>
              <w:t>0.219</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CD20 rich</w:t>
            </w:r>
          </w:p>
        </w:tc>
        <w:tc>
          <w:tcPr>
            <w:tcW w:type="dxa" w:w="1851"/>
          </w:tcPr>
          <w:p>
            <w:pPr>
              <w:spacing w:after="0"/>
            </w:pPr>
            <w:r/>
            <w:r>
              <w:rPr>
                <w:rFonts w:ascii="Arial" w:hAnsi="Arial" w:eastAsia="Arial"/>
                <w:b w:val="0"/>
                <w:i w:val="0"/>
                <w:sz w:val="14"/>
              </w:rPr>
              <w:t>Wang 2023</w:t>
            </w:r>
            <w:r>
              <w:rPr>
                <w:rFonts w:ascii="Arial" w:hAnsi="Arial" w:eastAsia="Arial"/>
                <w:b w:val="0"/>
                <w:i w:val="0"/>
                <w:sz w:val="14"/>
                <w:vertAlign w:val="superscript"/>
              </w:rPr>
              <w:t>36</w:t>
            </w:r>
          </w:p>
        </w:tc>
        <w:tc>
          <w:tcPr>
            <w:tcW w:type="dxa" w:w="1851"/>
          </w:tcPr>
          <w:p>
            <w:pPr>
              <w:spacing w:after="0"/>
            </w:pPr>
            <w:r/>
            <w:r>
              <w:rPr>
                <w:rFonts w:ascii="Arial" w:hAnsi="Arial" w:eastAsia="Arial"/>
                <w:b w:val="0"/>
                <w:i w:val="0"/>
                <w:sz w:val="14"/>
              </w:rPr>
              <w:t>IHC</w:t>
            </w:r>
          </w:p>
        </w:tc>
        <w:tc>
          <w:tcPr>
            <w:tcW w:type="dxa" w:w="1851"/>
          </w:tcPr>
          <w:p>
            <w:pPr>
              <w:spacing w:after="0"/>
            </w:pPr>
            <w:r/>
            <w:r>
              <w:rPr>
                <w:rFonts w:ascii="Arial" w:hAnsi="Arial" w:eastAsia="Arial"/>
                <w:b w:val="0"/>
                <w:i w:val="0"/>
                <w:sz w:val="14"/>
              </w:rPr>
              <w:t>53/126 (42.1%)</w:t>
            </w:r>
          </w:p>
        </w:tc>
        <w:tc>
          <w:tcPr>
            <w:tcW w:type="dxa" w:w="1851"/>
          </w:tcPr>
          <w:p>
            <w:pPr>
              <w:spacing w:after="0"/>
            </w:pPr>
            <w:r/>
            <w:r>
              <w:rPr>
                <w:rFonts w:ascii="Arial" w:hAnsi="Arial" w:eastAsia="Arial"/>
                <w:b w:val="0"/>
                <w:i w:val="0"/>
                <w:sz w:val="14"/>
              </w:rPr>
              <w:t>84/188 (44.7%)</w:t>
            </w:r>
          </w:p>
        </w:tc>
        <w:tc>
          <w:tcPr>
            <w:tcW w:type="dxa" w:w="1851"/>
          </w:tcPr>
          <w:p>
            <w:pPr>
              <w:spacing w:after="0"/>
            </w:pPr>
            <w:r/>
            <w:r>
              <w:rPr>
                <w:rFonts w:ascii="Arial" w:hAnsi="Arial" w:eastAsia="Arial"/>
                <w:b w:val="0"/>
                <w:i w:val="0"/>
                <w:sz w:val="14"/>
              </w:rPr>
              <w:t>0.728</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Intratumoral CD8 high</w:t>
            </w:r>
          </w:p>
        </w:tc>
        <w:tc>
          <w:tcPr>
            <w:tcW w:type="dxa" w:w="1851"/>
          </w:tcPr>
          <w:p>
            <w:pPr>
              <w:spacing w:after="0"/>
            </w:pPr>
            <w:r/>
            <w:r>
              <w:rPr>
                <w:rFonts w:ascii="Arial" w:hAnsi="Arial" w:eastAsia="Arial"/>
                <w:b w:val="0"/>
                <w:i w:val="0"/>
                <w:sz w:val="14"/>
              </w:rPr>
              <w:t>Cheng 2023</w:t>
            </w:r>
            <w:r>
              <w:rPr>
                <w:rFonts w:ascii="Arial" w:hAnsi="Arial" w:eastAsia="Arial"/>
                <w:b w:val="0"/>
                <w:i w:val="0"/>
                <w:sz w:val="14"/>
                <w:vertAlign w:val="superscript"/>
              </w:rPr>
              <w:t>38</w:t>
            </w:r>
          </w:p>
        </w:tc>
        <w:tc>
          <w:tcPr>
            <w:tcW w:type="dxa" w:w="1851"/>
          </w:tcPr>
          <w:p>
            <w:pPr>
              <w:spacing w:after="0"/>
            </w:pPr>
            <w:r/>
            <w:r>
              <w:rPr>
                <w:rFonts w:ascii="Arial" w:hAnsi="Arial" w:eastAsia="Arial"/>
                <w:b w:val="0"/>
                <w:i w:val="0"/>
                <w:sz w:val="14"/>
              </w:rPr>
              <w:t>IHC on TMA</w:t>
            </w:r>
          </w:p>
        </w:tc>
        <w:tc>
          <w:tcPr>
            <w:tcW w:type="dxa" w:w="1851"/>
          </w:tcPr>
          <w:p>
            <w:pPr>
              <w:spacing w:after="0"/>
            </w:pPr>
            <w:r/>
            <w:r>
              <w:rPr>
                <w:rFonts w:ascii="Arial" w:hAnsi="Arial" w:eastAsia="Arial"/>
                <w:b w:val="0"/>
                <w:i w:val="0"/>
                <w:sz w:val="14"/>
              </w:rPr>
              <w:t>111/137 (81.0%)</w:t>
            </w:r>
          </w:p>
        </w:tc>
        <w:tc>
          <w:tcPr>
            <w:tcW w:type="dxa" w:w="1851"/>
          </w:tcPr>
          <w:p>
            <w:pPr>
              <w:spacing w:after="0"/>
            </w:pPr>
            <w:r/>
            <w:r>
              <w:rPr>
                <w:rFonts w:ascii="Arial" w:hAnsi="Arial" w:eastAsia="Arial"/>
                <w:b w:val="0"/>
                <w:i w:val="0"/>
                <w:sz w:val="14"/>
              </w:rPr>
              <w:t>174/214 (81.3%)</w:t>
            </w:r>
          </w:p>
        </w:tc>
        <w:tc>
          <w:tcPr>
            <w:tcW w:type="dxa" w:w="1851"/>
          </w:tcPr>
          <w:p>
            <w:pPr>
              <w:spacing w:after="0"/>
            </w:pPr>
            <w:r/>
            <w:r>
              <w:rPr>
                <w:rFonts w:ascii="Arial" w:hAnsi="Arial" w:eastAsia="Arial"/>
                <w:b w:val="0"/>
                <w:i w:val="0"/>
                <w:sz w:val="14"/>
              </w:rPr>
              <w:t>0.998</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Stromal CD8 high</w:t>
            </w:r>
          </w:p>
        </w:tc>
        <w:tc>
          <w:tcPr>
            <w:tcW w:type="dxa" w:w="1851"/>
          </w:tcPr>
          <w:p>
            <w:pPr>
              <w:spacing w:after="0"/>
            </w:pPr>
            <w:r/>
            <w:r>
              <w:rPr>
                <w:rFonts w:ascii="Arial" w:hAnsi="Arial" w:eastAsia="Arial"/>
                <w:b w:val="0"/>
                <w:i w:val="0"/>
                <w:sz w:val="14"/>
              </w:rPr>
              <w:t>Cheng 2023</w:t>
            </w:r>
            <w:r>
              <w:rPr>
                <w:rFonts w:ascii="Arial" w:hAnsi="Arial" w:eastAsia="Arial"/>
                <w:b w:val="0"/>
                <w:i w:val="0"/>
                <w:sz w:val="14"/>
                <w:vertAlign w:val="superscript"/>
              </w:rPr>
              <w:t>38</w:t>
            </w:r>
          </w:p>
        </w:tc>
        <w:tc>
          <w:tcPr>
            <w:tcW w:type="dxa" w:w="1851"/>
          </w:tcPr>
          <w:p>
            <w:pPr>
              <w:spacing w:after="0"/>
            </w:pPr>
            <w:r/>
            <w:r>
              <w:rPr>
                <w:rFonts w:ascii="Arial" w:hAnsi="Arial" w:eastAsia="Arial"/>
                <w:b w:val="0"/>
                <w:i w:val="0"/>
                <w:sz w:val="14"/>
              </w:rPr>
              <w:t>IHC on TMA</w:t>
            </w:r>
          </w:p>
        </w:tc>
        <w:tc>
          <w:tcPr>
            <w:tcW w:type="dxa" w:w="1851"/>
          </w:tcPr>
          <w:p>
            <w:pPr>
              <w:spacing w:after="0"/>
            </w:pPr>
            <w:r/>
            <w:r>
              <w:rPr>
                <w:rFonts w:ascii="Arial" w:hAnsi="Arial" w:eastAsia="Arial"/>
                <w:b w:val="0"/>
                <w:i w:val="0"/>
                <w:sz w:val="14"/>
              </w:rPr>
              <w:t>41/137 (29.9%)</w:t>
            </w:r>
          </w:p>
        </w:tc>
        <w:tc>
          <w:tcPr>
            <w:tcW w:type="dxa" w:w="1851"/>
          </w:tcPr>
          <w:p>
            <w:pPr>
              <w:spacing w:after="0"/>
            </w:pPr>
            <w:r/>
            <w:r>
              <w:rPr>
                <w:rFonts w:ascii="Arial" w:hAnsi="Arial" w:eastAsia="Arial"/>
                <w:b w:val="0"/>
                <w:i w:val="0"/>
                <w:sz w:val="14"/>
              </w:rPr>
              <w:t>67/214 (31.3%)</w:t>
            </w:r>
          </w:p>
        </w:tc>
        <w:tc>
          <w:tcPr>
            <w:tcW w:type="dxa" w:w="1851"/>
          </w:tcPr>
          <w:p>
            <w:pPr>
              <w:spacing w:after="0"/>
            </w:pPr>
            <w:r/>
            <w:r>
              <w:rPr>
                <w:rFonts w:ascii="Arial" w:hAnsi="Arial" w:eastAsia="Arial"/>
                <w:b w:val="0"/>
                <w:i w:val="0"/>
                <w:sz w:val="14"/>
              </w:rPr>
              <w:t>0.813</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Intratumoral CD4 high</w:t>
            </w:r>
          </w:p>
        </w:tc>
        <w:tc>
          <w:tcPr>
            <w:tcW w:type="dxa" w:w="1851"/>
          </w:tcPr>
          <w:p>
            <w:pPr>
              <w:spacing w:after="0"/>
            </w:pPr>
            <w:r/>
            <w:r>
              <w:rPr>
                <w:rFonts w:ascii="Arial" w:hAnsi="Arial" w:eastAsia="Arial"/>
                <w:b w:val="0"/>
                <w:i w:val="0"/>
                <w:sz w:val="14"/>
              </w:rPr>
              <w:t>Cheng 2023</w:t>
            </w:r>
            <w:r>
              <w:rPr>
                <w:rFonts w:ascii="Arial" w:hAnsi="Arial" w:eastAsia="Arial"/>
                <w:b w:val="0"/>
                <w:i w:val="0"/>
                <w:sz w:val="14"/>
                <w:vertAlign w:val="superscript"/>
              </w:rPr>
              <w:t>38</w:t>
            </w:r>
          </w:p>
        </w:tc>
        <w:tc>
          <w:tcPr>
            <w:tcW w:type="dxa" w:w="1851"/>
          </w:tcPr>
          <w:p>
            <w:pPr>
              <w:spacing w:after="0"/>
            </w:pPr>
            <w:r/>
            <w:r>
              <w:rPr>
                <w:rFonts w:ascii="Arial" w:hAnsi="Arial" w:eastAsia="Arial"/>
                <w:b w:val="0"/>
                <w:i w:val="0"/>
                <w:sz w:val="14"/>
              </w:rPr>
              <w:t>IHC on TMA</w:t>
            </w:r>
          </w:p>
        </w:tc>
        <w:tc>
          <w:tcPr>
            <w:tcW w:type="dxa" w:w="1851"/>
          </w:tcPr>
          <w:p>
            <w:pPr>
              <w:spacing w:after="0"/>
            </w:pPr>
            <w:r/>
            <w:r>
              <w:rPr>
                <w:rFonts w:ascii="Arial" w:hAnsi="Arial" w:eastAsia="Arial"/>
                <w:b w:val="0"/>
                <w:i w:val="0"/>
                <w:sz w:val="14"/>
              </w:rPr>
              <w:t>92/137 (67.2%)</w:t>
            </w:r>
          </w:p>
        </w:tc>
        <w:tc>
          <w:tcPr>
            <w:tcW w:type="dxa" w:w="1851"/>
          </w:tcPr>
          <w:p>
            <w:pPr>
              <w:spacing w:after="0"/>
            </w:pPr>
            <w:r/>
            <w:r>
              <w:rPr>
                <w:rFonts w:ascii="Arial" w:hAnsi="Arial" w:eastAsia="Arial"/>
                <w:b w:val="0"/>
                <w:i w:val="0"/>
                <w:sz w:val="14"/>
              </w:rPr>
              <w:t>149/214 (69.6%)</w:t>
            </w:r>
          </w:p>
        </w:tc>
        <w:tc>
          <w:tcPr>
            <w:tcW w:type="dxa" w:w="1851"/>
          </w:tcPr>
          <w:p>
            <w:pPr>
              <w:spacing w:after="0"/>
            </w:pPr>
            <w:r/>
            <w:r>
              <w:rPr>
                <w:rFonts w:ascii="Arial" w:hAnsi="Arial" w:eastAsia="Arial"/>
                <w:b w:val="0"/>
                <w:i w:val="0"/>
                <w:sz w:val="14"/>
              </w:rPr>
              <w:t>0.639</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Stromal CD4 high</w:t>
            </w:r>
          </w:p>
        </w:tc>
        <w:tc>
          <w:tcPr>
            <w:tcW w:type="dxa" w:w="1851"/>
          </w:tcPr>
          <w:p>
            <w:pPr>
              <w:spacing w:after="0"/>
            </w:pPr>
            <w:r/>
            <w:r>
              <w:rPr>
                <w:rFonts w:ascii="Arial" w:hAnsi="Arial" w:eastAsia="Arial"/>
                <w:b w:val="0"/>
                <w:i w:val="0"/>
                <w:sz w:val="14"/>
              </w:rPr>
              <w:t>Cheng 2023</w:t>
            </w:r>
            <w:r>
              <w:rPr>
                <w:rFonts w:ascii="Arial" w:hAnsi="Arial" w:eastAsia="Arial"/>
                <w:b w:val="0"/>
                <w:i w:val="0"/>
                <w:sz w:val="14"/>
                <w:vertAlign w:val="superscript"/>
              </w:rPr>
              <w:t>38</w:t>
            </w:r>
          </w:p>
        </w:tc>
        <w:tc>
          <w:tcPr>
            <w:tcW w:type="dxa" w:w="1851"/>
          </w:tcPr>
          <w:p>
            <w:pPr>
              <w:spacing w:after="0"/>
            </w:pPr>
            <w:r/>
            <w:r>
              <w:rPr>
                <w:rFonts w:ascii="Arial" w:hAnsi="Arial" w:eastAsia="Arial"/>
                <w:b w:val="0"/>
                <w:i w:val="0"/>
                <w:sz w:val="14"/>
              </w:rPr>
              <w:t>IHC on TMA</w:t>
            </w:r>
          </w:p>
        </w:tc>
        <w:tc>
          <w:tcPr>
            <w:tcW w:type="dxa" w:w="1851"/>
          </w:tcPr>
          <w:p>
            <w:pPr>
              <w:spacing w:after="0"/>
            </w:pPr>
            <w:r/>
            <w:r>
              <w:rPr>
                <w:rFonts w:ascii="Arial" w:hAnsi="Arial" w:eastAsia="Arial"/>
                <w:b w:val="0"/>
                <w:i w:val="0"/>
                <w:sz w:val="14"/>
              </w:rPr>
              <w:t>78/137 (56.9%)</w:t>
            </w:r>
          </w:p>
        </w:tc>
        <w:tc>
          <w:tcPr>
            <w:tcW w:type="dxa" w:w="1851"/>
          </w:tcPr>
          <w:p>
            <w:pPr>
              <w:spacing w:after="0"/>
            </w:pPr>
            <w:r/>
            <w:r>
              <w:rPr>
                <w:rFonts w:ascii="Arial" w:hAnsi="Arial" w:eastAsia="Arial"/>
                <w:b w:val="0"/>
                <w:i w:val="0"/>
                <w:sz w:val="14"/>
              </w:rPr>
              <w:t>139/214 (65.0%)</w:t>
            </w:r>
          </w:p>
        </w:tc>
        <w:tc>
          <w:tcPr>
            <w:tcW w:type="dxa" w:w="1851"/>
          </w:tcPr>
          <w:p>
            <w:pPr>
              <w:spacing w:after="0"/>
            </w:pPr>
            <w:r/>
            <w:r>
              <w:rPr>
                <w:rFonts w:ascii="Arial" w:hAnsi="Arial" w:eastAsia="Arial"/>
                <w:b w:val="0"/>
                <w:i w:val="0"/>
                <w:sz w:val="14"/>
              </w:rPr>
              <w:t>0.144</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CFIm25 high</w:t>
            </w:r>
          </w:p>
        </w:tc>
        <w:tc>
          <w:tcPr>
            <w:tcW w:type="dxa" w:w="1851"/>
          </w:tcPr>
          <w:p>
            <w:pPr>
              <w:spacing w:after="0"/>
            </w:pPr>
            <w:r/>
            <w:r>
              <w:rPr>
                <w:rFonts w:ascii="Arial" w:hAnsi="Arial" w:eastAsia="Arial"/>
                <w:b w:val="0"/>
                <w:i w:val="0"/>
                <w:sz w:val="14"/>
              </w:rPr>
              <w:t>Chai 2026</w:t>
            </w:r>
            <w:r>
              <w:rPr>
                <w:rFonts w:ascii="Arial" w:hAnsi="Arial" w:eastAsia="Arial"/>
                <w:b w:val="0"/>
                <w:i w:val="0"/>
                <w:sz w:val="14"/>
                <w:vertAlign w:val="superscript"/>
              </w:rPr>
              <w:t>39</w:t>
            </w:r>
          </w:p>
        </w:tc>
        <w:tc>
          <w:tcPr>
            <w:tcW w:type="dxa" w:w="1851"/>
          </w:tcPr>
          <w:p>
            <w:pPr>
              <w:spacing w:after="0"/>
            </w:pPr>
            <w:r/>
            <w:r>
              <w:rPr>
                <w:rFonts w:ascii="Arial" w:hAnsi="Arial" w:eastAsia="Arial"/>
                <w:b w:val="0"/>
                <w:i w:val="0"/>
                <w:sz w:val="14"/>
              </w:rPr>
              <w:t>IHC on TMA</w:t>
            </w:r>
          </w:p>
        </w:tc>
        <w:tc>
          <w:tcPr>
            <w:tcW w:type="dxa" w:w="1851"/>
          </w:tcPr>
          <w:p>
            <w:pPr>
              <w:spacing w:after="0"/>
            </w:pPr>
            <w:r/>
            <w:r>
              <w:rPr>
                <w:rFonts w:ascii="Arial" w:hAnsi="Arial" w:eastAsia="Arial"/>
                <w:b w:val="0"/>
                <w:i w:val="0"/>
                <w:sz w:val="14"/>
              </w:rPr>
              <w:t>70/112 (62.5%)</w:t>
            </w:r>
          </w:p>
        </w:tc>
        <w:tc>
          <w:tcPr>
            <w:tcW w:type="dxa" w:w="1851"/>
          </w:tcPr>
          <w:p>
            <w:pPr>
              <w:spacing w:after="0"/>
            </w:pPr>
            <w:r/>
            <w:r>
              <w:rPr>
                <w:rFonts w:ascii="Arial" w:hAnsi="Arial" w:eastAsia="Arial"/>
                <w:b w:val="0"/>
                <w:i w:val="0"/>
                <w:sz w:val="14"/>
              </w:rPr>
              <w:t>120/174 (69.0%)</w:t>
            </w:r>
          </w:p>
        </w:tc>
        <w:tc>
          <w:tcPr>
            <w:tcW w:type="dxa" w:w="1851"/>
          </w:tcPr>
          <w:p>
            <w:pPr>
              <w:spacing w:after="0"/>
            </w:pPr>
            <w:r/>
            <w:r>
              <w:rPr>
                <w:rFonts w:ascii="Arial" w:hAnsi="Arial" w:eastAsia="Arial"/>
                <w:b w:val="0"/>
                <w:i w:val="0"/>
                <w:sz w:val="14"/>
              </w:rPr>
              <w:t>0.25</w:t>
            </w:r>
          </w:p>
        </w:tc>
        <w:tc>
          <w:tcPr>
            <w:tcW w:type="dxa" w:w="1851"/>
          </w:tcPr>
          <w:p>
            <w:pPr>
              <w:spacing w:after="0"/>
            </w:pPr>
            <w:r/>
            <w:r>
              <w:rPr>
                <w:rFonts w:ascii="Arial" w:hAnsi="Arial" w:eastAsia="Arial"/>
                <w:b w:val="0"/>
                <w:i w:val="0"/>
                <w:sz w:val="14"/>
              </w:rPr>
              <w:t>Not pooled (k &lt; 2)</w:t>
            </w:r>
          </w:p>
        </w:tc>
      </w:tr>
      <w:tr>
        <w:tc>
          <w:tcPr>
            <w:tcW w:type="dxa" w:w="1851"/>
          </w:tcPr>
          <w:p>
            <w:pPr>
              <w:spacing w:after="0"/>
            </w:pPr>
            <w:r/>
            <w:r>
              <w:rPr>
                <w:rFonts w:ascii="Arial" w:hAnsi="Arial" w:eastAsia="Arial"/>
                <w:b w:val="0"/>
                <w:i w:val="0"/>
                <w:sz w:val="14"/>
              </w:rPr>
              <w:t>Tumour mutational burden</w:t>
            </w:r>
          </w:p>
        </w:tc>
        <w:tc>
          <w:tcPr>
            <w:tcW w:type="dxa" w:w="1851"/>
          </w:tcPr>
          <w:p>
            <w:pPr>
              <w:spacing w:after="0"/>
            </w:pPr>
            <w:r/>
            <w:r>
              <w:rPr>
                <w:rFonts w:ascii="Arial" w:hAnsi="Arial" w:eastAsia="Arial"/>
                <w:b w:val="0"/>
                <w:i w:val="0"/>
                <w:sz w:val="14"/>
              </w:rPr>
              <w:t>Yu 2023</w:t>
            </w:r>
            <w:r>
              <w:rPr>
                <w:rFonts w:ascii="Arial" w:hAnsi="Arial" w:eastAsia="Arial"/>
                <w:b w:val="0"/>
                <w:i w:val="0"/>
                <w:sz w:val="14"/>
                <w:vertAlign w:val="superscript"/>
              </w:rPr>
              <w:t>43</w:t>
            </w:r>
          </w:p>
        </w:tc>
        <w:tc>
          <w:tcPr>
            <w:tcW w:type="dxa" w:w="1851"/>
          </w:tcPr>
          <w:p>
            <w:pPr>
              <w:spacing w:after="0"/>
            </w:pPr>
            <w:r/>
            <w:r>
              <w:rPr>
                <w:rFonts w:ascii="Arial" w:hAnsi="Arial" w:eastAsia="Arial"/>
                <w:b w:val="0"/>
                <w:i w:val="0"/>
                <w:sz w:val="14"/>
              </w:rPr>
              <w:t>WES (FFPE, paired normal)</w:t>
            </w:r>
          </w:p>
        </w:tc>
        <w:tc>
          <w:tcPr>
            <w:tcW w:type="dxa" w:w="1851"/>
          </w:tcPr>
          <w:p>
            <w:pPr>
              <w:spacing w:after="0"/>
            </w:pPr>
            <w:r/>
            <w:r>
              <w:rPr>
                <w:rFonts w:ascii="Arial" w:hAnsi="Arial" w:eastAsia="Arial"/>
                <w:b w:val="0"/>
                <w:i w:val="0"/>
                <w:sz w:val="14"/>
              </w:rPr>
              <w:t>30</w:t>
            </w:r>
          </w:p>
        </w:tc>
        <w:tc>
          <w:tcPr>
            <w:tcW w:type="dxa" w:w="1851"/>
          </w:tcPr>
          <w:p>
            <w:pPr>
              <w:spacing w:after="0"/>
            </w:pPr>
            <w:r/>
            <w:r>
              <w:rPr>
                <w:rFonts w:ascii="Arial" w:hAnsi="Arial" w:eastAsia="Arial"/>
                <w:b w:val="0"/>
                <w:i w:val="0"/>
                <w:sz w:val="14"/>
              </w:rPr>
              <w:t>External (TCGA sporadic CRC)</w:t>
            </w:r>
          </w:p>
        </w:tc>
        <w:tc>
          <w:tcPr>
            <w:tcW w:type="dxa" w:w="1851"/>
          </w:tcPr>
          <w:p>
            <w:pPr>
              <w:spacing w:after="0"/>
            </w:pPr>
            <w:r/>
            <w:r>
              <w:rPr>
                <w:rFonts w:ascii="Arial" w:hAnsi="Arial" w:eastAsia="Arial"/>
                <w:b w:val="0"/>
                <w:i w:val="0"/>
                <w:sz w:val="14"/>
              </w:rPr>
              <w:t>NR</w:t>
            </w:r>
          </w:p>
        </w:tc>
        <w:tc>
          <w:tcPr>
            <w:tcW w:type="dxa" w:w="1851"/>
          </w:tcPr>
          <w:p>
            <w:pPr>
              <w:spacing w:after="0"/>
            </w:pPr>
            <w:r/>
            <w:r>
              <w:rPr>
                <w:rFonts w:ascii="Arial" w:hAnsi="Arial" w:eastAsia="Arial"/>
                <w:b w:val="0"/>
                <w:i w:val="0"/>
                <w:sz w:val="14"/>
              </w:rPr>
              <w:t>Not poolable (external comparator)</w:t>
            </w:r>
          </w:p>
        </w:tc>
      </w:tr>
      <w:tr>
        <w:tc>
          <w:tcPr>
            <w:tcW w:type="dxa" w:w="1851"/>
          </w:tcPr>
          <w:p>
            <w:pPr>
              <w:spacing w:after="0"/>
            </w:pPr>
            <w:r/>
            <w:r>
              <w:rPr>
                <w:rFonts w:ascii="Arial" w:hAnsi="Arial" w:eastAsia="Arial"/>
                <w:b w:val="0"/>
                <w:i w:val="0"/>
                <w:sz w:val="14"/>
              </w:rPr>
              <w:t>MSI-L/MSS</w:t>
            </w:r>
          </w:p>
        </w:tc>
        <w:tc>
          <w:tcPr>
            <w:tcW w:type="dxa" w:w="1851"/>
          </w:tcPr>
          <w:p>
            <w:pPr>
              <w:spacing w:after="0"/>
            </w:pPr>
            <w:r/>
            <w:r>
              <w:rPr>
                <w:rFonts w:ascii="Arial" w:hAnsi="Arial" w:eastAsia="Arial"/>
                <w:b w:val="0"/>
                <w:i w:val="0"/>
                <w:sz w:val="14"/>
              </w:rPr>
              <w:t>Yu 2023</w:t>
            </w:r>
            <w:r>
              <w:rPr>
                <w:rFonts w:ascii="Arial" w:hAnsi="Arial" w:eastAsia="Arial"/>
                <w:b w:val="0"/>
                <w:i w:val="0"/>
                <w:sz w:val="14"/>
                <w:vertAlign w:val="superscript"/>
              </w:rPr>
              <w:t>43</w:t>
            </w:r>
          </w:p>
        </w:tc>
        <w:tc>
          <w:tcPr>
            <w:tcW w:type="dxa" w:w="1851"/>
          </w:tcPr>
          <w:p>
            <w:pPr>
              <w:spacing w:after="0"/>
            </w:pPr>
            <w:r/>
            <w:r>
              <w:rPr>
                <w:rFonts w:ascii="Arial" w:hAnsi="Arial" w:eastAsia="Arial"/>
                <w:b w:val="0"/>
                <w:i w:val="0"/>
                <w:sz w:val="14"/>
              </w:rPr>
              <w:t>WES + IHC</w:t>
            </w:r>
          </w:p>
        </w:tc>
        <w:tc>
          <w:tcPr>
            <w:tcW w:type="dxa" w:w="1851"/>
          </w:tcPr>
          <w:p>
            <w:pPr>
              <w:spacing w:after="0"/>
            </w:pPr>
            <w:r/>
            <w:r>
              <w:rPr>
                <w:rFonts w:ascii="Arial" w:hAnsi="Arial" w:eastAsia="Arial"/>
                <w:b w:val="0"/>
                <w:i w:val="0"/>
                <w:sz w:val="14"/>
              </w:rPr>
              <w:t>30/30 (100.0%)</w:t>
            </w:r>
          </w:p>
        </w:tc>
        <w:tc>
          <w:tcPr>
            <w:tcW w:type="dxa" w:w="1851"/>
          </w:tcPr>
          <w:p>
            <w:pPr>
              <w:spacing w:after="0"/>
            </w:pPr>
            <w:r/>
            <w:r>
              <w:rPr>
                <w:rFonts w:ascii="Arial" w:hAnsi="Arial" w:eastAsia="Arial"/>
                <w:b w:val="0"/>
                <w:i w:val="0"/>
                <w:sz w:val="14"/>
              </w:rPr>
              <w:t>External (TCGA sporadic CRC)</w:t>
            </w:r>
          </w:p>
        </w:tc>
        <w:tc>
          <w:tcPr>
            <w:tcW w:type="dxa" w:w="1851"/>
          </w:tcPr>
          <w:p>
            <w:pPr>
              <w:spacing w:after="0"/>
            </w:pPr>
            <w:r/>
            <w:r>
              <w:rPr>
                <w:rFonts w:ascii="Arial" w:hAnsi="Arial" w:eastAsia="Arial"/>
                <w:b w:val="0"/>
                <w:i w:val="0"/>
                <w:sz w:val="14"/>
              </w:rPr>
              <w:t>NR</w:t>
            </w:r>
          </w:p>
        </w:tc>
        <w:tc>
          <w:tcPr>
            <w:tcW w:type="dxa" w:w="1851"/>
          </w:tcPr>
          <w:p>
            <w:pPr>
              <w:spacing w:after="0"/>
            </w:pPr>
            <w:r/>
            <w:r>
              <w:rPr>
                <w:rFonts w:ascii="Arial" w:hAnsi="Arial" w:eastAsia="Arial"/>
                <w:b w:val="0"/>
                <w:i w:val="0"/>
                <w:sz w:val="14"/>
              </w:rPr>
              <w:t>Not poolable (external comparator)</w:t>
            </w:r>
          </w:p>
        </w:tc>
      </w:tr>
      <w:tr>
        <w:tc>
          <w:tcPr>
            <w:tcW w:type="dxa" w:w="1851"/>
          </w:tcPr>
          <w:p>
            <w:pPr>
              <w:spacing w:after="0"/>
            </w:pPr>
            <w:r/>
            <w:r>
              <w:rPr>
                <w:rFonts w:ascii="Arial" w:hAnsi="Arial" w:eastAsia="Arial"/>
                <w:b w:val="0"/>
                <w:i w:val="0"/>
                <w:sz w:val="14"/>
              </w:rPr>
              <w:t>APC, TP53 mutation, beta-catenin, Ki-67</w:t>
            </w:r>
          </w:p>
        </w:tc>
        <w:tc>
          <w:tcPr>
            <w:tcW w:type="dxa" w:w="1851"/>
          </w:tcPr>
          <w:p>
            <w:pPr>
              <w:spacing w:after="0"/>
            </w:pPr>
            <w:r/>
            <w:r>
              <w:rPr>
                <w:rFonts w:ascii="Arial" w:hAnsi="Arial" w:eastAsia="Arial"/>
                <w:b w:val="0"/>
                <w:i w:val="0"/>
                <w:sz w:val="14"/>
              </w:rPr>
              <w:t>None with internal comparator</w:t>
            </w:r>
          </w:p>
        </w:tc>
        <w:tc>
          <w:tcPr>
            <w:tcW w:type="dxa" w:w="1851"/>
          </w:tcPr>
          <w:p>
            <w:pPr>
              <w:spacing w:after="0"/>
            </w:pPr>
            <w:r/>
            <w:r>
              <w:rPr>
                <w:rFonts w:ascii="Arial" w:hAnsi="Arial" w:eastAsia="Arial"/>
                <w:b w:val="0"/>
                <w:i w:val="0"/>
                <w:sz w:val="14"/>
              </w:rPr>
              <w:t>-</w:t>
            </w:r>
          </w:p>
        </w:tc>
        <w:tc>
          <w:tcPr>
            <w:tcW w:type="dxa" w:w="1851"/>
          </w:tcPr>
          <w:p>
            <w:pPr>
              <w:spacing w:after="0"/>
            </w:pPr>
            <w:r/>
            <w:r>
              <w:rPr>
                <w:rFonts w:ascii="Arial" w:hAnsi="Arial" w:eastAsia="Arial"/>
                <w:b w:val="0"/>
                <w:i w:val="0"/>
                <w:sz w:val="14"/>
              </w:rPr>
              <w:t>-</w:t>
            </w:r>
          </w:p>
        </w:tc>
        <w:tc>
          <w:tcPr>
            <w:tcW w:type="dxa" w:w="1851"/>
          </w:tcPr>
          <w:p>
            <w:pPr>
              <w:spacing w:after="0"/>
            </w:pPr>
            <w:r/>
            <w:r>
              <w:rPr>
                <w:rFonts w:ascii="Arial" w:hAnsi="Arial" w:eastAsia="Arial"/>
                <w:b w:val="0"/>
                <w:i w:val="0"/>
                <w:sz w:val="14"/>
              </w:rPr>
              <w:t>-</w:t>
            </w:r>
          </w:p>
        </w:tc>
        <w:tc>
          <w:tcPr>
            <w:tcW w:type="dxa" w:w="1851"/>
          </w:tcPr>
          <w:p>
            <w:pPr>
              <w:spacing w:after="0"/>
            </w:pPr>
            <w:r/>
            <w:r>
              <w:rPr>
                <w:rFonts w:ascii="Arial" w:hAnsi="Arial" w:eastAsia="Arial"/>
                <w:b w:val="0"/>
                <w:i w:val="0"/>
                <w:sz w:val="14"/>
              </w:rPr>
              <w:t>-</w:t>
            </w:r>
          </w:p>
        </w:tc>
        <w:tc>
          <w:tcPr>
            <w:tcW w:type="dxa" w:w="1851"/>
          </w:tcPr>
          <w:p>
            <w:pPr>
              <w:spacing w:after="0"/>
            </w:pPr>
            <w:r/>
            <w:r>
              <w:rPr>
                <w:rFonts w:ascii="Arial" w:hAnsi="Arial" w:eastAsia="Arial"/>
                <w:b w:val="0"/>
                <w:i w:val="0"/>
                <w:sz w:val="14"/>
              </w:rPr>
              <w:t>No evidence</w:t>
            </w:r>
          </w:p>
        </w:tc>
      </w:tr>
    </w:tbl>
    <w:p>
      <w:r>
        <w:rPr>
          <w:rFonts w:ascii="Arial" w:hAnsi="Arial" w:eastAsia="Arial"/>
          <w:b w:val="0"/>
          <w:i w:val="0"/>
          <w:sz w:val="18"/>
        </w:rPr>
        <w:t xml:space="preserve">All Qingpu reports (Wang 2021, Wang 2023, Pan 2020, Cheng 2023, Chai 2026) describe one cohort; each biomarker appears once. Biomarkers were pooled only with at least two independent internal-comparator cohorts. Abstract-only data on </w:t>
      </w:r>
      <w:r>
        <w:rPr>
          <w:rFonts w:ascii="Arial" w:hAnsi="Arial" w:eastAsia="Arial"/>
          <w:b w:val="0"/>
          <w:i/>
          <w:sz w:val="18"/>
        </w:rPr>
        <w:t>S. mansoni</w:t>
      </w:r>
      <w:r>
        <w:rPr>
          <w:rFonts w:ascii="Arial" w:hAnsi="Arial" w:eastAsia="Arial"/>
          <w:b w:val="0"/>
          <w:i w:val="0"/>
          <w:sz w:val="18"/>
        </w:rPr>
        <w:t xml:space="preserve"> (Madbouly 2007: p53 32/40 vs 8/20; MSI 3/40 vs 1/20) are not shown in the analysis.</w:t>
      </w:r>
    </w:p>
    <w:p>
      <w:pPr>
        <w:sectPr>
          <w:pgSz w:w="15840" w:h="12240" w:orient="landscape"/>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5760000" cy="1404000"/>
            <wp:docPr id="4" name="Picture 4"/>
            <wp:cNvGraphicFramePr>
              <a:graphicFrameLocks noChangeAspect="1"/>
            </wp:cNvGraphicFramePr>
            <a:graphic>
              <a:graphicData uri="http://schemas.openxmlformats.org/drawingml/2006/picture">
                <pic:pic>
                  <pic:nvPicPr>
                    <pic:cNvPr id="0" name="Figure6_molecular.png"/>
                    <pic:cNvPicPr/>
                  </pic:nvPicPr>
                  <pic:blipFill>
                    <a:blip r:embed="rId12"/>
                    <a:stretch>
                      <a:fillRect/>
                    </a:stretch>
                  </pic:blipFill>
                  <pic:spPr>
                    <a:xfrm>
                      <a:off x="0" y="0"/>
                      <a:ext cx="5760000" cy="1404000"/>
                    </a:xfrm>
                    <a:prstGeom prst="rect"/>
                  </pic:spPr>
                </pic:pic>
              </a:graphicData>
            </a:graphic>
          </wp:inline>
        </w:drawing>
      </w:r>
    </w:p>
    <w:p>
      <w:r>
        <w:rPr>
          <w:rFonts w:ascii="Arial" w:hAnsi="Arial" w:eastAsia="Arial"/>
          <w:b/>
          <w:i w:val="0"/>
          <w:sz w:val="22"/>
        </w:rPr>
        <w:t>Figure 6.</w:t>
      </w:r>
      <w:r>
        <w:rPr>
          <w:rFonts w:ascii="Arial" w:hAnsi="Arial" w:eastAsia="Arial"/>
          <w:b w:val="0"/>
          <w:i w:val="0"/>
          <w:sz w:val="22"/>
        </w:rPr>
        <w:t xml:space="preserve"> Molecular phenotype. Pooled odds ratios for biomarkers reported by at least two comparable studies, and evidence map for biomarkers that could not be pooled.</w:t>
      </w:r>
    </w:p>
    <w:p>
      <w:r>
        <w:rPr>
          <w:rFonts w:ascii="Arial" w:hAnsi="Arial" w:eastAsia="Arial"/>
          <w:b/>
          <w:i w:val="0"/>
          <w:sz w:val="24"/>
        </w:rPr>
        <w:t>Overall survival</w:t>
      </w:r>
    </w:p>
    <w:p>
      <w:pPr>
        <w:jc w:val="both"/>
      </w:pPr>
      <w:r>
        <w:rPr>
          <w:rFonts w:ascii="Arial" w:hAnsi="Arial" w:eastAsia="Arial"/>
          <w:b w:val="0"/>
          <w:i w:val="0"/>
          <w:sz w:val="24"/>
        </w:rPr>
        <w:t>For overall survival (multivariable-adjusted HRs), the pooled HR was 1.76 (95% CI 1.06-2.91; P = 0.029; 2 studies; I² = 50%; tau² = 0.073). For overall survival (unadjusted or derived HRs), the pooled HR was 1.23 (95% CI 0.66-2.28; P = 0.519; 4 studies; I² = 90%; tau² = 0.342). The unadjusted pool combined three estimates above 1 with one HR below 1 derived from a log-rank P value in a 100-patient follow-up subset;</w:t>
      </w:r>
      <w:r>
        <w:rPr>
          <w:rFonts w:ascii="Arial" w:hAnsi="Arial" w:eastAsia="Arial"/>
          <w:b w:val="0"/>
          <w:i w:val="0"/>
          <w:sz w:val="24"/>
          <w:vertAlign w:val="superscript"/>
        </w:rPr>
        <w:t>12,25</w:t>
      </w:r>
      <w:r>
        <w:rPr>
          <w:rFonts w:ascii="Arial" w:hAnsi="Arial" w:eastAsia="Arial"/>
          <w:b w:val="0"/>
          <w:i w:val="0"/>
          <w:sz w:val="24"/>
        </w:rPr>
        <w:t xml:space="preserve"> the largest cohort reported no independent effect after adjustment but did not report the adjusted HR.</w:t>
      </w:r>
      <w:r>
        <w:rPr>
          <w:rFonts w:ascii="Arial" w:hAnsi="Arial" w:eastAsia="Arial"/>
          <w:b w:val="0"/>
          <w:i w:val="0"/>
          <w:sz w:val="24"/>
          <w:vertAlign w:val="superscript"/>
        </w:rPr>
        <w:t>19</w:t>
      </w:r>
    </w:p>
    <w:p>
      <w:pPr>
        <w:jc w:val="center"/>
      </w:pPr>
      <w:r>
        <w:drawing>
          <wp:inline xmlns:a="http://schemas.openxmlformats.org/drawingml/2006/main" xmlns:pic="http://schemas.openxmlformats.org/drawingml/2006/picture">
            <wp:extent cx="5760000" cy="5082353"/>
            <wp:docPr id="5" name="Picture 5"/>
            <wp:cNvGraphicFramePr>
              <a:graphicFrameLocks noChangeAspect="1"/>
            </wp:cNvGraphicFramePr>
            <a:graphic>
              <a:graphicData uri="http://schemas.openxmlformats.org/drawingml/2006/picture">
                <pic:pic>
                  <pic:nvPicPr>
                    <pic:cNvPr id="0" name="Figure4_OS_forest.png"/>
                    <pic:cNvPicPr/>
                  </pic:nvPicPr>
                  <pic:blipFill>
                    <a:blip r:embed="rId13"/>
                    <a:stretch>
                      <a:fillRect/>
                    </a:stretch>
                  </pic:blipFill>
                  <pic:spPr>
                    <a:xfrm>
                      <a:off x="0" y="0"/>
                      <a:ext cx="5760000" cy="5082353"/>
                    </a:xfrm>
                    <a:prstGeom prst="rect"/>
                  </pic:spPr>
                </pic:pic>
              </a:graphicData>
            </a:graphic>
          </wp:inline>
        </w:drawing>
      </w:r>
    </w:p>
    <w:p>
      <w:r>
        <w:rPr>
          <w:rFonts w:ascii="Arial" w:hAnsi="Arial" w:eastAsia="Arial"/>
          <w:b/>
          <w:i w:val="0"/>
          <w:sz w:val="22"/>
        </w:rPr>
        <w:t>Figure 4.</w:t>
      </w:r>
      <w:r>
        <w:rPr>
          <w:rFonts w:ascii="Arial" w:hAnsi="Arial" w:eastAsia="Arial"/>
          <w:b w:val="0"/>
          <w:i w:val="0"/>
          <w:sz w:val="22"/>
        </w:rPr>
        <w:t xml:space="preserve"> Overall survival in SACC versus NSACC. Hazard ratios with 95% CI; multivariable-adjusted and unadjusted/derived estimates are pooled separately. Source column: P1, adjusted HR reported; P2, unadjusted HR reported; P3, derived from survival statistics; P4, reconstructed from Kaplan-Meier curves.</w:t>
      </w:r>
    </w:p>
    <w:p>
      <w:r>
        <w:rPr>
          <w:rFonts w:ascii="Arial" w:hAnsi="Arial" w:eastAsia="Arial"/>
          <w:b/>
          <w:i w:val="0"/>
          <w:sz w:val="24"/>
        </w:rPr>
        <w:t>Disease-free and recurrence-free survival</w:t>
      </w:r>
    </w:p>
    <w:p>
      <w:pPr>
        <w:jc w:val="both"/>
      </w:pPr>
      <w:r>
        <w:rPr>
          <w:rFonts w:ascii="Arial" w:hAnsi="Arial" w:eastAsia="Arial"/>
          <w:b w:val="0"/>
          <w:i w:val="0"/>
          <w:sz w:val="24"/>
        </w:rPr>
        <w:t>For disease-free survival (adjusted), the pooled HR was 1.32 (95% CI 0.81-2.15; P = 0.267; 2 studies; I² = 47%; tau² = 0.063). For disease-free survival (unadjusted), the pooled HR was 1.62 (95% CI 1.33-1.97; P &lt; 0.001; 2 studies; I² = 0%; tau² = 0.000). Both cohorts showed shorter disease-free survival in SACC before adjustment and attenuated, non-significant HRs after adjustment.</w:t>
      </w:r>
      <w:r>
        <w:rPr>
          <w:rFonts w:ascii="Arial" w:hAnsi="Arial" w:eastAsia="Arial"/>
          <w:b w:val="0"/>
          <w:i w:val="0"/>
          <w:sz w:val="24"/>
          <w:vertAlign w:val="superscript"/>
        </w:rPr>
        <w:t>18,19</w:t>
      </w:r>
    </w:p>
    <w:p>
      <w:pPr>
        <w:jc w:val="center"/>
      </w:pPr>
      <w:r>
        <w:drawing>
          <wp:inline xmlns:a="http://schemas.openxmlformats.org/drawingml/2006/main" xmlns:pic="http://schemas.openxmlformats.org/drawingml/2006/picture">
            <wp:extent cx="5760000" cy="4608000"/>
            <wp:docPr id="6" name="Picture 6"/>
            <wp:cNvGraphicFramePr>
              <a:graphicFrameLocks noChangeAspect="1"/>
            </wp:cNvGraphicFramePr>
            <a:graphic>
              <a:graphicData uri="http://schemas.openxmlformats.org/drawingml/2006/picture">
                <pic:pic>
                  <pic:nvPicPr>
                    <pic:cNvPr id="0" name="Figure5_DFS_forest.png"/>
                    <pic:cNvPicPr/>
                  </pic:nvPicPr>
                  <pic:blipFill>
                    <a:blip r:embed="rId14"/>
                    <a:stretch>
                      <a:fillRect/>
                    </a:stretch>
                  </pic:blipFill>
                  <pic:spPr>
                    <a:xfrm>
                      <a:off x="0" y="0"/>
                      <a:ext cx="5760000" cy="4608000"/>
                    </a:xfrm>
                    <a:prstGeom prst="rect"/>
                  </pic:spPr>
                </pic:pic>
              </a:graphicData>
            </a:graphic>
          </wp:inline>
        </w:drawing>
      </w:r>
    </w:p>
    <w:p>
      <w:r>
        <w:rPr>
          <w:rFonts w:ascii="Arial" w:hAnsi="Arial" w:eastAsia="Arial"/>
          <w:b/>
          <w:i w:val="0"/>
          <w:sz w:val="22"/>
        </w:rPr>
        <w:t>Figure 5.</w:t>
      </w:r>
      <w:r>
        <w:rPr>
          <w:rFonts w:ascii="Arial" w:hAnsi="Arial" w:eastAsia="Arial"/>
          <w:b w:val="0"/>
          <w:i w:val="0"/>
          <w:sz w:val="22"/>
        </w:rPr>
        <w:t xml:space="preserve"> Disease-free/recurrence-free survival in SACC versus NSACC (hazard ratios, random effects).</w:t>
      </w:r>
    </w:p>
    <w:p>
      <w:r>
        <w:rPr>
          <w:rFonts w:ascii="Arial" w:hAnsi="Arial" w:eastAsia="Arial"/>
          <w:b/>
          <w:i w:val="0"/>
          <w:sz w:val="24"/>
        </w:rPr>
        <w:t>Within-SACC prognostic factors</w:t>
      </w:r>
    </w:p>
    <w:p>
      <w:pPr>
        <w:jc w:val="both"/>
      </w:pPr>
      <w:r>
        <w:rPr>
          <w:rFonts w:ascii="Arial" w:hAnsi="Arial" w:eastAsia="Arial"/>
          <w:b w:val="0"/>
          <w:i w:val="0"/>
          <w:sz w:val="24"/>
        </w:rPr>
        <w:t>Within SACC, the conventional factors remained prognostic: nodal metastasis predicted overall survival in two cohorts (pooled adjusted HR 2.59 (95% CI 1.74-3.86); I² = 0%),</w:t>
      </w:r>
      <w:r>
        <w:rPr>
          <w:rFonts w:ascii="Arial" w:hAnsi="Arial" w:eastAsia="Arial"/>
          <w:b w:val="0"/>
          <w:i w:val="0"/>
          <w:sz w:val="24"/>
          <w:vertAlign w:val="superscript"/>
        </w:rPr>
        <w:t>19,38</w:t>
      </w:r>
      <w:r>
        <w:rPr>
          <w:rFonts w:ascii="Arial" w:hAnsi="Arial" w:eastAsia="Arial"/>
          <w:b w:val="0"/>
          <w:i w:val="0"/>
          <w:sz w:val="24"/>
        </w:rPr>
        <w:t xml:space="preserve"> as did distant metastasis, BRAF mutation, and tumour budding in the largest cohort.</w:t>
      </w:r>
      <w:r>
        <w:rPr>
          <w:rFonts w:ascii="Arial" w:hAnsi="Arial" w:eastAsia="Arial"/>
          <w:b w:val="0"/>
          <w:i w:val="0"/>
          <w:sz w:val="24"/>
          <w:vertAlign w:val="superscript"/>
        </w:rPr>
        <w:t>19</w:t>
      </w:r>
      <w:r>
        <w:rPr>
          <w:rFonts w:ascii="Arial" w:hAnsi="Arial" w:eastAsia="Arial"/>
          <w:b w:val="0"/>
          <w:i w:val="0"/>
          <w:sz w:val="24"/>
        </w:rPr>
        <w:t xml:space="preserve"> Schistosomiasis-specific features were examined only in the SACC-only cohort from the main Zhongshan campus (172 patients):</w:t>
      </w:r>
      <w:r>
        <w:rPr>
          <w:rFonts w:ascii="Arial" w:hAnsi="Arial" w:eastAsia="Arial"/>
          <w:b w:val="0"/>
          <w:i w:val="0"/>
          <w:sz w:val="24"/>
          <w:vertAlign w:val="superscript"/>
        </w:rPr>
        <w:t>42</w:t>
      </w:r>
      <w:r>
        <w:rPr>
          <w:rFonts w:ascii="Arial" w:hAnsi="Arial" w:eastAsia="Arial"/>
          <w:b w:val="0"/>
          <w:i w:val="0"/>
          <w:sz w:val="24"/>
        </w:rPr>
        <w:t xml:space="preserve"> in stage III disease, schistosome eggs in regional lymph nodes were associated with shorter disease-free survival (adjusted HR 3.00, 95% CI 1.37-6.59) and coexisting hepatic schistosomiasis with shorter disease-free (adjusted HR 3.95, 1.75-8.92) and overall survival (adjusted HR 4.97, 1.84-13.43); deep (muscularis or full-thickness) egg deposition was associated with disease-free survival in univariable analysis only. c-MYC amplification (adjusted HR 1.86, 1.01-3.42) and high intratumoural CD8 density (adjusted HR 0.52, 0.30-0.90) were prognostic in the Qingpu SACC subgroup.</w:t>
      </w:r>
      <w:r>
        <w:rPr>
          <w:rFonts w:ascii="Arial" w:hAnsi="Arial" w:eastAsia="Arial"/>
          <w:b w:val="0"/>
          <w:i w:val="0"/>
          <w:sz w:val="24"/>
          <w:vertAlign w:val="superscript"/>
        </w:rPr>
        <w:t>37,38</w:t>
      </w:r>
      <w:r>
        <w:rPr>
          <w:rFonts w:ascii="Arial" w:hAnsi="Arial" w:eastAsia="Arial"/>
          <w:b w:val="0"/>
          <w:i w:val="0"/>
          <w:sz w:val="24"/>
        </w:rPr>
        <w:t xml:space="preserve"> A West China cohort of 74 SACC on egg deposition site could not be retrieved.</w:t>
      </w:r>
      <w:r>
        <w:rPr>
          <w:rFonts w:ascii="Arial" w:hAnsi="Arial" w:eastAsia="Arial"/>
          <w:b w:val="0"/>
          <w:i w:val="0"/>
          <w:sz w:val="24"/>
          <w:vertAlign w:val="superscript"/>
        </w:rPr>
        <w:t>44</w:t>
      </w:r>
      <w:r>
        <w:rPr>
          <w:rFonts w:ascii="Arial" w:hAnsi="Arial" w:eastAsia="Arial"/>
          <w:b w:val="0"/>
          <w:i w:val="0"/>
          <w:sz w:val="24"/>
        </w:rPr>
        <w:t xml:space="preserve"> With these exceptions, none of the within-SACC factors could be pooled (Table 5).</w:t>
      </w:r>
    </w:p>
    <w:p>
      <w:pPr>
        <w:sectPr>
          <w:pgSz w:w="12240" w:h="15840"/>
          <w:pgMar w:top="1440" w:right="1440" w:bottom="1440" w:left="1440" w:header="720" w:footer="720" w:gutter="0"/>
          <w:cols w:space="720"/>
          <w:docGrid w:linePitch="360"/>
        </w:sectPr>
      </w:pPr>
    </w:p>
    <w:p>
      <w:r>
        <w:rPr>
          <w:rFonts w:ascii="Arial" w:hAnsi="Arial" w:eastAsia="Arial"/>
          <w:b/>
          <w:i w:val="0"/>
          <w:sz w:val="22"/>
        </w:rPr>
        <w:t>Table 5.</w:t>
      </w:r>
      <w:r>
        <w:rPr>
          <w:rFonts w:ascii="Arial" w:hAnsi="Arial" w:eastAsia="Arial"/>
          <w:b w:val="0"/>
          <w:i w:val="0"/>
          <w:sz w:val="22"/>
        </w:rPr>
        <w:t xml:space="preserve"> Within-SACC prognostic factors</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c>
          <w:tcPr>
            <w:tcW w:type="dxa" w:w="1620"/>
            <w:shd w:val="clear" w:color="auto" w:fill="DCE6F1"/>
          </w:tcPr>
          <w:p>
            <w:r/>
            <w:r>
              <w:rPr>
                <w:rFonts w:ascii="Arial" w:hAnsi="Arial" w:eastAsia="Arial"/>
                <w:b/>
                <w:i w:val="0"/>
                <w:sz w:val="13"/>
              </w:rPr>
              <w:t>Factor</w:t>
            </w:r>
          </w:p>
        </w:tc>
        <w:tc>
          <w:tcPr>
            <w:tcW w:type="dxa" w:w="1620"/>
            <w:shd w:val="clear" w:color="auto" w:fill="DCE6F1"/>
          </w:tcPr>
          <w:p>
            <w:r/>
            <w:r>
              <w:rPr>
                <w:rFonts w:ascii="Arial" w:hAnsi="Arial" w:eastAsia="Arial"/>
                <w:b/>
                <w:i w:val="0"/>
                <w:sz w:val="13"/>
              </w:rPr>
              <w:t>Study</w:t>
            </w:r>
          </w:p>
        </w:tc>
        <w:tc>
          <w:tcPr>
            <w:tcW w:type="dxa" w:w="1620"/>
            <w:shd w:val="clear" w:color="auto" w:fill="DCE6F1"/>
          </w:tcPr>
          <w:p>
            <w:r/>
            <w:r>
              <w:rPr>
                <w:rFonts w:ascii="Arial" w:hAnsi="Arial" w:eastAsia="Arial"/>
                <w:b/>
                <w:i w:val="0"/>
                <w:sz w:val="13"/>
              </w:rPr>
              <w:t>Comparison</w:t>
            </w:r>
          </w:p>
        </w:tc>
        <w:tc>
          <w:tcPr>
            <w:tcW w:type="dxa" w:w="1620"/>
            <w:shd w:val="clear" w:color="auto" w:fill="DCE6F1"/>
          </w:tcPr>
          <w:p>
            <w:r/>
            <w:r>
              <w:rPr>
                <w:rFonts w:ascii="Arial" w:hAnsi="Arial" w:eastAsia="Arial"/>
                <w:b/>
                <w:i w:val="0"/>
                <w:sz w:val="13"/>
              </w:rPr>
              <w:t>Outcome</w:t>
            </w:r>
          </w:p>
        </w:tc>
        <w:tc>
          <w:tcPr>
            <w:tcW w:type="dxa" w:w="1620"/>
            <w:shd w:val="clear" w:color="auto" w:fill="DCE6F1"/>
          </w:tcPr>
          <w:p>
            <w:r/>
            <w:r>
              <w:rPr>
                <w:rFonts w:ascii="Arial" w:hAnsi="Arial" w:eastAsia="Arial"/>
                <w:b/>
                <w:i w:val="0"/>
                <w:sz w:val="13"/>
              </w:rPr>
              <w:t>HR (95% CI)</w:t>
            </w:r>
          </w:p>
        </w:tc>
        <w:tc>
          <w:tcPr>
            <w:tcW w:type="dxa" w:w="1620"/>
            <w:shd w:val="clear" w:color="auto" w:fill="DCE6F1"/>
          </w:tcPr>
          <w:p>
            <w:r/>
            <w:r>
              <w:rPr>
                <w:rFonts w:ascii="Arial" w:hAnsi="Arial" w:eastAsia="Arial"/>
                <w:b/>
                <w:i w:val="0"/>
                <w:sz w:val="13"/>
              </w:rPr>
              <w:t>Model</w:t>
            </w:r>
          </w:p>
        </w:tc>
        <w:tc>
          <w:tcPr>
            <w:tcW w:type="dxa" w:w="1620"/>
            <w:shd w:val="clear" w:color="auto" w:fill="DCE6F1"/>
          </w:tcPr>
          <w:p>
            <w:r/>
            <w:r>
              <w:rPr>
                <w:rFonts w:ascii="Arial" w:hAnsi="Arial" w:eastAsia="Arial"/>
                <w:b/>
                <w:i w:val="0"/>
                <w:sz w:val="13"/>
              </w:rPr>
              <w:t>Adjusted for</w:t>
            </w:r>
          </w:p>
        </w:tc>
        <w:tc>
          <w:tcPr>
            <w:tcW w:type="dxa" w:w="1620"/>
            <w:shd w:val="clear" w:color="auto" w:fill="DCE6F1"/>
          </w:tcPr>
          <w:p>
            <w:r/>
            <w:r>
              <w:rPr>
                <w:rFonts w:ascii="Arial" w:hAnsi="Arial" w:eastAsia="Arial"/>
                <w:b/>
                <w:i w:val="0"/>
                <w:sz w:val="13"/>
              </w:rPr>
              <w:t>SACC n</w:t>
            </w:r>
          </w:p>
        </w:tc>
      </w:tr>
      <w:tr>
        <w:tc>
          <w:tcPr>
            <w:tcW w:type="dxa" w:w="1620"/>
          </w:tcPr>
          <w:p>
            <w:pPr>
              <w:spacing w:after="0"/>
            </w:pPr>
            <w:r/>
            <w:r>
              <w:rPr>
                <w:rFonts w:ascii="Arial" w:hAnsi="Arial" w:eastAsia="Arial"/>
                <w:b w:val="0"/>
                <w:i w:val="0"/>
                <w:sz w:val="13"/>
              </w:rPr>
              <w:t>eggs in lymph nodes stageIII</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eggs present vs absent in regional LNs (stage III)</w:t>
            </w:r>
          </w:p>
        </w:tc>
        <w:tc>
          <w:tcPr>
            <w:tcW w:type="dxa" w:w="1620"/>
          </w:tcPr>
          <w:p>
            <w:pPr>
              <w:spacing w:after="0"/>
            </w:pPr>
            <w:r/>
            <w:r>
              <w:rPr>
                <w:rFonts w:ascii="Arial" w:hAnsi="Arial" w:eastAsia="Arial"/>
                <w:b w:val="0"/>
                <w:i w:val="0"/>
                <w:sz w:val="13"/>
              </w:rPr>
              <w:t>DFS</w:t>
            </w:r>
          </w:p>
        </w:tc>
        <w:tc>
          <w:tcPr>
            <w:tcW w:type="dxa" w:w="1620"/>
          </w:tcPr>
          <w:p>
            <w:pPr>
              <w:spacing w:after="0"/>
            </w:pPr>
            <w:r/>
            <w:r>
              <w:rPr>
                <w:rFonts w:ascii="Arial" w:hAnsi="Arial" w:eastAsia="Arial"/>
                <w:b w:val="0"/>
                <w:i w:val="0"/>
                <w:sz w:val="13"/>
              </w:rPr>
              <w:t>3.0 (1.365-6.592)</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Perineural invasion, hepatic schistosomiasis</w:t>
            </w:r>
          </w:p>
        </w:tc>
        <w:tc>
          <w:tcPr>
            <w:tcW w:type="dxa" w:w="1620"/>
          </w:tcPr>
          <w:p>
            <w:pPr>
              <w:spacing w:after="0"/>
            </w:pPr>
            <w:r/>
            <w:r>
              <w:rPr>
                <w:rFonts w:ascii="Arial" w:hAnsi="Arial" w:eastAsia="Arial"/>
                <w:b w:val="0"/>
                <w:i w:val="0"/>
                <w:sz w:val="13"/>
              </w:rPr>
              <w:t>62</w:t>
            </w:r>
          </w:p>
        </w:tc>
      </w:tr>
      <w:tr>
        <w:tc>
          <w:tcPr>
            <w:tcW w:type="dxa" w:w="1620"/>
          </w:tcPr>
          <w:p>
            <w:pPr>
              <w:spacing w:after="0"/>
            </w:pPr>
            <w:r/>
            <w:r>
              <w:rPr>
                <w:rFonts w:ascii="Arial" w:hAnsi="Arial" w:eastAsia="Arial"/>
                <w:b w:val="0"/>
                <w:i w:val="0"/>
                <w:sz w:val="13"/>
              </w:rPr>
              <w:t>eggs in lymph nodes stageIII</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eggs present vs absent in regional LNs (stage III)</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2.396 (0.957-6.0)</w:t>
            </w:r>
          </w:p>
        </w:tc>
        <w:tc>
          <w:tcPr>
            <w:tcW w:type="dxa" w:w="1620"/>
          </w:tcPr>
          <w:p>
            <w:pPr>
              <w:spacing w:after="0"/>
            </w:pPr>
            <w:r/>
            <w:r>
              <w:rPr>
                <w:rFonts w:ascii="Arial" w:hAnsi="Arial" w:eastAsia="Arial"/>
                <w:b w:val="0"/>
                <w:i w:val="0"/>
                <w:sz w:val="13"/>
              </w:rPr>
              <w:t>Univariable</w:t>
            </w:r>
          </w:p>
        </w:tc>
        <w:tc>
          <w:tcPr>
            <w:tcW w:type="dxa" w:w="1620"/>
          </w:tcPr>
          <w:p>
            <w:pPr>
              <w:spacing w:after="0"/>
            </w:pPr>
            <w:r/>
            <w:r>
              <w:rPr>
                <w:rFonts w:ascii="Arial" w:hAnsi="Arial" w:eastAsia="Arial"/>
                <w:b w:val="0"/>
                <w:i w:val="0"/>
                <w:sz w:val="13"/>
              </w:rPr>
              <w:t>-</w:t>
            </w:r>
          </w:p>
        </w:tc>
        <w:tc>
          <w:tcPr>
            <w:tcW w:type="dxa" w:w="1620"/>
          </w:tcPr>
          <w:p>
            <w:pPr>
              <w:spacing w:after="0"/>
            </w:pPr>
            <w:r/>
            <w:r>
              <w:rPr>
                <w:rFonts w:ascii="Arial" w:hAnsi="Arial" w:eastAsia="Arial"/>
                <w:b w:val="0"/>
                <w:i w:val="0"/>
                <w:sz w:val="13"/>
              </w:rPr>
              <w:t>62</w:t>
            </w:r>
          </w:p>
        </w:tc>
      </w:tr>
      <w:tr>
        <w:tc>
          <w:tcPr>
            <w:tcW w:type="dxa" w:w="1620"/>
          </w:tcPr>
          <w:p>
            <w:pPr>
              <w:spacing w:after="0"/>
            </w:pPr>
            <w:r/>
            <w:r>
              <w:rPr>
                <w:rFonts w:ascii="Arial" w:hAnsi="Arial" w:eastAsia="Arial"/>
                <w:b w:val="0"/>
                <w:i w:val="0"/>
                <w:sz w:val="13"/>
              </w:rPr>
              <w:t>eggs in lymph nodes</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eggs present vs absent in regional LNs (all stages)</w:t>
            </w:r>
          </w:p>
        </w:tc>
        <w:tc>
          <w:tcPr>
            <w:tcW w:type="dxa" w:w="1620"/>
          </w:tcPr>
          <w:p>
            <w:pPr>
              <w:spacing w:after="0"/>
            </w:pPr>
            <w:r/>
            <w:r>
              <w:rPr>
                <w:rFonts w:ascii="Arial" w:hAnsi="Arial" w:eastAsia="Arial"/>
                <w:b w:val="0"/>
                <w:i w:val="0"/>
                <w:sz w:val="13"/>
              </w:rPr>
              <w:t>DFS</w:t>
            </w:r>
          </w:p>
        </w:tc>
        <w:tc>
          <w:tcPr>
            <w:tcW w:type="dxa" w:w="1620"/>
          </w:tcPr>
          <w:p>
            <w:pPr>
              <w:spacing w:after="0"/>
            </w:pPr>
            <w:r/>
            <w:r>
              <w:rPr>
                <w:rFonts w:ascii="Arial" w:hAnsi="Arial" w:eastAsia="Arial"/>
                <w:b w:val="0"/>
                <w:i w:val="0"/>
                <w:sz w:val="13"/>
              </w:rPr>
              <w:t>1.423 (0.814-2.49)</w:t>
            </w:r>
          </w:p>
        </w:tc>
        <w:tc>
          <w:tcPr>
            <w:tcW w:type="dxa" w:w="1620"/>
          </w:tcPr>
          <w:p>
            <w:pPr>
              <w:spacing w:after="0"/>
            </w:pPr>
            <w:r/>
            <w:r>
              <w:rPr>
                <w:rFonts w:ascii="Arial" w:hAnsi="Arial" w:eastAsia="Arial"/>
                <w:b w:val="0"/>
                <w:i w:val="0"/>
                <w:sz w:val="13"/>
              </w:rPr>
              <w:t>Univariable</w:t>
            </w:r>
          </w:p>
        </w:tc>
        <w:tc>
          <w:tcPr>
            <w:tcW w:type="dxa" w:w="1620"/>
          </w:tcPr>
          <w:p>
            <w:pPr>
              <w:spacing w:after="0"/>
            </w:pPr>
            <w:r/>
            <w:r>
              <w:rPr>
                <w:rFonts w:ascii="Arial" w:hAnsi="Arial" w:eastAsia="Arial"/>
                <w:b w:val="0"/>
                <w:i w:val="0"/>
                <w:sz w:val="13"/>
              </w:rPr>
              <w:t>-</w:t>
            </w:r>
          </w:p>
        </w:tc>
        <w:tc>
          <w:tcPr>
            <w:tcW w:type="dxa" w:w="1620"/>
          </w:tcPr>
          <w:p>
            <w:pPr>
              <w:spacing w:after="0"/>
            </w:pPr>
            <w:r/>
            <w:r>
              <w:rPr>
                <w:rFonts w:ascii="Arial" w:hAnsi="Arial" w:eastAsia="Arial"/>
                <w:b w:val="0"/>
                <w:i w:val="0"/>
                <w:sz w:val="13"/>
              </w:rPr>
              <w:t>172</w:t>
            </w:r>
          </w:p>
        </w:tc>
      </w:tr>
      <w:tr>
        <w:tc>
          <w:tcPr>
            <w:tcW w:type="dxa" w:w="1620"/>
          </w:tcPr>
          <w:p>
            <w:pPr>
              <w:spacing w:after="0"/>
            </w:pPr>
            <w:r/>
            <w:r>
              <w:rPr>
                <w:rFonts w:ascii="Arial" w:hAnsi="Arial" w:eastAsia="Arial"/>
                <w:b w:val="0"/>
                <w:i w:val="0"/>
                <w:sz w:val="13"/>
              </w:rPr>
              <w:t>hepatic schistosomiasis stageIII</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present vs absent (imaging), stage III</w:t>
            </w:r>
          </w:p>
        </w:tc>
        <w:tc>
          <w:tcPr>
            <w:tcW w:type="dxa" w:w="1620"/>
          </w:tcPr>
          <w:p>
            <w:pPr>
              <w:spacing w:after="0"/>
            </w:pPr>
            <w:r/>
            <w:r>
              <w:rPr>
                <w:rFonts w:ascii="Arial" w:hAnsi="Arial" w:eastAsia="Arial"/>
                <w:b w:val="0"/>
                <w:i w:val="0"/>
                <w:sz w:val="13"/>
              </w:rPr>
              <w:t>DFS</w:t>
            </w:r>
          </w:p>
        </w:tc>
        <w:tc>
          <w:tcPr>
            <w:tcW w:type="dxa" w:w="1620"/>
          </w:tcPr>
          <w:p>
            <w:pPr>
              <w:spacing w:after="0"/>
            </w:pPr>
            <w:r/>
            <w:r>
              <w:rPr>
                <w:rFonts w:ascii="Arial" w:hAnsi="Arial" w:eastAsia="Arial"/>
                <w:b w:val="0"/>
                <w:i w:val="0"/>
                <w:sz w:val="13"/>
              </w:rPr>
              <w:t>3.948 (1.748-8.917)</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Perineural invasion</w:t>
            </w:r>
          </w:p>
        </w:tc>
        <w:tc>
          <w:tcPr>
            <w:tcW w:type="dxa" w:w="1620"/>
          </w:tcPr>
          <w:p>
            <w:pPr>
              <w:spacing w:after="0"/>
            </w:pPr>
            <w:r/>
            <w:r>
              <w:rPr>
                <w:rFonts w:ascii="Arial" w:hAnsi="Arial" w:eastAsia="Arial"/>
                <w:b w:val="0"/>
                <w:i w:val="0"/>
                <w:sz w:val="13"/>
              </w:rPr>
              <w:t>62</w:t>
            </w:r>
          </w:p>
        </w:tc>
      </w:tr>
      <w:tr>
        <w:tc>
          <w:tcPr>
            <w:tcW w:type="dxa" w:w="1620"/>
          </w:tcPr>
          <w:p>
            <w:pPr>
              <w:spacing w:after="0"/>
            </w:pPr>
            <w:r/>
            <w:r>
              <w:rPr>
                <w:rFonts w:ascii="Arial" w:hAnsi="Arial" w:eastAsia="Arial"/>
                <w:b w:val="0"/>
                <w:i w:val="0"/>
                <w:sz w:val="13"/>
              </w:rPr>
              <w:t>hepatic schistosomiasis stageIII</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present vs absent (imaging), stage III</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4.967 (1.836-13.432)</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Perineural invasion</w:t>
            </w:r>
          </w:p>
        </w:tc>
        <w:tc>
          <w:tcPr>
            <w:tcW w:type="dxa" w:w="1620"/>
          </w:tcPr>
          <w:p>
            <w:pPr>
              <w:spacing w:after="0"/>
            </w:pPr>
            <w:r/>
            <w:r>
              <w:rPr>
                <w:rFonts w:ascii="Arial" w:hAnsi="Arial" w:eastAsia="Arial"/>
                <w:b w:val="0"/>
                <w:i w:val="0"/>
                <w:sz w:val="13"/>
              </w:rPr>
              <w:t>62</w:t>
            </w:r>
          </w:p>
        </w:tc>
      </w:tr>
      <w:tr>
        <w:tc>
          <w:tcPr>
            <w:tcW w:type="dxa" w:w="1620"/>
          </w:tcPr>
          <w:p>
            <w:pPr>
              <w:spacing w:after="0"/>
            </w:pPr>
            <w:r/>
            <w:r>
              <w:rPr>
                <w:rFonts w:ascii="Arial" w:hAnsi="Arial" w:eastAsia="Arial"/>
                <w:b w:val="0"/>
                <w:i w:val="0"/>
                <w:sz w:val="13"/>
              </w:rPr>
              <w:t>egg deposition deep</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eggs in muscularis propria/full thickness (PS2) vs mucosa only (PS1)</w:t>
            </w:r>
          </w:p>
        </w:tc>
        <w:tc>
          <w:tcPr>
            <w:tcW w:type="dxa" w:w="1620"/>
          </w:tcPr>
          <w:p>
            <w:pPr>
              <w:spacing w:after="0"/>
            </w:pPr>
            <w:r/>
            <w:r>
              <w:rPr>
                <w:rFonts w:ascii="Arial" w:hAnsi="Arial" w:eastAsia="Arial"/>
                <w:b w:val="0"/>
                <w:i w:val="0"/>
                <w:sz w:val="13"/>
              </w:rPr>
              <w:t>DFS</w:t>
            </w:r>
          </w:p>
        </w:tc>
        <w:tc>
          <w:tcPr>
            <w:tcW w:type="dxa" w:w="1620"/>
          </w:tcPr>
          <w:p>
            <w:pPr>
              <w:spacing w:after="0"/>
            </w:pPr>
            <w:r/>
            <w:r>
              <w:rPr>
                <w:rFonts w:ascii="Arial" w:hAnsi="Arial" w:eastAsia="Arial"/>
                <w:b w:val="0"/>
                <w:i w:val="0"/>
                <w:sz w:val="13"/>
              </w:rPr>
              <w:t>1.857 (1.048-3.289)</w:t>
            </w:r>
          </w:p>
        </w:tc>
        <w:tc>
          <w:tcPr>
            <w:tcW w:type="dxa" w:w="1620"/>
          </w:tcPr>
          <w:p>
            <w:pPr>
              <w:spacing w:after="0"/>
            </w:pPr>
            <w:r/>
            <w:r>
              <w:rPr>
                <w:rFonts w:ascii="Arial" w:hAnsi="Arial" w:eastAsia="Arial"/>
                <w:b w:val="0"/>
                <w:i w:val="0"/>
                <w:sz w:val="13"/>
              </w:rPr>
              <w:t>Univariable</w:t>
            </w:r>
          </w:p>
        </w:tc>
        <w:tc>
          <w:tcPr>
            <w:tcW w:type="dxa" w:w="1620"/>
          </w:tcPr>
          <w:p>
            <w:pPr>
              <w:spacing w:after="0"/>
            </w:pPr>
            <w:r/>
            <w:r>
              <w:rPr>
                <w:rFonts w:ascii="Arial" w:hAnsi="Arial" w:eastAsia="Arial"/>
                <w:b w:val="0"/>
                <w:i w:val="0"/>
                <w:sz w:val="13"/>
              </w:rPr>
              <w:t>-</w:t>
            </w:r>
          </w:p>
        </w:tc>
        <w:tc>
          <w:tcPr>
            <w:tcW w:type="dxa" w:w="1620"/>
          </w:tcPr>
          <w:p>
            <w:pPr>
              <w:spacing w:after="0"/>
            </w:pPr>
            <w:r/>
            <w:r>
              <w:rPr>
                <w:rFonts w:ascii="Arial" w:hAnsi="Arial" w:eastAsia="Arial"/>
                <w:b w:val="0"/>
                <w:i w:val="0"/>
                <w:sz w:val="13"/>
              </w:rPr>
              <w:t>172</w:t>
            </w:r>
          </w:p>
        </w:tc>
      </w:tr>
      <w:tr>
        <w:tc>
          <w:tcPr>
            <w:tcW w:type="dxa" w:w="1620"/>
          </w:tcPr>
          <w:p>
            <w:pPr>
              <w:spacing w:after="0"/>
            </w:pPr>
            <w:r/>
            <w:r>
              <w:rPr>
                <w:rFonts w:ascii="Arial" w:hAnsi="Arial" w:eastAsia="Arial"/>
                <w:b w:val="0"/>
                <w:i w:val="0"/>
                <w:sz w:val="13"/>
              </w:rPr>
              <w:t>egg deposition deep</w:t>
            </w:r>
          </w:p>
        </w:tc>
        <w:tc>
          <w:tcPr>
            <w:tcW w:type="dxa" w:w="1620"/>
          </w:tcPr>
          <w:p>
            <w:pPr>
              <w:spacing w:after="0"/>
            </w:pPr>
            <w:r/>
            <w:r>
              <w:rPr>
                <w:rFonts w:ascii="Arial" w:hAnsi="Arial" w:eastAsia="Arial"/>
                <w:b w:val="0"/>
                <w:i w:val="0"/>
                <w:sz w:val="13"/>
              </w:rPr>
              <w:t>Pan 2023</w:t>
            </w:r>
            <w:r>
              <w:rPr>
                <w:rFonts w:ascii="Arial" w:hAnsi="Arial" w:eastAsia="Arial"/>
                <w:b w:val="0"/>
                <w:i w:val="0"/>
                <w:sz w:val="13"/>
                <w:vertAlign w:val="superscript"/>
              </w:rPr>
              <w:t>42</w:t>
            </w:r>
          </w:p>
        </w:tc>
        <w:tc>
          <w:tcPr>
            <w:tcW w:type="dxa" w:w="1620"/>
          </w:tcPr>
          <w:p>
            <w:pPr>
              <w:spacing w:after="0"/>
            </w:pPr>
            <w:r/>
            <w:r>
              <w:rPr>
                <w:rFonts w:ascii="Arial" w:hAnsi="Arial" w:eastAsia="Arial"/>
                <w:b w:val="0"/>
                <w:i w:val="0"/>
                <w:sz w:val="13"/>
              </w:rPr>
              <w:t>PS2 vs PS1</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1.839 (0.899-3.762)</w:t>
            </w:r>
          </w:p>
        </w:tc>
        <w:tc>
          <w:tcPr>
            <w:tcW w:type="dxa" w:w="1620"/>
          </w:tcPr>
          <w:p>
            <w:pPr>
              <w:spacing w:after="0"/>
            </w:pPr>
            <w:r/>
            <w:r>
              <w:rPr>
                <w:rFonts w:ascii="Arial" w:hAnsi="Arial" w:eastAsia="Arial"/>
                <w:b w:val="0"/>
                <w:i w:val="0"/>
                <w:sz w:val="13"/>
              </w:rPr>
              <w:t>Univariable</w:t>
            </w:r>
          </w:p>
        </w:tc>
        <w:tc>
          <w:tcPr>
            <w:tcW w:type="dxa" w:w="1620"/>
          </w:tcPr>
          <w:p>
            <w:pPr>
              <w:spacing w:after="0"/>
            </w:pPr>
            <w:r/>
            <w:r>
              <w:rPr>
                <w:rFonts w:ascii="Arial" w:hAnsi="Arial" w:eastAsia="Arial"/>
                <w:b w:val="0"/>
                <w:i w:val="0"/>
                <w:sz w:val="13"/>
              </w:rPr>
              <w:t>-</w:t>
            </w:r>
          </w:p>
        </w:tc>
        <w:tc>
          <w:tcPr>
            <w:tcW w:type="dxa" w:w="1620"/>
          </w:tcPr>
          <w:p>
            <w:pPr>
              <w:spacing w:after="0"/>
            </w:pPr>
            <w:r/>
            <w:r>
              <w:rPr>
                <w:rFonts w:ascii="Arial" w:hAnsi="Arial" w:eastAsia="Arial"/>
                <w:b w:val="0"/>
                <w:i w:val="0"/>
                <w:sz w:val="13"/>
              </w:rPr>
              <w:t>172</w:t>
            </w:r>
          </w:p>
        </w:tc>
      </w:tr>
      <w:tr>
        <w:tc>
          <w:tcPr>
            <w:tcW w:type="dxa" w:w="1620"/>
          </w:tcPr>
          <w:p>
            <w:pPr>
              <w:spacing w:after="0"/>
            </w:pPr>
            <w:r/>
            <w:r>
              <w:rPr>
                <w:rFonts w:ascii="Arial" w:hAnsi="Arial" w:eastAsia="Arial"/>
                <w:b w:val="0"/>
                <w:i w:val="0"/>
                <w:sz w:val="13"/>
              </w:rPr>
              <w:t>LN metastasis</w:t>
            </w:r>
          </w:p>
        </w:tc>
        <w:tc>
          <w:tcPr>
            <w:tcW w:type="dxa" w:w="162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620"/>
          </w:tcPr>
          <w:p>
            <w:pPr>
              <w:spacing w:after="0"/>
            </w:pPr>
            <w:r/>
            <w:r>
              <w:rPr>
                <w:rFonts w:ascii="Arial" w:hAnsi="Arial" w:eastAsia="Arial"/>
                <w:b w:val="0"/>
                <w:i w:val="0"/>
                <w:sz w:val="13"/>
              </w:rPr>
              <w:t>pN1-2 vs pN0</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2.467 (1.383-4.401)</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(stepwise)</w:t>
            </w:r>
          </w:p>
        </w:tc>
        <w:tc>
          <w:tcPr>
            <w:tcW w:type="dxa" w:w="1620"/>
          </w:tcPr>
          <w:p>
            <w:pPr>
              <w:spacing w:after="0"/>
            </w:pPr>
            <w:r/>
            <w:r>
              <w:rPr>
                <w:rFonts w:ascii="Arial" w:hAnsi="Arial" w:eastAsia="Arial"/>
                <w:b w:val="0"/>
                <w:i w:val="0"/>
                <w:sz w:val="13"/>
              </w:rPr>
              <w:t>808</w:t>
            </w:r>
          </w:p>
        </w:tc>
      </w:tr>
      <w:tr>
        <w:tc>
          <w:tcPr>
            <w:tcW w:type="dxa" w:w="1620"/>
          </w:tcPr>
          <w:p>
            <w:pPr>
              <w:spacing w:after="0"/>
            </w:pPr>
            <w:r/>
            <w:r>
              <w:rPr>
                <w:rFonts w:ascii="Arial" w:hAnsi="Arial" w:eastAsia="Arial"/>
                <w:b w:val="0"/>
                <w:i w:val="0"/>
                <w:sz w:val="13"/>
              </w:rPr>
              <w:t>distant metastasis</w:t>
            </w:r>
          </w:p>
        </w:tc>
        <w:tc>
          <w:tcPr>
            <w:tcW w:type="dxa" w:w="162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620"/>
          </w:tcPr>
          <w:p>
            <w:pPr>
              <w:spacing w:after="0"/>
            </w:pPr>
            <w:r/>
            <w:r>
              <w:rPr>
                <w:rFonts w:ascii="Arial" w:hAnsi="Arial" w:eastAsia="Arial"/>
                <w:b w:val="0"/>
                <w:i w:val="0"/>
                <w:sz w:val="13"/>
              </w:rPr>
              <w:t>yes vs no</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4.248 (2.311-7.806)</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(stepwise)</w:t>
            </w:r>
          </w:p>
        </w:tc>
        <w:tc>
          <w:tcPr>
            <w:tcW w:type="dxa" w:w="1620"/>
          </w:tcPr>
          <w:p>
            <w:pPr>
              <w:spacing w:after="0"/>
            </w:pPr>
            <w:r/>
            <w:r>
              <w:rPr>
                <w:rFonts w:ascii="Arial" w:hAnsi="Arial" w:eastAsia="Arial"/>
                <w:b w:val="0"/>
                <w:i w:val="0"/>
                <w:sz w:val="13"/>
              </w:rPr>
              <w:t>808</w:t>
            </w:r>
          </w:p>
        </w:tc>
      </w:tr>
      <w:tr>
        <w:tc>
          <w:tcPr>
            <w:tcW w:type="dxa" w:w="1620"/>
          </w:tcPr>
          <w:p>
            <w:pPr>
              <w:spacing w:after="0"/>
            </w:pPr>
            <w:r/>
            <w:r>
              <w:rPr>
                <w:rFonts w:ascii="Arial" w:hAnsi="Arial" w:eastAsia="Arial"/>
                <w:b w:val="0"/>
                <w:i w:val="0"/>
                <w:sz w:val="13"/>
              </w:rPr>
              <w:t>BRAF mut</w:t>
            </w:r>
          </w:p>
        </w:tc>
        <w:tc>
          <w:tcPr>
            <w:tcW w:type="dxa" w:w="162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620"/>
          </w:tcPr>
          <w:p>
            <w:pPr>
              <w:spacing w:after="0"/>
            </w:pPr>
            <w:r/>
            <w:r>
              <w:rPr>
                <w:rFonts w:ascii="Arial" w:hAnsi="Arial" w:eastAsia="Arial"/>
                <w:b w:val="0"/>
                <w:i w:val="0"/>
                <w:sz w:val="13"/>
              </w:rPr>
              <w:t>mutant vs wild type</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4.033 (1.407-11.559)</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(stepwise)</w:t>
            </w:r>
          </w:p>
        </w:tc>
        <w:tc>
          <w:tcPr>
            <w:tcW w:type="dxa" w:w="1620"/>
          </w:tcPr>
          <w:p>
            <w:pPr>
              <w:spacing w:after="0"/>
            </w:pPr>
            <w:r/>
            <w:r>
              <w:rPr>
                <w:rFonts w:ascii="Arial" w:hAnsi="Arial" w:eastAsia="Arial"/>
                <w:b w:val="0"/>
                <w:i w:val="0"/>
                <w:sz w:val="13"/>
              </w:rPr>
              <w:t>808</w:t>
            </w:r>
          </w:p>
        </w:tc>
      </w:tr>
      <w:tr>
        <w:tc>
          <w:tcPr>
            <w:tcW w:type="dxa" w:w="1620"/>
          </w:tcPr>
          <w:p>
            <w:pPr>
              <w:spacing w:after="0"/>
            </w:pPr>
            <w:r/>
            <w:r>
              <w:rPr>
                <w:rFonts w:ascii="Arial" w:hAnsi="Arial" w:eastAsia="Arial"/>
                <w:b w:val="0"/>
                <w:i w:val="0"/>
                <w:sz w:val="13"/>
              </w:rPr>
              <w:t>BRAF mut</w:t>
            </w:r>
          </w:p>
        </w:tc>
        <w:tc>
          <w:tcPr>
            <w:tcW w:type="dxa" w:w="162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620"/>
          </w:tcPr>
          <w:p>
            <w:pPr>
              <w:spacing w:after="0"/>
            </w:pPr>
            <w:r/>
            <w:r>
              <w:rPr>
                <w:rFonts w:ascii="Arial" w:hAnsi="Arial" w:eastAsia="Arial"/>
                <w:b w:val="0"/>
                <w:i w:val="0"/>
                <w:sz w:val="13"/>
              </w:rPr>
              <w:t>mutant vs wild type</w:t>
            </w:r>
          </w:p>
        </w:tc>
        <w:tc>
          <w:tcPr>
            <w:tcW w:type="dxa" w:w="1620"/>
          </w:tcPr>
          <w:p>
            <w:pPr>
              <w:spacing w:after="0"/>
            </w:pPr>
            <w:r/>
            <w:r>
              <w:rPr>
                <w:rFonts w:ascii="Arial" w:hAnsi="Arial" w:eastAsia="Arial"/>
                <w:b w:val="0"/>
                <w:i w:val="0"/>
                <w:sz w:val="13"/>
              </w:rPr>
              <w:t>DFS</w:t>
            </w:r>
          </w:p>
        </w:tc>
        <w:tc>
          <w:tcPr>
            <w:tcW w:type="dxa" w:w="1620"/>
          </w:tcPr>
          <w:p>
            <w:pPr>
              <w:spacing w:after="0"/>
            </w:pPr>
            <w:r/>
            <w:r>
              <w:rPr>
                <w:rFonts w:ascii="Arial" w:hAnsi="Arial" w:eastAsia="Arial"/>
                <w:b w:val="0"/>
                <w:i w:val="0"/>
                <w:sz w:val="13"/>
              </w:rPr>
              <w:t>4.531 (1.608-12.762)</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(stepwise)</w:t>
            </w:r>
          </w:p>
        </w:tc>
        <w:tc>
          <w:tcPr>
            <w:tcW w:type="dxa" w:w="1620"/>
          </w:tcPr>
          <w:p>
            <w:pPr>
              <w:spacing w:after="0"/>
            </w:pPr>
            <w:r/>
            <w:r>
              <w:rPr>
                <w:rFonts w:ascii="Arial" w:hAnsi="Arial" w:eastAsia="Arial"/>
                <w:b w:val="0"/>
                <w:i w:val="0"/>
                <w:sz w:val="13"/>
              </w:rPr>
              <w:t>808</w:t>
            </w:r>
          </w:p>
        </w:tc>
      </w:tr>
      <w:tr>
        <w:tc>
          <w:tcPr>
            <w:tcW w:type="dxa" w:w="1620"/>
          </w:tcPr>
          <w:p>
            <w:pPr>
              <w:spacing w:after="0"/>
            </w:pPr>
            <w:r/>
            <w:r>
              <w:rPr>
                <w:rFonts w:ascii="Arial" w:hAnsi="Arial" w:eastAsia="Arial"/>
                <w:b w:val="0"/>
                <w:i w:val="0"/>
                <w:sz w:val="13"/>
              </w:rPr>
              <w:t>tumor budding</w:t>
            </w:r>
          </w:p>
        </w:tc>
        <w:tc>
          <w:tcPr>
            <w:tcW w:type="dxa" w:w="162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620"/>
          </w:tcPr>
          <w:p>
            <w:pPr>
              <w:spacing w:after="0"/>
            </w:pPr>
            <w:r/>
            <w:r>
              <w:rPr>
                <w:rFonts w:ascii="Arial" w:hAnsi="Arial" w:eastAsia="Arial"/>
                <w:b w:val="0"/>
                <w:i w:val="0"/>
                <w:sz w:val="13"/>
              </w:rPr>
              <w:t>intermediate/high vs low</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2.217 (1.06-4.635)</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(stepwise)</w:t>
            </w:r>
          </w:p>
        </w:tc>
        <w:tc>
          <w:tcPr>
            <w:tcW w:type="dxa" w:w="1620"/>
          </w:tcPr>
          <w:p>
            <w:pPr>
              <w:spacing w:after="0"/>
            </w:pPr>
            <w:r/>
            <w:r>
              <w:rPr>
                <w:rFonts w:ascii="Arial" w:hAnsi="Arial" w:eastAsia="Arial"/>
                <w:b w:val="0"/>
                <w:i w:val="0"/>
                <w:sz w:val="13"/>
              </w:rPr>
              <w:t>808</w:t>
            </w:r>
          </w:p>
        </w:tc>
      </w:tr>
      <w:tr>
        <w:tc>
          <w:tcPr>
            <w:tcW w:type="dxa" w:w="1620"/>
          </w:tcPr>
          <w:p>
            <w:pPr>
              <w:spacing w:after="0"/>
            </w:pPr>
            <w:r/>
            <w:r>
              <w:rPr>
                <w:rFonts w:ascii="Arial" w:hAnsi="Arial" w:eastAsia="Arial"/>
                <w:b w:val="0"/>
                <w:i w:val="0"/>
                <w:sz w:val="13"/>
              </w:rPr>
              <w:t>CEA elevated</w:t>
            </w:r>
          </w:p>
        </w:tc>
        <w:tc>
          <w:tcPr>
            <w:tcW w:type="dxa" w:w="1620"/>
          </w:tcPr>
          <w:p>
            <w:pPr>
              <w:spacing w:after="0"/>
            </w:pPr>
            <w:r/>
            <w:r>
              <w:rPr>
                <w:rFonts w:ascii="Arial" w:hAnsi="Arial" w:eastAsia="Arial"/>
                <w:b w:val="0"/>
                <w:i w:val="0"/>
                <w:sz w:val="13"/>
              </w:rPr>
              <w:t>Zheng 2023</w:t>
            </w:r>
            <w:r>
              <w:rPr>
                <w:rFonts w:ascii="Arial" w:hAnsi="Arial" w:eastAsia="Arial"/>
                <w:b w:val="0"/>
                <w:i w:val="0"/>
                <w:sz w:val="13"/>
                <w:vertAlign w:val="superscript"/>
              </w:rPr>
              <w:t>19</w:t>
            </w:r>
          </w:p>
        </w:tc>
        <w:tc>
          <w:tcPr>
            <w:tcW w:type="dxa" w:w="1620"/>
          </w:tcPr>
          <w:p>
            <w:pPr>
              <w:spacing w:after="0"/>
            </w:pPr>
            <w:r/>
            <w:r>
              <w:rPr>
                <w:rFonts w:ascii="Arial" w:hAnsi="Arial" w:eastAsia="Arial"/>
                <w:b w:val="0"/>
                <w:i w:val="0"/>
                <w:sz w:val="13"/>
              </w:rPr>
              <w:t>&gt;=5 vs &lt;5 ng/mL</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1.282 (0.646-2.541)</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(stepwise)</w:t>
            </w:r>
          </w:p>
        </w:tc>
        <w:tc>
          <w:tcPr>
            <w:tcW w:type="dxa" w:w="1620"/>
          </w:tcPr>
          <w:p>
            <w:pPr>
              <w:spacing w:after="0"/>
            </w:pPr>
            <w:r/>
            <w:r>
              <w:rPr>
                <w:rFonts w:ascii="Arial" w:hAnsi="Arial" w:eastAsia="Arial"/>
                <w:b w:val="0"/>
                <w:i w:val="0"/>
                <w:sz w:val="13"/>
              </w:rPr>
              <w:t>808</w:t>
            </w:r>
          </w:p>
        </w:tc>
      </w:tr>
      <w:tr>
        <w:tc>
          <w:tcPr>
            <w:tcW w:type="dxa" w:w="1620"/>
          </w:tcPr>
          <w:p>
            <w:pPr>
              <w:spacing w:after="0"/>
            </w:pPr>
            <w:r/>
            <w:r>
              <w:rPr>
                <w:rFonts w:ascii="Arial" w:hAnsi="Arial" w:eastAsia="Arial"/>
                <w:b w:val="0"/>
                <w:i w:val="0"/>
                <w:sz w:val="13"/>
              </w:rPr>
              <w:t>LN metastasis</w:t>
            </w:r>
          </w:p>
        </w:tc>
        <w:tc>
          <w:tcPr>
            <w:tcW w:type="dxa" w:w="1620"/>
          </w:tcPr>
          <w:p>
            <w:pPr>
              <w:spacing w:after="0"/>
            </w:pPr>
            <w:r/>
            <w:r>
              <w:rPr>
                <w:rFonts w:ascii="Arial" w:hAnsi="Arial" w:eastAsia="Arial"/>
                <w:b w:val="0"/>
                <w:i w:val="0"/>
                <w:sz w:val="13"/>
              </w:rPr>
              <w:t>Cheng 2023</w:t>
            </w:r>
            <w:r>
              <w:rPr>
                <w:rFonts w:ascii="Arial" w:hAnsi="Arial" w:eastAsia="Arial"/>
                <w:b w:val="0"/>
                <w:i w:val="0"/>
                <w:sz w:val="13"/>
                <w:vertAlign w:val="superscript"/>
              </w:rPr>
              <w:t>38</w:t>
            </w:r>
          </w:p>
        </w:tc>
        <w:tc>
          <w:tcPr>
            <w:tcW w:type="dxa" w:w="1620"/>
          </w:tcPr>
          <w:p>
            <w:pPr>
              <w:spacing w:after="0"/>
            </w:pPr>
            <w:r/>
            <w:r>
              <w:rPr>
                <w:rFonts w:ascii="Arial" w:hAnsi="Arial" w:eastAsia="Arial"/>
                <w:b w:val="0"/>
                <w:i w:val="0"/>
                <w:sz w:val="13"/>
              </w:rPr>
              <w:t>present vs absent</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2.715 (1.57-4.696)</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Multivariable Cox within SACC (backward stepwise; iCD8, tumour deposit, differentiation, sCD8, age)</w:t>
            </w:r>
          </w:p>
        </w:tc>
        <w:tc>
          <w:tcPr>
            <w:tcW w:type="dxa" w:w="1620"/>
          </w:tcPr>
          <w:p>
            <w:pPr>
              <w:spacing w:after="0"/>
            </w:pPr>
            <w:r/>
            <w:r>
              <w:rPr>
                <w:rFonts w:ascii="Arial" w:hAnsi="Arial" w:eastAsia="Arial"/>
                <w:b w:val="0"/>
                <w:i w:val="0"/>
                <w:sz w:val="13"/>
              </w:rPr>
              <w:t>137</w:t>
            </w:r>
          </w:p>
        </w:tc>
      </w:tr>
      <w:tr>
        <w:tc>
          <w:tcPr>
            <w:tcW w:type="dxa" w:w="1620"/>
          </w:tcPr>
          <w:p>
            <w:pPr>
              <w:spacing w:after="0"/>
            </w:pPr>
            <w:r/>
            <w:r>
              <w:rPr>
                <w:rFonts w:ascii="Arial" w:hAnsi="Arial" w:eastAsia="Arial"/>
                <w:b w:val="0"/>
                <w:i w:val="0"/>
                <w:sz w:val="13"/>
              </w:rPr>
              <w:t>intratumoral CD8 high</w:t>
            </w:r>
          </w:p>
        </w:tc>
        <w:tc>
          <w:tcPr>
            <w:tcW w:type="dxa" w:w="1620"/>
          </w:tcPr>
          <w:p>
            <w:pPr>
              <w:spacing w:after="0"/>
            </w:pPr>
            <w:r/>
            <w:r>
              <w:rPr>
                <w:rFonts w:ascii="Arial" w:hAnsi="Arial" w:eastAsia="Arial"/>
                <w:b w:val="0"/>
                <w:i w:val="0"/>
                <w:sz w:val="13"/>
              </w:rPr>
              <w:t>Cheng 2023</w:t>
            </w:r>
            <w:r>
              <w:rPr>
                <w:rFonts w:ascii="Arial" w:hAnsi="Arial" w:eastAsia="Arial"/>
                <w:b w:val="0"/>
                <w:i w:val="0"/>
                <w:sz w:val="13"/>
                <w:vertAlign w:val="superscript"/>
              </w:rPr>
              <w:t>38</w:t>
            </w:r>
          </w:p>
        </w:tc>
        <w:tc>
          <w:tcPr>
            <w:tcW w:type="dxa" w:w="1620"/>
          </w:tcPr>
          <w:p>
            <w:pPr>
              <w:spacing w:after="0"/>
            </w:pPr>
            <w:r/>
            <w:r>
              <w:rPr>
                <w:rFonts w:ascii="Arial" w:hAnsi="Arial" w:eastAsia="Arial"/>
                <w:b w:val="0"/>
                <w:i w:val="0"/>
                <w:sz w:val="13"/>
              </w:rPr>
              <w:t>&gt;=77 vs &lt;77 cells/mm2</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0.518 (0.298-0.903)</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LN metastasis, tumour deposit, differentiation, sCD8</w:t>
            </w:r>
          </w:p>
        </w:tc>
        <w:tc>
          <w:tcPr>
            <w:tcW w:type="dxa" w:w="1620"/>
          </w:tcPr>
          <w:p>
            <w:pPr>
              <w:spacing w:after="0"/>
            </w:pPr>
            <w:r/>
            <w:r>
              <w:rPr>
                <w:rFonts w:ascii="Arial" w:hAnsi="Arial" w:eastAsia="Arial"/>
                <w:b w:val="0"/>
                <w:i w:val="0"/>
                <w:sz w:val="13"/>
              </w:rPr>
              <w:t>137</w:t>
            </w:r>
          </w:p>
        </w:tc>
      </w:tr>
      <w:tr>
        <w:tc>
          <w:tcPr>
            <w:tcW w:type="dxa" w:w="1620"/>
          </w:tcPr>
          <w:p>
            <w:pPr>
              <w:spacing w:after="0"/>
            </w:pPr>
            <w:r/>
            <w:r>
              <w:rPr>
                <w:rFonts w:ascii="Arial" w:hAnsi="Arial" w:eastAsia="Arial"/>
                <w:b w:val="0"/>
                <w:i w:val="0"/>
                <w:sz w:val="13"/>
              </w:rPr>
              <w:t>CD8 TIL high</w:t>
            </w:r>
          </w:p>
        </w:tc>
        <w:tc>
          <w:tcPr>
            <w:tcW w:type="dxa" w:w="1620"/>
          </w:tcPr>
          <w:p>
            <w:pPr>
              <w:spacing w:after="0"/>
            </w:pPr>
            <w:r/>
            <w:r>
              <w:rPr>
                <w:rFonts w:ascii="Arial" w:hAnsi="Arial" w:eastAsia="Arial"/>
                <w:b w:val="0"/>
                <w:i w:val="0"/>
                <w:sz w:val="13"/>
              </w:rPr>
              <w:t>Wang 2021</w:t>
            </w:r>
            <w:r>
              <w:rPr>
                <w:rFonts w:ascii="Arial" w:hAnsi="Arial" w:eastAsia="Arial"/>
                <w:b w:val="0"/>
                <w:i w:val="0"/>
                <w:sz w:val="13"/>
                <w:vertAlign w:val="superscript"/>
              </w:rPr>
              <w:t>35</w:t>
            </w:r>
          </w:p>
        </w:tc>
        <w:tc>
          <w:tcPr>
            <w:tcW w:type="dxa" w:w="1620"/>
          </w:tcPr>
          <w:p>
            <w:pPr>
              <w:spacing w:after="0"/>
            </w:pPr>
            <w:r/>
            <w:r>
              <w:rPr>
                <w:rFonts w:ascii="Arial" w:hAnsi="Arial" w:eastAsia="Arial"/>
                <w:b w:val="0"/>
                <w:i w:val="0"/>
                <w:sz w:val="13"/>
              </w:rPr>
              <w:t>&gt;=279 vs &lt;279 cells/mm2</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0.592 (0.337-1.039)</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TNM stage, tumour deposit</w:t>
            </w:r>
          </w:p>
        </w:tc>
        <w:tc>
          <w:tcPr>
            <w:tcW w:type="dxa" w:w="1620"/>
          </w:tcPr>
          <w:p>
            <w:pPr>
              <w:spacing w:after="0"/>
            </w:pPr>
            <w:r/>
            <w:r>
              <w:rPr>
                <w:rFonts w:ascii="Arial" w:hAnsi="Arial" w:eastAsia="Arial"/>
                <w:b w:val="0"/>
                <w:i w:val="0"/>
                <w:sz w:val="13"/>
              </w:rPr>
              <w:t>128</w:t>
            </w:r>
          </w:p>
        </w:tc>
      </w:tr>
      <w:tr>
        <w:tc>
          <w:tcPr>
            <w:tcW w:type="dxa" w:w="1620"/>
          </w:tcPr>
          <w:p>
            <w:pPr>
              <w:spacing w:after="0"/>
            </w:pPr>
            <w:r/>
            <w:r>
              <w:rPr>
                <w:rFonts w:ascii="Arial" w:hAnsi="Arial" w:eastAsia="Arial"/>
                <w:b w:val="0"/>
                <w:i w:val="0"/>
                <w:sz w:val="13"/>
              </w:rPr>
              <w:t>CD3 rich</w:t>
            </w:r>
          </w:p>
        </w:tc>
        <w:tc>
          <w:tcPr>
            <w:tcW w:type="dxa" w:w="1620"/>
          </w:tcPr>
          <w:p>
            <w:pPr>
              <w:spacing w:after="0"/>
            </w:pPr>
            <w:r/>
            <w:r>
              <w:rPr>
                <w:rFonts w:ascii="Arial" w:hAnsi="Arial" w:eastAsia="Arial"/>
                <w:b w:val="0"/>
                <w:i w:val="0"/>
                <w:sz w:val="13"/>
              </w:rPr>
              <w:t>Wang 2023</w:t>
            </w:r>
            <w:r>
              <w:rPr>
                <w:rFonts w:ascii="Arial" w:hAnsi="Arial" w:eastAsia="Arial"/>
                <w:b w:val="0"/>
                <w:i w:val="0"/>
                <w:sz w:val="13"/>
                <w:vertAlign w:val="superscript"/>
              </w:rPr>
              <w:t>36</w:t>
            </w:r>
          </w:p>
        </w:tc>
        <w:tc>
          <w:tcPr>
            <w:tcW w:type="dxa" w:w="1620"/>
          </w:tcPr>
          <w:p>
            <w:pPr>
              <w:spacing w:after="0"/>
            </w:pPr>
            <w:r/>
            <w:r>
              <w:rPr>
                <w:rFonts w:ascii="Arial" w:hAnsi="Arial" w:eastAsia="Arial"/>
                <w:b w:val="0"/>
                <w:i w:val="0"/>
                <w:sz w:val="13"/>
              </w:rPr>
              <w:t>&gt;=24% vs &lt;24%</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0.404 (0.16-1.021)</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TNM stage</w:t>
            </w:r>
          </w:p>
        </w:tc>
        <w:tc>
          <w:tcPr>
            <w:tcW w:type="dxa" w:w="1620"/>
          </w:tcPr>
          <w:p>
            <w:pPr>
              <w:spacing w:after="0"/>
            </w:pPr>
            <w:r/>
            <w:r>
              <w:rPr>
                <w:rFonts w:ascii="Arial" w:hAnsi="Arial" w:eastAsia="Arial"/>
                <w:b w:val="0"/>
                <w:i w:val="0"/>
                <w:sz w:val="13"/>
              </w:rPr>
              <w:t>126</w:t>
            </w:r>
          </w:p>
        </w:tc>
      </w:tr>
      <w:tr>
        <w:tc>
          <w:tcPr>
            <w:tcW w:type="dxa" w:w="1620"/>
          </w:tcPr>
          <w:p>
            <w:pPr>
              <w:spacing w:after="0"/>
            </w:pPr>
            <w:r/>
            <w:r>
              <w:rPr>
                <w:rFonts w:ascii="Arial" w:hAnsi="Arial" w:eastAsia="Arial"/>
                <w:b w:val="0"/>
                <w:i w:val="0"/>
                <w:sz w:val="13"/>
              </w:rPr>
              <w:t>cMYC amplification</w:t>
            </w:r>
          </w:p>
        </w:tc>
        <w:tc>
          <w:tcPr>
            <w:tcW w:type="dxa" w:w="1620"/>
          </w:tcPr>
          <w:p>
            <w:pPr>
              <w:spacing w:after="0"/>
            </w:pPr>
            <w:r/>
            <w:r>
              <w:rPr>
                <w:rFonts w:ascii="Arial" w:hAnsi="Arial" w:eastAsia="Arial"/>
                <w:b w:val="0"/>
                <w:i w:val="0"/>
                <w:sz w:val="13"/>
              </w:rPr>
              <w:t>Pan 2020</w:t>
            </w:r>
            <w:r>
              <w:rPr>
                <w:rFonts w:ascii="Arial" w:hAnsi="Arial" w:eastAsia="Arial"/>
                <w:b w:val="0"/>
                <w:i w:val="0"/>
                <w:sz w:val="13"/>
                <w:vertAlign w:val="superscript"/>
              </w:rPr>
              <w:t>37</w:t>
            </w:r>
          </w:p>
        </w:tc>
        <w:tc>
          <w:tcPr>
            <w:tcW w:type="dxa" w:w="1620"/>
          </w:tcPr>
          <w:p>
            <w:pPr>
              <w:spacing w:after="0"/>
            </w:pPr>
            <w:r/>
            <w:r>
              <w:rPr>
                <w:rFonts w:ascii="Arial" w:hAnsi="Arial" w:eastAsia="Arial"/>
                <w:b w:val="0"/>
                <w:i w:val="0"/>
                <w:sz w:val="13"/>
              </w:rPr>
              <w:t>c-MYC:CEP8 &gt;=1.8 vs &lt;1.8 (FISH)</w:t>
            </w:r>
          </w:p>
        </w:tc>
        <w:tc>
          <w:tcPr>
            <w:tcW w:type="dxa" w:w="1620"/>
          </w:tcPr>
          <w:p>
            <w:pPr>
              <w:spacing w:after="0"/>
            </w:pPr>
            <w:r/>
            <w:r>
              <w:rPr>
                <w:rFonts w:ascii="Arial" w:hAnsi="Arial" w:eastAsia="Arial"/>
                <w:b w:val="0"/>
                <w:i w:val="0"/>
                <w:sz w:val="13"/>
              </w:rPr>
              <w:t>OS</w:t>
            </w:r>
          </w:p>
        </w:tc>
        <w:tc>
          <w:tcPr>
            <w:tcW w:type="dxa" w:w="1620"/>
          </w:tcPr>
          <w:p>
            <w:pPr>
              <w:spacing w:after="0"/>
            </w:pPr>
            <w:r/>
            <w:r>
              <w:rPr>
                <w:rFonts w:ascii="Arial" w:hAnsi="Arial" w:eastAsia="Arial"/>
                <w:b w:val="0"/>
                <w:i w:val="0"/>
                <w:sz w:val="13"/>
              </w:rPr>
              <w:t>1.861 (1.012-3.419)</w:t>
            </w:r>
          </w:p>
        </w:tc>
        <w:tc>
          <w:tcPr>
            <w:tcW w:type="dxa" w:w="1620"/>
          </w:tcPr>
          <w:p>
            <w:pPr>
              <w:spacing w:after="0"/>
            </w:pPr>
            <w:r/>
            <w:r>
              <w:rPr>
                <w:rFonts w:ascii="Arial" w:hAnsi="Arial" w:eastAsia="Arial"/>
                <w:b w:val="0"/>
                <w:i w:val="0"/>
                <w:sz w:val="13"/>
              </w:rPr>
              <w:t>Adjusted</w:t>
            </w:r>
          </w:p>
        </w:tc>
        <w:tc>
          <w:tcPr>
            <w:tcW w:type="dxa" w:w="1620"/>
          </w:tcPr>
          <w:p>
            <w:pPr>
              <w:spacing w:after="0"/>
            </w:pPr>
            <w:r/>
            <w:r>
              <w:rPr>
                <w:rFonts w:ascii="Arial" w:hAnsi="Arial" w:eastAsia="Arial"/>
                <w:b w:val="0"/>
                <w:i w:val="0"/>
                <w:sz w:val="13"/>
              </w:rPr>
              <w:t>Clinical stage</w:t>
            </w:r>
          </w:p>
        </w:tc>
        <w:tc>
          <w:tcPr>
            <w:tcW w:type="dxa" w:w="1620"/>
          </w:tcPr>
          <w:p>
            <w:pPr>
              <w:spacing w:after="0"/>
            </w:pPr>
            <w:r/>
            <w:r>
              <w:rPr>
                <w:rFonts w:ascii="Arial" w:hAnsi="Arial" w:eastAsia="Arial"/>
                <w:b w:val="0"/>
                <w:i w:val="0"/>
                <w:sz w:val="13"/>
              </w:rPr>
              <w:t>138</w:t>
            </w:r>
          </w:p>
        </w:tc>
      </w:tr>
      <w:tr>
        <w:tc>
          <w:tcPr>
            <w:tcW w:type="dxa" w:w="1620"/>
          </w:tcPr>
          <w:p>
            <w:pPr>
              <w:spacing w:after="0"/>
            </w:pPr>
            <w:r/>
            <w:r>
              <w:rPr>
                <w:rFonts w:ascii="Arial" w:hAnsi="Arial" w:eastAsia="Arial"/>
                <w:b w:val="0"/>
                <w:i w:val="0"/>
                <w:sz w:val="13"/>
              </w:rPr>
              <w:t>LN metastasis OS (pooled)</w:t>
            </w:r>
          </w:p>
        </w:tc>
        <w:tc>
          <w:tcPr>
            <w:tcW w:type="dxa" w:w="1620"/>
          </w:tcPr>
          <w:p>
            <w:pPr>
              <w:spacing w:after="0"/>
            </w:pPr>
            <w:r/>
            <w:r>
              <w:rPr>
                <w:rFonts w:ascii="Arial" w:hAnsi="Arial" w:eastAsia="Arial"/>
                <w:b w:val="0"/>
                <w:i w:val="0"/>
                <w:sz w:val="13"/>
              </w:rPr>
              <w:t>2 cohorts</w:t>
            </w:r>
          </w:p>
        </w:tc>
        <w:tc>
          <w:tcPr>
            <w:tcW w:type="dxa" w:w="1620"/>
          </w:tcPr>
          <w:p>
            <w:pPr>
              <w:spacing w:after="0"/>
            </w:pPr>
            <w:r/>
          </w:p>
        </w:tc>
        <w:tc>
          <w:tcPr>
            <w:tcW w:type="dxa" w:w="1620"/>
          </w:tcPr>
          <w:p>
            <w:pPr>
              <w:spacing w:after="0"/>
            </w:pPr>
            <w:r/>
          </w:p>
        </w:tc>
        <w:tc>
          <w:tcPr>
            <w:tcW w:type="dxa" w:w="1620"/>
          </w:tcPr>
          <w:p>
            <w:pPr>
              <w:spacing w:after="0"/>
            </w:pPr>
            <w:r/>
            <w:r>
              <w:rPr>
                <w:rFonts w:ascii="Arial" w:hAnsi="Arial" w:eastAsia="Arial"/>
                <w:b w:val="0"/>
                <w:i w:val="0"/>
                <w:sz w:val="13"/>
              </w:rPr>
              <w:t>2.59 (1.74-3.86); I² 0%</w:t>
            </w:r>
          </w:p>
        </w:tc>
        <w:tc>
          <w:tcPr>
            <w:tcW w:type="dxa" w:w="1620"/>
          </w:tcPr>
          <w:p>
            <w:pPr>
              <w:spacing w:after="0"/>
            </w:pPr>
            <w:r/>
            <w:r>
              <w:rPr>
                <w:rFonts w:ascii="Arial" w:hAnsi="Arial" w:eastAsia="Arial"/>
                <w:b w:val="0"/>
                <w:i w:val="0"/>
                <w:sz w:val="13"/>
              </w:rPr>
              <w:t>Random effects</w:t>
            </w:r>
          </w:p>
        </w:tc>
        <w:tc>
          <w:tcPr>
            <w:tcW w:type="dxa" w:w="1620"/>
          </w:tcPr>
          <w:p>
            <w:pPr>
              <w:spacing w:after="0"/>
            </w:pPr>
            <w:r/>
          </w:p>
        </w:tc>
        <w:tc>
          <w:tcPr>
            <w:tcW w:type="dxa" w:w="1620"/>
          </w:tcPr>
          <w:p>
            <w:pPr>
              <w:spacing w:after="0"/>
            </w:pPr>
            <w:r/>
            <w:r>
              <w:rPr>
                <w:rFonts w:ascii="Arial" w:hAnsi="Arial" w:eastAsia="Arial"/>
                <w:b w:val="0"/>
                <w:i w:val="0"/>
                <w:sz w:val="13"/>
              </w:rPr>
              <w:t>945</w:t>
            </w:r>
          </w:p>
        </w:tc>
      </w:tr>
    </w:tbl>
    <w:p>
      <w:r>
        <w:rPr>
          <w:rFonts w:ascii="Arial" w:hAnsi="Arial" w:eastAsia="Arial"/>
          <w:b w:val="0"/>
          <w:i w:val="0"/>
          <w:sz w:val="18"/>
        </w:rPr>
        <w:t>SACC-only analyses; not combined with the SACC-versus-NSACC comparison. Wang 2021 and Wang 2023 report P = 0.045 for HRs whose 95% CI includes 1. Factors from the Qingpu cohort (Wang 2021, Wang 2023, Pan 2020, Cheng 2023) describe the same patients.</w:t>
      </w:r>
    </w:p>
    <w:p>
      <w:pPr>
        <w:sectPr>
          <w:pgSz w:w="15840" w:h="12240" w:orient="landscape"/>
          <w:pgMar w:top="1440" w:right="1440" w:bottom="1440" w:left="1440" w:header="720" w:footer="720" w:gutter="0"/>
          <w:cols w:space="720"/>
          <w:docGrid w:linePitch="360"/>
        </w:sectPr>
      </w:pPr>
    </w:p>
    <w:p>
      <w:r>
        <w:rPr>
          <w:rFonts w:ascii="Arial" w:hAnsi="Arial" w:eastAsia="Arial"/>
          <w:b/>
          <w:i w:val="0"/>
          <w:sz w:val="24"/>
        </w:rPr>
        <w:t>Risk of bias</w:t>
      </w:r>
    </w:p>
    <w:p>
      <w:pPr>
        <w:jc w:val="both"/>
      </w:pPr>
      <w:r>
        <w:rPr>
          <w:rFonts w:ascii="Arial" w:hAnsi="Arial" w:eastAsia="Arial"/>
          <w:b w:val="0"/>
          <w:i w:val="0"/>
          <w:sz w:val="24"/>
        </w:rPr>
        <w:t>Of the 9 comparative reports that contributed to meta-analyses, 3 were at low, 4 at moderate, and 2 at high risk of bias on the Newcastle-Ottawa Scale (Supplementary Table S4). The most frequent limitations were the absence of adjustment for confounders in cross-sectional comparisons, unreported or incomplete follow-up, and non-consecutive selection of the non-schistosomal group in two reports.</w:t>
      </w:r>
      <w:r>
        <w:rPr>
          <w:rFonts w:ascii="Arial" w:hAnsi="Arial" w:eastAsia="Arial"/>
          <w:b w:val="0"/>
          <w:i w:val="0"/>
          <w:sz w:val="24"/>
          <w:vertAlign w:val="superscript"/>
        </w:rPr>
        <w:t>34,41</w:t>
      </w:r>
      <w:r>
        <w:rPr>
          <w:rFonts w:ascii="Arial" w:hAnsi="Arial" w:eastAsia="Arial"/>
          <w:b w:val="0"/>
          <w:i w:val="0"/>
          <w:sz w:val="24"/>
        </w:rPr>
        <w:t xml:space="preserve"> Exposure ascertainment was secure (histology) in all, but may under-detect schistosomiasis, which would bias comparisons towards the null. Several reports contained internal numerical inconsistencies, which are documented in the extraction file. [Interim: risk of bias assessed by one AI-assisted reviewer; second independent assessment PENDING.]</w:t>
      </w:r>
    </w:p>
    <w:p>
      <w:r>
        <w:rPr>
          <w:rFonts w:ascii="Arial" w:hAnsi="Arial" w:eastAsia="Arial"/>
          <w:b/>
          <w:i w:val="0"/>
          <w:sz w:val="24"/>
        </w:rPr>
        <w:t>Sensitivity and subgroup analyses</w:t>
      </w:r>
    </w:p>
    <w:p>
      <w:pPr>
        <w:jc w:val="both"/>
      </w:pPr>
      <w:r>
        <w:rPr>
          <w:rFonts w:ascii="Arial" w:hAnsi="Arial" w:eastAsia="Arial"/>
          <w:b w:val="0"/>
          <w:i w:val="0"/>
          <w:sz w:val="24"/>
        </w:rPr>
        <w:t>Excluding the Shanghai cohort of 31,153 patients</w:t>
      </w:r>
      <w:r>
        <w:rPr>
          <w:rFonts w:ascii="Arial" w:hAnsi="Arial" w:eastAsia="Arial"/>
          <w:b w:val="0"/>
          <w:i w:val="0"/>
          <w:sz w:val="24"/>
          <w:vertAlign w:val="superscript"/>
        </w:rPr>
        <w:t>19</w:t>
      </w:r>
      <w:r>
        <w:rPr>
          <w:rFonts w:ascii="Arial" w:hAnsi="Arial" w:eastAsia="Arial"/>
          <w:b w:val="0"/>
          <w:i w:val="0"/>
          <w:sz w:val="24"/>
        </w:rPr>
        <w:t xml:space="preserve"> gave ORs of male sex 1.43 (95% CI 1.17-1.75); stage III-IV disease 0.67 (95% CI 0.21-2.18); lymph-node metastasis 1.06 (95% CI 0.76-1.49). The male excess was therefore robust, whereas the lower odds of stage III-IV disease and the excess of rectal tumours depended on the largest cohort. For unadjusted overall survival, omitting the only cohort with a favourable (derived) HR</w:t>
      </w:r>
      <w:r>
        <w:rPr>
          <w:rFonts w:ascii="Arial" w:hAnsi="Arial" w:eastAsia="Arial"/>
          <w:b w:val="0"/>
          <w:i w:val="0"/>
          <w:sz w:val="24"/>
          <w:vertAlign w:val="superscript"/>
        </w:rPr>
        <w:t>12</w:t>
      </w:r>
      <w:r>
        <w:rPr>
          <w:rFonts w:ascii="Arial" w:hAnsi="Arial" w:eastAsia="Arial"/>
          <w:b w:val="0"/>
          <w:i w:val="0"/>
          <w:sz w:val="24"/>
        </w:rPr>
        <w:t xml:space="preserve"> gave an HR of 1.50 (95% CI 1.03-2.18) (I² = 69%). Restricting to histology-confirmed SACC did not change any estimate because all analysed cohorts used histology; no cohort confirmed the species, so the </w:t>
      </w:r>
      <w:r>
        <w:rPr>
          <w:rFonts w:ascii="Arial" w:hAnsi="Arial" w:eastAsia="Arial"/>
          <w:b w:val="0"/>
          <w:i/>
          <w:sz w:val="24"/>
        </w:rPr>
        <w:t>S. japonicum</w:t>
      </w:r>
      <w:r>
        <w:rPr>
          <w:rFonts w:ascii="Arial" w:hAnsi="Arial" w:eastAsia="Arial"/>
          <w:b w:val="0"/>
          <w:i w:val="0"/>
          <w:sz w:val="24"/>
        </w:rPr>
        <w:t>-confirmed analysis could not be performed. Pre-specified subgroup analyses were not feasible with two to seven cohorts per outcome. With fewer than 10 studies for every outcome, small-study effects were not assessed. All sensitivity results are in Supplementary Table S5.</w:t>
      </w:r>
    </w:p>
    <w:p>
      <w:r>
        <w:rPr>
          <w:rFonts w:ascii="Arial" w:hAnsi="Arial" w:eastAsia="Arial"/>
          <w:b/>
          <w:i w:val="0"/>
          <w:sz w:val="24"/>
        </w:rPr>
        <w:t>Certainty of evidence and overall phenotype</w:t>
      </w:r>
    </w:p>
    <w:p>
      <w:pPr>
        <w:jc w:val="both"/>
      </w:pPr>
      <w:r>
        <w:rPr>
          <w:rFonts w:ascii="Arial" w:hAnsi="Arial" w:eastAsia="Arial"/>
          <w:b w:val="0"/>
          <w:i w:val="0"/>
          <w:sz w:val="24"/>
        </w:rPr>
        <w:t>Table 4 summarises all pooled analyses with GRADE ratings. Figure 7 shows, study by study, the reported direction of each feature, including features that could not be pooled. Table 6 integrates these results into a phenotype matrix.</w:t>
      </w:r>
    </w:p>
    <w:p>
      <w:pPr>
        <w:sectPr>
          <w:pgSz w:w="12240" w:h="15840"/>
          <w:pgMar w:top="1440" w:right="1440" w:bottom="1440" w:left="1440" w:header="720" w:footer="720" w:gutter="0"/>
          <w:cols w:space="720"/>
          <w:docGrid w:linePitch="360"/>
        </w:sectPr>
      </w:pPr>
    </w:p>
    <w:p>
      <w:r>
        <w:rPr>
          <w:rFonts w:ascii="Arial" w:hAnsi="Arial" w:eastAsia="Arial"/>
          <w:b/>
          <w:i w:val="0"/>
          <w:sz w:val="22"/>
        </w:rPr>
        <w:t>Table 4.</w:t>
      </w:r>
      <w:r>
        <w:rPr>
          <w:rFonts w:ascii="Arial" w:hAnsi="Arial" w:eastAsia="Arial"/>
          <w:b w:val="0"/>
          <w:i w:val="0"/>
          <w:sz w:val="22"/>
        </w:rPr>
        <w:t xml:space="preserve"> Summary of meta-analyses: SACC versus NSACC</w:t>
      </w:r>
    </w:p>
    <w:tbl>
      <w:tblPr>
        <w:tblStyle w:val="TableGrid"/>
        <w:tblW w:type="auto" w:w="0"/>
        <w:jc w:val="center"/>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tblGrid>
      <w:tr>
        <w:tc>
          <w:tcPr>
            <w:tcW w:type="dxa" w:w="1178"/>
            <w:shd w:val="clear" w:color="auto" w:fill="DCE6F1"/>
          </w:tcPr>
          <w:p>
            <w:r/>
            <w:r>
              <w:rPr>
                <w:rFonts w:ascii="Arial" w:hAnsi="Arial" w:eastAsia="Arial"/>
                <w:b/>
                <w:i w:val="0"/>
                <w:sz w:val="15"/>
              </w:rPr>
              <w:t>Outcome</w:t>
            </w:r>
          </w:p>
        </w:tc>
        <w:tc>
          <w:tcPr>
            <w:tcW w:type="dxa" w:w="1178"/>
            <w:shd w:val="clear" w:color="auto" w:fill="DCE6F1"/>
          </w:tcPr>
          <w:p>
            <w:r/>
            <w:r>
              <w:rPr>
                <w:rFonts w:ascii="Arial" w:hAnsi="Arial" w:eastAsia="Arial"/>
                <w:b/>
                <w:i w:val="0"/>
                <w:sz w:val="15"/>
              </w:rPr>
              <w:t>Studies</w:t>
            </w:r>
          </w:p>
        </w:tc>
        <w:tc>
          <w:tcPr>
            <w:tcW w:type="dxa" w:w="1178"/>
            <w:shd w:val="clear" w:color="auto" w:fill="DCE6F1"/>
          </w:tcPr>
          <w:p>
            <w:r/>
            <w:r>
              <w:rPr>
                <w:rFonts w:ascii="Arial" w:hAnsi="Arial" w:eastAsia="Arial"/>
                <w:b/>
                <w:i w:val="0"/>
                <w:sz w:val="15"/>
              </w:rPr>
              <w:t>SACC n</w:t>
            </w:r>
          </w:p>
        </w:tc>
        <w:tc>
          <w:tcPr>
            <w:tcW w:type="dxa" w:w="1178"/>
            <w:shd w:val="clear" w:color="auto" w:fill="DCE6F1"/>
          </w:tcPr>
          <w:p>
            <w:r/>
            <w:r>
              <w:rPr>
                <w:rFonts w:ascii="Arial" w:hAnsi="Arial" w:eastAsia="Arial"/>
                <w:b/>
                <w:i w:val="0"/>
                <w:sz w:val="15"/>
              </w:rPr>
              <w:t>NSACC n</w:t>
            </w:r>
          </w:p>
        </w:tc>
        <w:tc>
          <w:tcPr>
            <w:tcW w:type="dxa" w:w="1178"/>
            <w:shd w:val="clear" w:color="auto" w:fill="DCE6F1"/>
          </w:tcPr>
          <w:p>
            <w:r/>
            <w:r>
              <w:rPr>
                <w:rFonts w:ascii="Arial" w:hAnsi="Arial" w:eastAsia="Arial"/>
                <w:b/>
                <w:i w:val="0"/>
                <w:sz w:val="15"/>
              </w:rPr>
              <w:t>Measure</w:t>
            </w:r>
          </w:p>
        </w:tc>
        <w:tc>
          <w:tcPr>
            <w:tcW w:type="dxa" w:w="1178"/>
            <w:shd w:val="clear" w:color="auto" w:fill="DCE6F1"/>
          </w:tcPr>
          <w:p>
            <w:r/>
            <w:r>
              <w:rPr>
                <w:rFonts w:ascii="Arial" w:hAnsi="Arial" w:eastAsia="Arial"/>
                <w:b/>
                <w:i w:val="0"/>
                <w:sz w:val="15"/>
              </w:rPr>
              <w:t>Pooled effect</w:t>
            </w:r>
          </w:p>
        </w:tc>
        <w:tc>
          <w:tcPr>
            <w:tcW w:type="dxa" w:w="1178"/>
            <w:shd w:val="clear" w:color="auto" w:fill="DCE6F1"/>
          </w:tcPr>
          <w:p>
            <w:r/>
            <w:r>
              <w:rPr>
                <w:rFonts w:ascii="Arial" w:hAnsi="Arial" w:eastAsia="Arial"/>
                <w:b/>
                <w:i w:val="0"/>
                <w:sz w:val="15"/>
              </w:rPr>
              <w:t>95% CI</w:t>
            </w:r>
          </w:p>
        </w:tc>
        <w:tc>
          <w:tcPr>
            <w:tcW w:type="dxa" w:w="1178"/>
            <w:shd w:val="clear" w:color="auto" w:fill="DCE6F1"/>
          </w:tcPr>
          <w:p>
            <w:r/>
            <w:r>
              <w:rPr>
                <w:rFonts w:ascii="Arial" w:hAnsi="Arial" w:eastAsia="Arial"/>
                <w:b/>
                <w:i w:val="0"/>
                <w:sz w:val="15"/>
              </w:rPr>
              <w:t>I²</w:t>
            </w:r>
          </w:p>
        </w:tc>
        <w:tc>
          <w:tcPr>
            <w:tcW w:type="dxa" w:w="1178"/>
            <w:shd w:val="clear" w:color="auto" w:fill="DCE6F1"/>
          </w:tcPr>
          <w:p>
            <w:r/>
            <w:r>
              <w:rPr>
                <w:rFonts w:ascii="Arial" w:hAnsi="Arial" w:eastAsia="Arial"/>
                <w:b/>
                <w:i w:val="0"/>
                <w:sz w:val="15"/>
              </w:rPr>
              <w:t>tau²</w:t>
            </w:r>
          </w:p>
        </w:tc>
        <w:tc>
          <w:tcPr>
            <w:tcW w:type="dxa" w:w="1178"/>
            <w:shd w:val="clear" w:color="auto" w:fill="DCE6F1"/>
          </w:tcPr>
          <w:p>
            <w:r/>
            <w:r>
              <w:rPr>
                <w:rFonts w:ascii="Arial" w:hAnsi="Arial" w:eastAsia="Arial"/>
                <w:b/>
                <w:i w:val="0"/>
                <w:sz w:val="15"/>
              </w:rPr>
              <w:t>P value</w:t>
            </w:r>
          </w:p>
        </w:tc>
        <w:tc>
          <w:tcPr>
            <w:tcW w:type="dxa" w:w="1178"/>
            <w:shd w:val="clear" w:color="auto" w:fill="DCE6F1"/>
          </w:tcPr>
          <w:p>
            <w:r/>
            <w:r>
              <w:rPr>
                <w:rFonts w:ascii="Arial" w:hAnsi="Arial" w:eastAsia="Arial"/>
                <w:b/>
                <w:i w:val="0"/>
                <w:sz w:val="15"/>
              </w:rPr>
              <w:t>GRADE certainty</w:t>
            </w:r>
          </w:p>
        </w:tc>
      </w:tr>
      <w:tr>
        <w:tc>
          <w:tcPr>
            <w:tcW w:type="dxa" w:w="1178"/>
          </w:tcPr>
          <w:p>
            <w:pPr>
              <w:spacing w:after="0"/>
            </w:pPr>
            <w:r/>
            <w:r>
              <w:rPr>
                <w:rFonts w:ascii="Arial" w:hAnsi="Arial" w:eastAsia="Arial"/>
                <w:b w:val="0"/>
                <w:i w:val="0"/>
                <w:sz w:val="15"/>
              </w:rPr>
              <w:t>Overall survival (adjusted)</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167</w:t>
            </w:r>
          </w:p>
        </w:tc>
        <w:tc>
          <w:tcPr>
            <w:tcW w:type="dxa" w:w="1178"/>
          </w:tcPr>
          <w:p>
            <w:pPr>
              <w:spacing w:after="0"/>
            </w:pPr>
            <w:r/>
            <w:r>
              <w:rPr>
                <w:rFonts w:ascii="Arial" w:hAnsi="Arial" w:eastAsia="Arial"/>
                <w:b w:val="0"/>
                <w:i w:val="0"/>
                <w:sz w:val="15"/>
              </w:rPr>
              <w:t>673</w:t>
            </w:r>
          </w:p>
        </w:tc>
        <w:tc>
          <w:tcPr>
            <w:tcW w:type="dxa" w:w="1178"/>
          </w:tcPr>
          <w:p>
            <w:pPr>
              <w:spacing w:after="0"/>
            </w:pPr>
            <w:r/>
            <w:r>
              <w:rPr>
                <w:rFonts w:ascii="Arial" w:hAnsi="Arial" w:eastAsia="Arial"/>
                <w:b w:val="0"/>
                <w:i w:val="0"/>
                <w:sz w:val="15"/>
              </w:rPr>
              <w:t>HR</w:t>
            </w:r>
          </w:p>
        </w:tc>
        <w:tc>
          <w:tcPr>
            <w:tcW w:type="dxa" w:w="1178"/>
          </w:tcPr>
          <w:p>
            <w:pPr>
              <w:spacing w:after="0"/>
            </w:pPr>
            <w:r/>
            <w:r>
              <w:rPr>
                <w:rFonts w:ascii="Arial" w:hAnsi="Arial" w:eastAsia="Arial"/>
                <w:b w:val="0"/>
                <w:i w:val="0"/>
                <w:sz w:val="15"/>
              </w:rPr>
              <w:t>1.76</w:t>
            </w:r>
          </w:p>
        </w:tc>
        <w:tc>
          <w:tcPr>
            <w:tcW w:type="dxa" w:w="1178"/>
          </w:tcPr>
          <w:p>
            <w:pPr>
              <w:spacing w:after="0"/>
            </w:pPr>
            <w:r/>
            <w:r>
              <w:rPr>
                <w:rFonts w:ascii="Arial" w:hAnsi="Arial" w:eastAsia="Arial"/>
                <w:b w:val="0"/>
                <w:i w:val="0"/>
                <w:sz w:val="15"/>
              </w:rPr>
              <w:t>1.06-2.91</w:t>
            </w:r>
          </w:p>
        </w:tc>
        <w:tc>
          <w:tcPr>
            <w:tcW w:type="dxa" w:w="1178"/>
          </w:tcPr>
          <w:p>
            <w:pPr>
              <w:spacing w:after="0"/>
            </w:pPr>
            <w:r/>
            <w:r>
              <w:rPr>
                <w:rFonts w:ascii="Arial" w:hAnsi="Arial" w:eastAsia="Arial"/>
                <w:b w:val="0"/>
                <w:i w:val="0"/>
                <w:sz w:val="15"/>
              </w:rPr>
              <w:t>50%</w:t>
            </w:r>
          </w:p>
        </w:tc>
        <w:tc>
          <w:tcPr>
            <w:tcW w:type="dxa" w:w="1178"/>
          </w:tcPr>
          <w:p>
            <w:pPr>
              <w:spacing w:after="0"/>
            </w:pPr>
            <w:r/>
            <w:r>
              <w:rPr>
                <w:rFonts w:ascii="Arial" w:hAnsi="Arial" w:eastAsia="Arial"/>
                <w:b w:val="0"/>
                <w:i w:val="0"/>
                <w:sz w:val="15"/>
              </w:rPr>
              <w:t>0.073</w:t>
            </w:r>
          </w:p>
        </w:tc>
        <w:tc>
          <w:tcPr>
            <w:tcW w:type="dxa" w:w="1178"/>
          </w:tcPr>
          <w:p>
            <w:pPr>
              <w:spacing w:after="0"/>
            </w:pPr>
            <w:r/>
            <w:r>
              <w:rPr>
                <w:rFonts w:ascii="Arial" w:hAnsi="Arial" w:eastAsia="Arial"/>
                <w:b w:val="0"/>
                <w:i w:val="0"/>
                <w:sz w:val="15"/>
              </w:rPr>
              <w:t>0.029</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Overall survival (unadjusted/derived)</w:t>
            </w:r>
          </w:p>
        </w:tc>
        <w:tc>
          <w:tcPr>
            <w:tcW w:type="dxa" w:w="1178"/>
          </w:tcPr>
          <w:p>
            <w:pPr>
              <w:spacing w:after="0"/>
            </w:pPr>
            <w:r/>
            <w:r>
              <w:rPr>
                <w:rFonts w:ascii="Arial" w:hAnsi="Arial" w:eastAsia="Arial"/>
                <w:b w:val="0"/>
                <w:i w:val="0"/>
                <w:sz w:val="15"/>
              </w:rPr>
              <w:t>4</w:t>
            </w:r>
          </w:p>
        </w:tc>
        <w:tc>
          <w:tcPr>
            <w:tcW w:type="dxa" w:w="1178"/>
          </w:tcPr>
          <w:p>
            <w:pPr>
              <w:spacing w:after="0"/>
            </w:pPr>
            <w:r/>
            <w:r>
              <w:rPr>
                <w:rFonts w:ascii="Arial" w:hAnsi="Arial" w:eastAsia="Arial"/>
                <w:b w:val="0"/>
                <w:i w:val="0"/>
                <w:sz w:val="15"/>
              </w:rPr>
              <w:t>602</w:t>
            </w:r>
          </w:p>
        </w:tc>
        <w:tc>
          <w:tcPr>
            <w:tcW w:type="dxa" w:w="1178"/>
          </w:tcPr>
          <w:p>
            <w:pPr>
              <w:spacing w:after="0"/>
            </w:pPr>
            <w:r/>
            <w:r>
              <w:rPr>
                <w:rFonts w:ascii="Arial" w:hAnsi="Arial" w:eastAsia="Arial"/>
                <w:b w:val="0"/>
                <w:i w:val="0"/>
                <w:sz w:val="15"/>
              </w:rPr>
              <w:t>6875</w:t>
            </w:r>
          </w:p>
        </w:tc>
        <w:tc>
          <w:tcPr>
            <w:tcW w:type="dxa" w:w="1178"/>
          </w:tcPr>
          <w:p>
            <w:pPr>
              <w:spacing w:after="0"/>
            </w:pPr>
            <w:r/>
            <w:r>
              <w:rPr>
                <w:rFonts w:ascii="Arial" w:hAnsi="Arial" w:eastAsia="Arial"/>
                <w:b w:val="0"/>
                <w:i w:val="0"/>
                <w:sz w:val="15"/>
              </w:rPr>
              <w:t>HR</w:t>
            </w:r>
          </w:p>
        </w:tc>
        <w:tc>
          <w:tcPr>
            <w:tcW w:type="dxa" w:w="1178"/>
          </w:tcPr>
          <w:p>
            <w:pPr>
              <w:spacing w:after="0"/>
            </w:pPr>
            <w:r/>
            <w:r>
              <w:rPr>
                <w:rFonts w:ascii="Arial" w:hAnsi="Arial" w:eastAsia="Arial"/>
                <w:b w:val="0"/>
                <w:i w:val="0"/>
                <w:sz w:val="15"/>
              </w:rPr>
              <w:t>1.23</w:t>
            </w:r>
          </w:p>
        </w:tc>
        <w:tc>
          <w:tcPr>
            <w:tcW w:type="dxa" w:w="1178"/>
          </w:tcPr>
          <w:p>
            <w:pPr>
              <w:spacing w:after="0"/>
            </w:pPr>
            <w:r/>
            <w:r>
              <w:rPr>
                <w:rFonts w:ascii="Arial" w:hAnsi="Arial" w:eastAsia="Arial"/>
                <w:b w:val="0"/>
                <w:i w:val="0"/>
                <w:sz w:val="15"/>
              </w:rPr>
              <w:t>0.66-2.28</w:t>
            </w:r>
          </w:p>
        </w:tc>
        <w:tc>
          <w:tcPr>
            <w:tcW w:type="dxa" w:w="1178"/>
          </w:tcPr>
          <w:p>
            <w:pPr>
              <w:spacing w:after="0"/>
            </w:pPr>
            <w:r/>
            <w:r>
              <w:rPr>
                <w:rFonts w:ascii="Arial" w:hAnsi="Arial" w:eastAsia="Arial"/>
                <w:b w:val="0"/>
                <w:i w:val="0"/>
                <w:sz w:val="15"/>
              </w:rPr>
              <w:t>90%</w:t>
            </w:r>
          </w:p>
        </w:tc>
        <w:tc>
          <w:tcPr>
            <w:tcW w:type="dxa" w:w="1178"/>
          </w:tcPr>
          <w:p>
            <w:pPr>
              <w:spacing w:after="0"/>
            </w:pPr>
            <w:r/>
            <w:r>
              <w:rPr>
                <w:rFonts w:ascii="Arial" w:hAnsi="Arial" w:eastAsia="Arial"/>
                <w:b w:val="0"/>
                <w:i w:val="0"/>
                <w:sz w:val="15"/>
              </w:rPr>
              <w:t>0.342</w:t>
            </w:r>
          </w:p>
        </w:tc>
        <w:tc>
          <w:tcPr>
            <w:tcW w:type="dxa" w:w="1178"/>
          </w:tcPr>
          <w:p>
            <w:pPr>
              <w:spacing w:after="0"/>
            </w:pPr>
            <w:r/>
            <w:r>
              <w:rPr>
                <w:rFonts w:ascii="Arial" w:hAnsi="Arial" w:eastAsia="Arial"/>
                <w:b w:val="0"/>
                <w:i w:val="0"/>
                <w:sz w:val="15"/>
              </w:rPr>
              <w:t>0.519</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DFS/RFS (adjusted)</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422</w:t>
            </w:r>
          </w:p>
        </w:tc>
        <w:tc>
          <w:tcPr>
            <w:tcW w:type="dxa" w:w="1178"/>
          </w:tcPr>
          <w:p>
            <w:pPr>
              <w:spacing w:after="0"/>
            </w:pPr>
            <w:r/>
            <w:r>
              <w:rPr>
                <w:rFonts w:ascii="Arial" w:hAnsi="Arial" w:eastAsia="Arial"/>
                <w:b w:val="0"/>
                <w:i w:val="0"/>
                <w:sz w:val="15"/>
              </w:rPr>
              <w:t>6604</w:t>
            </w:r>
          </w:p>
        </w:tc>
        <w:tc>
          <w:tcPr>
            <w:tcW w:type="dxa" w:w="1178"/>
          </w:tcPr>
          <w:p>
            <w:pPr>
              <w:spacing w:after="0"/>
            </w:pPr>
            <w:r/>
            <w:r>
              <w:rPr>
                <w:rFonts w:ascii="Arial" w:hAnsi="Arial" w:eastAsia="Arial"/>
                <w:b w:val="0"/>
                <w:i w:val="0"/>
                <w:sz w:val="15"/>
              </w:rPr>
              <w:t>HR</w:t>
            </w:r>
          </w:p>
        </w:tc>
        <w:tc>
          <w:tcPr>
            <w:tcW w:type="dxa" w:w="1178"/>
          </w:tcPr>
          <w:p>
            <w:pPr>
              <w:spacing w:after="0"/>
            </w:pPr>
            <w:r/>
            <w:r>
              <w:rPr>
                <w:rFonts w:ascii="Arial" w:hAnsi="Arial" w:eastAsia="Arial"/>
                <w:b w:val="0"/>
                <w:i w:val="0"/>
                <w:sz w:val="15"/>
              </w:rPr>
              <w:t>1.32</w:t>
            </w:r>
          </w:p>
        </w:tc>
        <w:tc>
          <w:tcPr>
            <w:tcW w:type="dxa" w:w="1178"/>
          </w:tcPr>
          <w:p>
            <w:pPr>
              <w:spacing w:after="0"/>
            </w:pPr>
            <w:r/>
            <w:r>
              <w:rPr>
                <w:rFonts w:ascii="Arial" w:hAnsi="Arial" w:eastAsia="Arial"/>
                <w:b w:val="0"/>
                <w:i w:val="0"/>
                <w:sz w:val="15"/>
              </w:rPr>
              <w:t>0.81-2.15</w:t>
            </w:r>
          </w:p>
        </w:tc>
        <w:tc>
          <w:tcPr>
            <w:tcW w:type="dxa" w:w="1178"/>
          </w:tcPr>
          <w:p>
            <w:pPr>
              <w:spacing w:after="0"/>
            </w:pPr>
            <w:r/>
            <w:r>
              <w:rPr>
                <w:rFonts w:ascii="Arial" w:hAnsi="Arial" w:eastAsia="Arial"/>
                <w:b w:val="0"/>
                <w:i w:val="0"/>
                <w:sz w:val="15"/>
              </w:rPr>
              <w:t>47%</w:t>
            </w:r>
          </w:p>
        </w:tc>
        <w:tc>
          <w:tcPr>
            <w:tcW w:type="dxa" w:w="1178"/>
          </w:tcPr>
          <w:p>
            <w:pPr>
              <w:spacing w:after="0"/>
            </w:pPr>
            <w:r/>
            <w:r>
              <w:rPr>
                <w:rFonts w:ascii="Arial" w:hAnsi="Arial" w:eastAsia="Arial"/>
                <w:b w:val="0"/>
                <w:i w:val="0"/>
                <w:sz w:val="15"/>
              </w:rPr>
              <w:t>0.063</w:t>
            </w:r>
          </w:p>
        </w:tc>
        <w:tc>
          <w:tcPr>
            <w:tcW w:type="dxa" w:w="1178"/>
          </w:tcPr>
          <w:p>
            <w:pPr>
              <w:spacing w:after="0"/>
            </w:pPr>
            <w:r/>
            <w:r>
              <w:rPr>
                <w:rFonts w:ascii="Arial" w:hAnsi="Arial" w:eastAsia="Arial"/>
                <w:b w:val="0"/>
                <w:i w:val="0"/>
                <w:sz w:val="15"/>
              </w:rPr>
              <w:t>0.267</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DFS/RFS (unadjusted)</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422</w:t>
            </w:r>
          </w:p>
        </w:tc>
        <w:tc>
          <w:tcPr>
            <w:tcW w:type="dxa" w:w="1178"/>
          </w:tcPr>
          <w:p>
            <w:pPr>
              <w:spacing w:after="0"/>
            </w:pPr>
            <w:r/>
            <w:r>
              <w:rPr>
                <w:rFonts w:ascii="Arial" w:hAnsi="Arial" w:eastAsia="Arial"/>
                <w:b w:val="0"/>
                <w:i w:val="0"/>
                <w:sz w:val="15"/>
              </w:rPr>
              <w:t>6604</w:t>
            </w:r>
          </w:p>
        </w:tc>
        <w:tc>
          <w:tcPr>
            <w:tcW w:type="dxa" w:w="1178"/>
          </w:tcPr>
          <w:p>
            <w:pPr>
              <w:spacing w:after="0"/>
            </w:pPr>
            <w:r/>
            <w:r>
              <w:rPr>
                <w:rFonts w:ascii="Arial" w:hAnsi="Arial" w:eastAsia="Arial"/>
                <w:b w:val="0"/>
                <w:i w:val="0"/>
                <w:sz w:val="15"/>
              </w:rPr>
              <w:t>HR</w:t>
            </w:r>
          </w:p>
        </w:tc>
        <w:tc>
          <w:tcPr>
            <w:tcW w:type="dxa" w:w="1178"/>
          </w:tcPr>
          <w:p>
            <w:pPr>
              <w:spacing w:after="0"/>
            </w:pPr>
            <w:r/>
            <w:r>
              <w:rPr>
                <w:rFonts w:ascii="Arial" w:hAnsi="Arial" w:eastAsia="Arial"/>
                <w:b w:val="0"/>
                <w:i w:val="0"/>
                <w:sz w:val="15"/>
              </w:rPr>
              <w:t>1.62</w:t>
            </w:r>
          </w:p>
        </w:tc>
        <w:tc>
          <w:tcPr>
            <w:tcW w:type="dxa" w:w="1178"/>
          </w:tcPr>
          <w:p>
            <w:pPr>
              <w:spacing w:after="0"/>
            </w:pPr>
            <w:r/>
            <w:r>
              <w:rPr>
                <w:rFonts w:ascii="Arial" w:hAnsi="Arial" w:eastAsia="Arial"/>
                <w:b w:val="0"/>
                <w:i w:val="0"/>
                <w:sz w:val="15"/>
              </w:rPr>
              <w:t>1.33-1.97</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&lt;0.001</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Stage III-IV</w:t>
            </w:r>
          </w:p>
        </w:tc>
        <w:tc>
          <w:tcPr>
            <w:tcW w:type="dxa" w:w="1178"/>
          </w:tcPr>
          <w:p>
            <w:pPr>
              <w:spacing w:after="0"/>
            </w:pPr>
            <w:r/>
            <w:r>
              <w:rPr>
                <w:rFonts w:ascii="Arial" w:hAnsi="Arial" w:eastAsia="Arial"/>
                <w:b w:val="0"/>
                <w:i w:val="0"/>
                <w:sz w:val="15"/>
              </w:rPr>
              <w:t>4</w:t>
            </w:r>
          </w:p>
        </w:tc>
        <w:tc>
          <w:tcPr>
            <w:tcW w:type="dxa" w:w="1178"/>
          </w:tcPr>
          <w:p>
            <w:pPr>
              <w:spacing w:after="0"/>
            </w:pPr>
            <w:r/>
            <w:r>
              <w:rPr>
                <w:rFonts w:ascii="Arial" w:hAnsi="Arial" w:eastAsia="Arial"/>
                <w:b w:val="0"/>
                <w:i w:val="0"/>
                <w:sz w:val="15"/>
              </w:rPr>
              <w:t>960</w:t>
            </w:r>
          </w:p>
        </w:tc>
        <w:tc>
          <w:tcPr>
            <w:tcW w:type="dxa" w:w="1178"/>
          </w:tcPr>
          <w:p>
            <w:pPr>
              <w:spacing w:after="0"/>
            </w:pPr>
            <w:r/>
            <w:r>
              <w:rPr>
                <w:rFonts w:ascii="Arial" w:hAnsi="Arial" w:eastAsia="Arial"/>
                <w:b w:val="0"/>
                <w:i w:val="0"/>
                <w:sz w:val="15"/>
              </w:rPr>
              <w:t>16536</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0.84</w:t>
            </w:r>
          </w:p>
        </w:tc>
        <w:tc>
          <w:tcPr>
            <w:tcW w:type="dxa" w:w="1178"/>
          </w:tcPr>
          <w:p>
            <w:pPr>
              <w:spacing w:after="0"/>
            </w:pPr>
            <w:r/>
            <w:r>
              <w:rPr>
                <w:rFonts w:ascii="Arial" w:hAnsi="Arial" w:eastAsia="Arial"/>
                <w:b w:val="0"/>
                <w:i w:val="0"/>
                <w:sz w:val="15"/>
              </w:rPr>
              <w:t>0.74-0.97</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0.015</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Lymph-node metastasis</w:t>
            </w:r>
          </w:p>
        </w:tc>
        <w:tc>
          <w:tcPr>
            <w:tcW w:type="dxa" w:w="1178"/>
          </w:tcPr>
          <w:p>
            <w:pPr>
              <w:spacing w:after="0"/>
            </w:pPr>
            <w:r/>
            <w:r>
              <w:rPr>
                <w:rFonts w:ascii="Arial" w:hAnsi="Arial" w:eastAsia="Arial"/>
                <w:b w:val="0"/>
                <w:i w:val="0"/>
                <w:sz w:val="15"/>
              </w:rPr>
              <w:t>5</w:t>
            </w:r>
          </w:p>
        </w:tc>
        <w:tc>
          <w:tcPr>
            <w:tcW w:type="dxa" w:w="1178"/>
          </w:tcPr>
          <w:p>
            <w:pPr>
              <w:spacing w:after="0"/>
            </w:pPr>
            <w:r/>
            <w:r>
              <w:rPr>
                <w:rFonts w:ascii="Arial" w:hAnsi="Arial" w:eastAsia="Arial"/>
                <w:b w:val="0"/>
                <w:i w:val="0"/>
                <w:sz w:val="15"/>
              </w:rPr>
              <w:t>1240</w:t>
            </w:r>
          </w:p>
        </w:tc>
        <w:tc>
          <w:tcPr>
            <w:tcW w:type="dxa" w:w="1178"/>
          </w:tcPr>
          <w:p>
            <w:pPr>
              <w:spacing w:after="0"/>
            </w:pPr>
            <w:r/>
            <w:r>
              <w:rPr>
                <w:rFonts w:ascii="Arial" w:hAnsi="Arial" w:eastAsia="Arial"/>
                <w:b w:val="0"/>
                <w:i w:val="0"/>
                <w:sz w:val="15"/>
              </w:rPr>
              <w:t>16371</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0.97</w:t>
            </w:r>
          </w:p>
        </w:tc>
        <w:tc>
          <w:tcPr>
            <w:tcW w:type="dxa" w:w="1178"/>
          </w:tcPr>
          <w:p>
            <w:pPr>
              <w:spacing w:after="0"/>
            </w:pPr>
            <w:r/>
            <w:r>
              <w:rPr>
                <w:rFonts w:ascii="Arial" w:hAnsi="Arial" w:eastAsia="Arial"/>
                <w:b w:val="0"/>
                <w:i w:val="0"/>
                <w:sz w:val="15"/>
              </w:rPr>
              <w:t>0.76-1.23</w:t>
            </w:r>
          </w:p>
        </w:tc>
        <w:tc>
          <w:tcPr>
            <w:tcW w:type="dxa" w:w="1178"/>
          </w:tcPr>
          <w:p>
            <w:pPr>
              <w:spacing w:after="0"/>
            </w:pPr>
            <w:r/>
            <w:r>
              <w:rPr>
                <w:rFonts w:ascii="Arial" w:hAnsi="Arial" w:eastAsia="Arial"/>
                <w:b w:val="0"/>
                <w:i w:val="0"/>
                <w:sz w:val="15"/>
              </w:rPr>
              <w:t>49%</w:t>
            </w:r>
          </w:p>
        </w:tc>
        <w:tc>
          <w:tcPr>
            <w:tcW w:type="dxa" w:w="1178"/>
          </w:tcPr>
          <w:p>
            <w:pPr>
              <w:spacing w:after="0"/>
            </w:pPr>
            <w:r/>
            <w:r>
              <w:rPr>
                <w:rFonts w:ascii="Arial" w:hAnsi="Arial" w:eastAsia="Arial"/>
                <w:b w:val="0"/>
                <w:i w:val="0"/>
                <w:sz w:val="15"/>
              </w:rPr>
              <w:t>0.035</w:t>
            </w:r>
          </w:p>
        </w:tc>
        <w:tc>
          <w:tcPr>
            <w:tcW w:type="dxa" w:w="1178"/>
          </w:tcPr>
          <w:p>
            <w:pPr>
              <w:spacing w:after="0"/>
            </w:pPr>
            <w:r/>
            <w:r>
              <w:rPr>
                <w:rFonts w:ascii="Arial" w:hAnsi="Arial" w:eastAsia="Arial"/>
                <w:b w:val="0"/>
                <w:i w:val="0"/>
                <w:sz w:val="15"/>
              </w:rPr>
              <w:t>0.783</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Distant metastasis</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838</w:t>
            </w:r>
          </w:p>
        </w:tc>
        <w:tc>
          <w:tcPr>
            <w:tcW w:type="dxa" w:w="1178"/>
          </w:tcPr>
          <w:p>
            <w:pPr>
              <w:spacing w:after="0"/>
            </w:pPr>
            <w:r/>
            <w:r>
              <w:rPr>
                <w:rFonts w:ascii="Arial" w:hAnsi="Arial" w:eastAsia="Arial"/>
                <w:b w:val="0"/>
                <w:i w:val="0"/>
                <w:sz w:val="15"/>
              </w:rPr>
              <w:t>16614</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0.99</w:t>
            </w:r>
          </w:p>
        </w:tc>
        <w:tc>
          <w:tcPr>
            <w:tcW w:type="dxa" w:w="1178"/>
          </w:tcPr>
          <w:p>
            <w:pPr>
              <w:spacing w:after="0"/>
            </w:pPr>
            <w:r/>
            <w:r>
              <w:rPr>
                <w:rFonts w:ascii="Arial" w:hAnsi="Arial" w:eastAsia="Arial"/>
                <w:b w:val="0"/>
                <w:i w:val="0"/>
                <w:sz w:val="15"/>
              </w:rPr>
              <w:t>0.51-1.93</w:t>
            </w:r>
          </w:p>
        </w:tc>
        <w:tc>
          <w:tcPr>
            <w:tcW w:type="dxa" w:w="1178"/>
          </w:tcPr>
          <w:p>
            <w:pPr>
              <w:spacing w:after="0"/>
            </w:pPr>
            <w:r/>
            <w:r>
              <w:rPr>
                <w:rFonts w:ascii="Arial" w:hAnsi="Arial" w:eastAsia="Arial"/>
                <w:b w:val="0"/>
                <w:i w:val="0"/>
                <w:sz w:val="15"/>
              </w:rPr>
              <w:t>56%</w:t>
            </w:r>
          </w:p>
        </w:tc>
        <w:tc>
          <w:tcPr>
            <w:tcW w:type="dxa" w:w="1178"/>
          </w:tcPr>
          <w:p>
            <w:pPr>
              <w:spacing w:after="0"/>
            </w:pPr>
            <w:r/>
            <w:r>
              <w:rPr>
                <w:rFonts w:ascii="Arial" w:hAnsi="Arial" w:eastAsia="Arial"/>
                <w:b w:val="0"/>
                <w:i w:val="0"/>
                <w:sz w:val="15"/>
              </w:rPr>
              <w:t>0.151</w:t>
            </w:r>
          </w:p>
        </w:tc>
        <w:tc>
          <w:tcPr>
            <w:tcW w:type="dxa" w:w="1178"/>
          </w:tcPr>
          <w:p>
            <w:pPr>
              <w:spacing w:after="0"/>
            </w:pPr>
            <w:r/>
            <w:r>
              <w:rPr>
                <w:rFonts w:ascii="Arial" w:hAnsi="Arial" w:eastAsia="Arial"/>
                <w:b w:val="0"/>
                <w:i w:val="0"/>
                <w:sz w:val="15"/>
              </w:rPr>
              <w:t>0.985</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pT3-T4</w:t>
            </w:r>
          </w:p>
        </w:tc>
        <w:tc>
          <w:tcPr>
            <w:tcW w:type="dxa" w:w="1178"/>
          </w:tcPr>
          <w:p>
            <w:pPr>
              <w:spacing w:after="0"/>
            </w:pPr>
            <w:r/>
            <w:r>
              <w:rPr>
                <w:rFonts w:ascii="Arial" w:hAnsi="Arial" w:eastAsia="Arial"/>
                <w:b w:val="0"/>
                <w:i w:val="0"/>
                <w:sz w:val="15"/>
              </w:rPr>
              <w:t>5</w:t>
            </w:r>
          </w:p>
        </w:tc>
        <w:tc>
          <w:tcPr>
            <w:tcW w:type="dxa" w:w="1178"/>
          </w:tcPr>
          <w:p>
            <w:pPr>
              <w:spacing w:after="0"/>
            </w:pPr>
            <w:r/>
            <w:r>
              <w:rPr>
                <w:rFonts w:ascii="Arial" w:hAnsi="Arial" w:eastAsia="Arial"/>
                <w:b w:val="0"/>
                <w:i w:val="0"/>
                <w:sz w:val="15"/>
              </w:rPr>
              <w:t>1293</w:t>
            </w:r>
          </w:p>
        </w:tc>
        <w:tc>
          <w:tcPr>
            <w:tcW w:type="dxa" w:w="1178"/>
          </w:tcPr>
          <w:p>
            <w:pPr>
              <w:spacing w:after="0"/>
            </w:pPr>
            <w:r/>
            <w:r>
              <w:rPr>
                <w:rFonts w:ascii="Arial" w:hAnsi="Arial" w:eastAsia="Arial"/>
                <w:b w:val="0"/>
                <w:i w:val="0"/>
                <w:sz w:val="15"/>
              </w:rPr>
              <w:t>19295</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0.95</w:t>
            </w:r>
          </w:p>
        </w:tc>
        <w:tc>
          <w:tcPr>
            <w:tcW w:type="dxa" w:w="1178"/>
          </w:tcPr>
          <w:p>
            <w:pPr>
              <w:spacing w:after="0"/>
            </w:pPr>
            <w:r/>
            <w:r>
              <w:rPr>
                <w:rFonts w:ascii="Arial" w:hAnsi="Arial" w:eastAsia="Arial"/>
                <w:b w:val="0"/>
                <w:i w:val="0"/>
                <w:sz w:val="15"/>
              </w:rPr>
              <w:t>0.70-1.30</w:t>
            </w:r>
          </w:p>
        </w:tc>
        <w:tc>
          <w:tcPr>
            <w:tcW w:type="dxa" w:w="1178"/>
          </w:tcPr>
          <w:p>
            <w:pPr>
              <w:spacing w:after="0"/>
            </w:pPr>
            <w:r/>
            <w:r>
              <w:rPr>
                <w:rFonts w:ascii="Arial" w:hAnsi="Arial" w:eastAsia="Arial"/>
                <w:b w:val="0"/>
                <w:i w:val="0"/>
                <w:sz w:val="15"/>
              </w:rPr>
              <w:t>69%</w:t>
            </w:r>
          </w:p>
        </w:tc>
        <w:tc>
          <w:tcPr>
            <w:tcW w:type="dxa" w:w="1178"/>
          </w:tcPr>
          <w:p>
            <w:pPr>
              <w:spacing w:after="0"/>
            </w:pPr>
            <w:r/>
            <w:r>
              <w:rPr>
                <w:rFonts w:ascii="Arial" w:hAnsi="Arial" w:eastAsia="Arial"/>
                <w:b w:val="0"/>
                <w:i w:val="0"/>
                <w:sz w:val="15"/>
              </w:rPr>
              <w:t>0.076</w:t>
            </w:r>
          </w:p>
        </w:tc>
        <w:tc>
          <w:tcPr>
            <w:tcW w:type="dxa" w:w="1178"/>
          </w:tcPr>
          <w:p>
            <w:pPr>
              <w:spacing w:after="0"/>
            </w:pPr>
            <w:r/>
            <w:r>
              <w:rPr>
                <w:rFonts w:ascii="Arial" w:hAnsi="Arial" w:eastAsia="Arial"/>
                <w:b w:val="0"/>
                <w:i w:val="0"/>
                <w:sz w:val="15"/>
              </w:rPr>
              <w:t>0.755</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Male sex</w:t>
            </w:r>
          </w:p>
        </w:tc>
        <w:tc>
          <w:tcPr>
            <w:tcW w:type="dxa" w:w="1178"/>
          </w:tcPr>
          <w:p>
            <w:pPr>
              <w:spacing w:after="0"/>
            </w:pPr>
            <w:r/>
            <w:r>
              <w:rPr>
                <w:rFonts w:ascii="Arial" w:hAnsi="Arial" w:eastAsia="Arial"/>
                <w:b w:val="0"/>
                <w:i w:val="0"/>
                <w:sz w:val="15"/>
              </w:rPr>
              <w:t>6</w:t>
            </w:r>
          </w:p>
        </w:tc>
        <w:tc>
          <w:tcPr>
            <w:tcW w:type="dxa" w:w="1178"/>
          </w:tcPr>
          <w:p>
            <w:pPr>
              <w:spacing w:after="0"/>
            </w:pPr>
            <w:r/>
            <w:r>
              <w:rPr>
                <w:rFonts w:ascii="Arial" w:hAnsi="Arial" w:eastAsia="Arial"/>
                <w:b w:val="0"/>
                <w:i w:val="0"/>
                <w:sz w:val="15"/>
              </w:rPr>
              <w:t>1364</w:t>
            </w:r>
          </w:p>
        </w:tc>
        <w:tc>
          <w:tcPr>
            <w:tcW w:type="dxa" w:w="1178"/>
          </w:tcPr>
          <w:p>
            <w:pPr>
              <w:spacing w:after="0"/>
            </w:pPr>
            <w:r/>
            <w:r>
              <w:rPr>
                <w:rFonts w:ascii="Arial" w:hAnsi="Arial" w:eastAsia="Arial"/>
                <w:b w:val="0"/>
                <w:i w:val="0"/>
                <w:sz w:val="15"/>
              </w:rPr>
              <w:t>34328</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1.38</w:t>
            </w:r>
          </w:p>
        </w:tc>
        <w:tc>
          <w:tcPr>
            <w:tcW w:type="dxa" w:w="1178"/>
          </w:tcPr>
          <w:p>
            <w:pPr>
              <w:spacing w:after="0"/>
            </w:pPr>
            <w:r/>
            <w:r>
              <w:rPr>
                <w:rFonts w:ascii="Arial" w:hAnsi="Arial" w:eastAsia="Arial"/>
                <w:b w:val="0"/>
                <w:i w:val="0"/>
                <w:sz w:val="15"/>
              </w:rPr>
              <w:t>1.22-1.55</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&lt;0.001</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Age, years</w:t>
            </w:r>
          </w:p>
        </w:tc>
        <w:tc>
          <w:tcPr>
            <w:tcW w:type="dxa" w:w="1178"/>
          </w:tcPr>
          <w:p>
            <w:pPr>
              <w:spacing w:after="0"/>
            </w:pPr>
            <w:r/>
            <w:r>
              <w:rPr>
                <w:rFonts w:ascii="Arial" w:hAnsi="Arial" w:eastAsia="Arial"/>
                <w:b w:val="0"/>
                <w:i w:val="0"/>
                <w:sz w:val="15"/>
              </w:rPr>
              <w:t>3</w:t>
            </w:r>
          </w:p>
        </w:tc>
        <w:tc>
          <w:tcPr>
            <w:tcW w:type="dxa" w:w="1178"/>
          </w:tcPr>
          <w:p>
            <w:pPr>
              <w:spacing w:after="0"/>
            </w:pPr>
            <w:r/>
            <w:r>
              <w:rPr>
                <w:rFonts w:ascii="Arial" w:hAnsi="Arial" w:eastAsia="Arial"/>
                <w:b w:val="0"/>
                <w:i w:val="0"/>
                <w:sz w:val="15"/>
              </w:rPr>
              <w:t>1102</w:t>
            </w:r>
          </w:p>
        </w:tc>
        <w:tc>
          <w:tcPr>
            <w:tcW w:type="dxa" w:w="1178"/>
          </w:tcPr>
          <w:p>
            <w:pPr>
              <w:spacing w:after="0"/>
            </w:pPr>
            <w:r/>
            <w:r>
              <w:rPr>
                <w:rFonts w:ascii="Arial" w:hAnsi="Arial" w:eastAsia="Arial"/>
                <w:b w:val="0"/>
                <w:i w:val="0"/>
                <w:sz w:val="15"/>
              </w:rPr>
              <w:t>33249</w:t>
            </w:r>
          </w:p>
        </w:tc>
        <w:tc>
          <w:tcPr>
            <w:tcW w:type="dxa" w:w="1178"/>
          </w:tcPr>
          <w:p>
            <w:pPr>
              <w:spacing w:after="0"/>
            </w:pPr>
            <w:r/>
            <w:r>
              <w:rPr>
                <w:rFonts w:ascii="Arial" w:hAnsi="Arial" w:eastAsia="Arial"/>
                <w:b w:val="0"/>
                <w:i w:val="0"/>
                <w:sz w:val="15"/>
              </w:rPr>
              <w:t>MD</w:t>
            </w:r>
          </w:p>
        </w:tc>
        <w:tc>
          <w:tcPr>
            <w:tcW w:type="dxa" w:w="1178"/>
          </w:tcPr>
          <w:p>
            <w:pPr>
              <w:spacing w:after="0"/>
            </w:pPr>
            <w:r/>
            <w:r>
              <w:rPr>
                <w:rFonts w:ascii="Arial" w:hAnsi="Arial" w:eastAsia="Arial"/>
                <w:b w:val="0"/>
                <w:i w:val="0"/>
                <w:sz w:val="15"/>
              </w:rPr>
              <w:t>3.39</w:t>
            </w:r>
          </w:p>
        </w:tc>
        <w:tc>
          <w:tcPr>
            <w:tcW w:type="dxa" w:w="1178"/>
          </w:tcPr>
          <w:p>
            <w:pPr>
              <w:spacing w:after="0"/>
            </w:pPr>
            <w:r/>
            <w:r>
              <w:rPr>
                <w:rFonts w:ascii="Arial" w:hAnsi="Arial" w:eastAsia="Arial"/>
                <w:b w:val="0"/>
                <w:i w:val="0"/>
                <w:sz w:val="15"/>
              </w:rPr>
              <w:t>-1.52-8.31</w:t>
            </w:r>
          </w:p>
        </w:tc>
        <w:tc>
          <w:tcPr>
            <w:tcW w:type="dxa" w:w="1178"/>
          </w:tcPr>
          <w:p>
            <w:pPr>
              <w:spacing w:after="0"/>
            </w:pPr>
            <w:r/>
            <w:r>
              <w:rPr>
                <w:rFonts w:ascii="Arial" w:hAnsi="Arial" w:eastAsia="Arial"/>
                <w:b w:val="0"/>
                <w:i w:val="0"/>
                <w:sz w:val="15"/>
              </w:rPr>
              <w:t>97%</w:t>
            </w:r>
          </w:p>
        </w:tc>
        <w:tc>
          <w:tcPr>
            <w:tcW w:type="dxa" w:w="1178"/>
          </w:tcPr>
          <w:p>
            <w:pPr>
              <w:spacing w:after="0"/>
            </w:pPr>
            <w:r/>
            <w:r>
              <w:rPr>
                <w:rFonts w:ascii="Arial" w:hAnsi="Arial" w:eastAsia="Arial"/>
                <w:b w:val="0"/>
                <w:i w:val="0"/>
                <w:sz w:val="15"/>
              </w:rPr>
              <w:t>16.888</w:t>
            </w:r>
          </w:p>
        </w:tc>
        <w:tc>
          <w:tcPr>
            <w:tcW w:type="dxa" w:w="1178"/>
          </w:tcPr>
          <w:p>
            <w:pPr>
              <w:spacing w:after="0"/>
            </w:pPr>
            <w:r/>
            <w:r>
              <w:rPr>
                <w:rFonts w:ascii="Arial" w:hAnsi="Arial" w:eastAsia="Arial"/>
                <w:b w:val="0"/>
                <w:i w:val="0"/>
                <w:sz w:val="15"/>
              </w:rPr>
              <w:t>0.176</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Age &gt; 60 years</w:t>
            </w:r>
          </w:p>
        </w:tc>
        <w:tc>
          <w:tcPr>
            <w:tcW w:type="dxa" w:w="1178"/>
          </w:tcPr>
          <w:p>
            <w:pPr>
              <w:spacing w:after="0"/>
            </w:pPr>
            <w:r/>
            <w:r>
              <w:rPr>
                <w:rFonts w:ascii="Arial" w:hAnsi="Arial" w:eastAsia="Arial"/>
                <w:b w:val="0"/>
                <w:i w:val="0"/>
                <w:sz w:val="15"/>
              </w:rPr>
              <w:t>4</w:t>
            </w:r>
          </w:p>
        </w:tc>
        <w:tc>
          <w:tcPr>
            <w:tcW w:type="dxa" w:w="1178"/>
          </w:tcPr>
          <w:p>
            <w:pPr>
              <w:spacing w:after="0"/>
            </w:pPr>
            <w:r/>
            <w:r>
              <w:rPr>
                <w:rFonts w:ascii="Arial" w:hAnsi="Arial" w:eastAsia="Arial"/>
                <w:b w:val="0"/>
                <w:i w:val="0"/>
                <w:sz w:val="15"/>
              </w:rPr>
              <w:t>515</w:t>
            </w:r>
          </w:p>
        </w:tc>
        <w:tc>
          <w:tcPr>
            <w:tcW w:type="dxa" w:w="1178"/>
          </w:tcPr>
          <w:p>
            <w:pPr>
              <w:spacing w:after="0"/>
            </w:pPr>
            <w:r/>
            <w:r>
              <w:rPr>
                <w:rFonts w:ascii="Arial" w:hAnsi="Arial" w:eastAsia="Arial"/>
                <w:b w:val="0"/>
                <w:i w:val="0"/>
                <w:sz w:val="15"/>
              </w:rPr>
              <w:t>3964</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2.63</w:t>
            </w:r>
          </w:p>
        </w:tc>
        <w:tc>
          <w:tcPr>
            <w:tcW w:type="dxa" w:w="1178"/>
          </w:tcPr>
          <w:p>
            <w:pPr>
              <w:spacing w:after="0"/>
            </w:pPr>
            <w:r/>
            <w:r>
              <w:rPr>
                <w:rFonts w:ascii="Arial" w:hAnsi="Arial" w:eastAsia="Arial"/>
                <w:b w:val="0"/>
                <w:i w:val="0"/>
                <w:sz w:val="15"/>
              </w:rPr>
              <w:t>0.88-7.89</w:t>
            </w:r>
          </w:p>
        </w:tc>
        <w:tc>
          <w:tcPr>
            <w:tcW w:type="dxa" w:w="1178"/>
          </w:tcPr>
          <w:p>
            <w:pPr>
              <w:spacing w:after="0"/>
            </w:pPr>
            <w:r/>
            <w:r>
              <w:rPr>
                <w:rFonts w:ascii="Arial" w:hAnsi="Arial" w:eastAsia="Arial"/>
                <w:b w:val="0"/>
                <w:i w:val="0"/>
                <w:sz w:val="15"/>
              </w:rPr>
              <w:t>94%</w:t>
            </w:r>
          </w:p>
        </w:tc>
        <w:tc>
          <w:tcPr>
            <w:tcW w:type="dxa" w:w="1178"/>
          </w:tcPr>
          <w:p>
            <w:pPr>
              <w:spacing w:after="0"/>
            </w:pPr>
            <w:r/>
            <w:r>
              <w:rPr>
                <w:rFonts w:ascii="Arial" w:hAnsi="Arial" w:eastAsia="Arial"/>
                <w:b w:val="0"/>
                <w:i w:val="0"/>
                <w:sz w:val="15"/>
              </w:rPr>
              <w:t>1.145</w:t>
            </w:r>
          </w:p>
        </w:tc>
        <w:tc>
          <w:tcPr>
            <w:tcW w:type="dxa" w:w="1178"/>
          </w:tcPr>
          <w:p>
            <w:pPr>
              <w:spacing w:after="0"/>
            </w:pPr>
            <w:r/>
            <w:r>
              <w:rPr>
                <w:rFonts w:ascii="Arial" w:hAnsi="Arial" w:eastAsia="Arial"/>
                <w:b w:val="0"/>
                <w:i w:val="0"/>
                <w:sz w:val="15"/>
              </w:rPr>
              <w:t>0.084</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Rectal location</w:t>
            </w:r>
          </w:p>
        </w:tc>
        <w:tc>
          <w:tcPr>
            <w:tcW w:type="dxa" w:w="1178"/>
          </w:tcPr>
          <w:p>
            <w:pPr>
              <w:spacing w:after="0"/>
            </w:pPr>
            <w:r/>
            <w:r>
              <w:rPr>
                <w:rFonts w:ascii="Arial" w:hAnsi="Arial" w:eastAsia="Arial"/>
                <w:b w:val="0"/>
                <w:i w:val="0"/>
                <w:sz w:val="15"/>
              </w:rPr>
              <w:t>5</w:t>
            </w:r>
          </w:p>
        </w:tc>
        <w:tc>
          <w:tcPr>
            <w:tcW w:type="dxa" w:w="1178"/>
          </w:tcPr>
          <w:p>
            <w:pPr>
              <w:spacing w:after="0"/>
            </w:pPr>
            <w:r/>
            <w:r>
              <w:rPr>
                <w:rFonts w:ascii="Arial" w:hAnsi="Arial" w:eastAsia="Arial"/>
                <w:b w:val="0"/>
                <w:i w:val="0"/>
                <w:sz w:val="15"/>
              </w:rPr>
              <w:t>1313</w:t>
            </w:r>
          </w:p>
        </w:tc>
        <w:tc>
          <w:tcPr>
            <w:tcW w:type="dxa" w:w="1178"/>
          </w:tcPr>
          <w:p>
            <w:pPr>
              <w:spacing w:after="0"/>
            </w:pPr>
            <w:r/>
            <w:r>
              <w:rPr>
                <w:rFonts w:ascii="Arial" w:hAnsi="Arial" w:eastAsia="Arial"/>
                <w:b w:val="0"/>
                <w:i w:val="0"/>
                <w:sz w:val="15"/>
              </w:rPr>
              <w:t>33746</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1.19</w:t>
            </w:r>
          </w:p>
        </w:tc>
        <w:tc>
          <w:tcPr>
            <w:tcW w:type="dxa" w:w="1178"/>
          </w:tcPr>
          <w:p>
            <w:pPr>
              <w:spacing w:after="0"/>
            </w:pPr>
            <w:r/>
            <w:r>
              <w:rPr>
                <w:rFonts w:ascii="Arial" w:hAnsi="Arial" w:eastAsia="Arial"/>
                <w:b w:val="0"/>
                <w:i w:val="0"/>
                <w:sz w:val="15"/>
              </w:rPr>
              <w:t>1.06-1.33</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0.004</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Sigmoid location</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348</w:t>
            </w:r>
          </w:p>
        </w:tc>
        <w:tc>
          <w:tcPr>
            <w:tcW w:type="dxa" w:w="1178"/>
          </w:tcPr>
          <w:p>
            <w:pPr>
              <w:spacing w:after="0"/>
            </w:pPr>
            <w:r/>
            <w:r>
              <w:rPr>
                <w:rFonts w:ascii="Arial" w:hAnsi="Arial" w:eastAsia="Arial"/>
                <w:b w:val="0"/>
                <w:i w:val="0"/>
                <w:sz w:val="15"/>
              </w:rPr>
              <w:t>3291</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0.92</w:t>
            </w:r>
          </w:p>
        </w:tc>
        <w:tc>
          <w:tcPr>
            <w:tcW w:type="dxa" w:w="1178"/>
          </w:tcPr>
          <w:p>
            <w:pPr>
              <w:spacing w:after="0"/>
            </w:pPr>
            <w:r/>
            <w:r>
              <w:rPr>
                <w:rFonts w:ascii="Arial" w:hAnsi="Arial" w:eastAsia="Arial"/>
                <w:b w:val="0"/>
                <w:i w:val="0"/>
                <w:sz w:val="15"/>
              </w:rPr>
              <w:t>0.70-1.21</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0.562</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Right-sided colon</w:t>
            </w:r>
          </w:p>
        </w:tc>
        <w:tc>
          <w:tcPr>
            <w:tcW w:type="dxa" w:w="1178"/>
          </w:tcPr>
          <w:p>
            <w:pPr>
              <w:spacing w:after="0"/>
            </w:pPr>
            <w:r/>
            <w:r>
              <w:rPr>
                <w:rFonts w:ascii="Arial" w:hAnsi="Arial" w:eastAsia="Arial"/>
                <w:b w:val="0"/>
                <w:i w:val="0"/>
                <w:sz w:val="15"/>
              </w:rPr>
              <w:t>5</w:t>
            </w:r>
          </w:p>
        </w:tc>
        <w:tc>
          <w:tcPr>
            <w:tcW w:type="dxa" w:w="1178"/>
          </w:tcPr>
          <w:p>
            <w:pPr>
              <w:spacing w:after="0"/>
            </w:pPr>
            <w:r/>
            <w:r>
              <w:rPr>
                <w:rFonts w:ascii="Arial" w:hAnsi="Arial" w:eastAsia="Arial"/>
                <w:b w:val="0"/>
                <w:i w:val="0"/>
                <w:sz w:val="15"/>
              </w:rPr>
              <w:t>1313</w:t>
            </w:r>
          </w:p>
        </w:tc>
        <w:tc>
          <w:tcPr>
            <w:tcW w:type="dxa" w:w="1178"/>
          </w:tcPr>
          <w:p>
            <w:pPr>
              <w:spacing w:after="0"/>
            </w:pPr>
            <w:r/>
            <w:r>
              <w:rPr>
                <w:rFonts w:ascii="Arial" w:hAnsi="Arial" w:eastAsia="Arial"/>
                <w:b w:val="0"/>
                <w:i w:val="0"/>
                <w:sz w:val="15"/>
              </w:rPr>
              <w:t>33746</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0.79</w:t>
            </w:r>
          </w:p>
        </w:tc>
        <w:tc>
          <w:tcPr>
            <w:tcW w:type="dxa" w:w="1178"/>
          </w:tcPr>
          <w:p>
            <w:pPr>
              <w:spacing w:after="0"/>
            </w:pPr>
            <w:r/>
            <w:r>
              <w:rPr>
                <w:rFonts w:ascii="Arial" w:hAnsi="Arial" w:eastAsia="Arial"/>
                <w:b w:val="0"/>
                <w:i w:val="0"/>
                <w:sz w:val="15"/>
              </w:rPr>
              <w:t>0.61-1.01</w:t>
            </w:r>
          </w:p>
        </w:tc>
        <w:tc>
          <w:tcPr>
            <w:tcW w:type="dxa" w:w="1178"/>
          </w:tcPr>
          <w:p>
            <w:pPr>
              <w:spacing w:after="0"/>
            </w:pPr>
            <w:r/>
            <w:r>
              <w:rPr>
                <w:rFonts w:ascii="Arial" w:hAnsi="Arial" w:eastAsia="Arial"/>
                <w:b w:val="0"/>
                <w:i w:val="0"/>
                <w:sz w:val="15"/>
              </w:rPr>
              <w:t>51%</w:t>
            </w:r>
          </w:p>
        </w:tc>
        <w:tc>
          <w:tcPr>
            <w:tcW w:type="dxa" w:w="1178"/>
          </w:tcPr>
          <w:p>
            <w:pPr>
              <w:spacing w:after="0"/>
            </w:pPr>
            <w:r/>
            <w:r>
              <w:rPr>
                <w:rFonts w:ascii="Arial" w:hAnsi="Arial" w:eastAsia="Arial"/>
                <w:b w:val="0"/>
                <w:i w:val="0"/>
                <w:sz w:val="15"/>
              </w:rPr>
              <w:t>0.037</w:t>
            </w:r>
          </w:p>
        </w:tc>
        <w:tc>
          <w:tcPr>
            <w:tcW w:type="dxa" w:w="1178"/>
          </w:tcPr>
          <w:p>
            <w:pPr>
              <w:spacing w:after="0"/>
            </w:pPr>
            <w:r/>
            <w:r>
              <w:rPr>
                <w:rFonts w:ascii="Arial" w:hAnsi="Arial" w:eastAsia="Arial"/>
                <w:b w:val="0"/>
                <w:i w:val="0"/>
                <w:sz w:val="15"/>
              </w:rPr>
              <w:t>0.055</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Poor differentiation</w:t>
            </w:r>
          </w:p>
        </w:tc>
        <w:tc>
          <w:tcPr>
            <w:tcW w:type="dxa" w:w="1178"/>
          </w:tcPr>
          <w:p>
            <w:pPr>
              <w:spacing w:after="0"/>
            </w:pPr>
            <w:r/>
            <w:r>
              <w:rPr>
                <w:rFonts w:ascii="Arial" w:hAnsi="Arial" w:eastAsia="Arial"/>
                <w:b w:val="0"/>
                <w:i w:val="0"/>
                <w:sz w:val="15"/>
              </w:rPr>
              <w:t>7</w:t>
            </w:r>
          </w:p>
        </w:tc>
        <w:tc>
          <w:tcPr>
            <w:tcW w:type="dxa" w:w="1178"/>
          </w:tcPr>
          <w:p>
            <w:pPr>
              <w:spacing w:after="0"/>
            </w:pPr>
            <w:r/>
            <w:r>
              <w:rPr>
                <w:rFonts w:ascii="Arial" w:hAnsi="Arial" w:eastAsia="Arial"/>
                <w:b w:val="0"/>
                <w:i w:val="0"/>
                <w:sz w:val="15"/>
              </w:rPr>
              <w:t>1383</w:t>
            </w:r>
          </w:p>
        </w:tc>
        <w:tc>
          <w:tcPr>
            <w:tcW w:type="dxa" w:w="1178"/>
          </w:tcPr>
          <w:p>
            <w:pPr>
              <w:spacing w:after="0"/>
            </w:pPr>
            <w:r/>
            <w:r>
              <w:rPr>
                <w:rFonts w:ascii="Arial" w:hAnsi="Arial" w:eastAsia="Arial"/>
                <w:b w:val="0"/>
                <w:i w:val="0"/>
                <w:sz w:val="15"/>
              </w:rPr>
              <w:t>19439</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0.70</w:t>
            </w:r>
          </w:p>
        </w:tc>
        <w:tc>
          <w:tcPr>
            <w:tcW w:type="dxa" w:w="1178"/>
          </w:tcPr>
          <w:p>
            <w:pPr>
              <w:spacing w:after="0"/>
            </w:pPr>
            <w:r/>
            <w:r>
              <w:rPr>
                <w:rFonts w:ascii="Arial" w:hAnsi="Arial" w:eastAsia="Arial"/>
                <w:b w:val="0"/>
                <w:i w:val="0"/>
                <w:sz w:val="15"/>
              </w:rPr>
              <w:t>0.35-1.40</w:t>
            </w:r>
          </w:p>
        </w:tc>
        <w:tc>
          <w:tcPr>
            <w:tcW w:type="dxa" w:w="1178"/>
          </w:tcPr>
          <w:p>
            <w:pPr>
              <w:spacing w:after="0"/>
            </w:pPr>
            <w:r/>
            <w:r>
              <w:rPr>
                <w:rFonts w:ascii="Arial" w:hAnsi="Arial" w:eastAsia="Arial"/>
                <w:b w:val="0"/>
                <w:i w:val="0"/>
                <w:sz w:val="15"/>
              </w:rPr>
              <w:t>88%</w:t>
            </w:r>
          </w:p>
        </w:tc>
        <w:tc>
          <w:tcPr>
            <w:tcW w:type="dxa" w:w="1178"/>
          </w:tcPr>
          <w:p>
            <w:pPr>
              <w:spacing w:after="0"/>
            </w:pPr>
            <w:r/>
            <w:r>
              <w:rPr>
                <w:rFonts w:ascii="Arial" w:hAnsi="Arial" w:eastAsia="Arial"/>
                <w:b w:val="0"/>
                <w:i w:val="0"/>
                <w:sz w:val="15"/>
              </w:rPr>
              <w:t>0.701</w:t>
            </w:r>
          </w:p>
        </w:tc>
        <w:tc>
          <w:tcPr>
            <w:tcW w:type="dxa" w:w="1178"/>
          </w:tcPr>
          <w:p>
            <w:pPr>
              <w:spacing w:after="0"/>
            </w:pPr>
            <w:r/>
            <w:r>
              <w:rPr>
                <w:rFonts w:ascii="Arial" w:hAnsi="Arial" w:eastAsia="Arial"/>
                <w:b w:val="0"/>
                <w:i w:val="0"/>
                <w:sz w:val="15"/>
              </w:rPr>
              <w:t>0.311</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Mucinous/signet-ring histology</w:t>
            </w:r>
          </w:p>
        </w:tc>
        <w:tc>
          <w:tcPr>
            <w:tcW w:type="dxa" w:w="1178"/>
          </w:tcPr>
          <w:p>
            <w:pPr>
              <w:spacing w:after="0"/>
            </w:pPr>
            <w:r/>
            <w:r>
              <w:rPr>
                <w:rFonts w:ascii="Arial" w:hAnsi="Arial" w:eastAsia="Arial"/>
                <w:b w:val="0"/>
                <w:i w:val="0"/>
                <w:sz w:val="15"/>
              </w:rPr>
              <w:t>3</w:t>
            </w:r>
          </w:p>
        </w:tc>
        <w:tc>
          <w:tcPr>
            <w:tcW w:type="dxa" w:w="1178"/>
          </w:tcPr>
          <w:p>
            <w:pPr>
              <w:spacing w:after="0"/>
            </w:pPr>
            <w:r/>
            <w:r>
              <w:rPr>
                <w:rFonts w:ascii="Arial" w:hAnsi="Arial" w:eastAsia="Arial"/>
                <w:b w:val="0"/>
                <w:i w:val="0"/>
                <w:sz w:val="15"/>
              </w:rPr>
              <w:t>258</w:t>
            </w:r>
          </w:p>
        </w:tc>
        <w:tc>
          <w:tcPr>
            <w:tcW w:type="dxa" w:w="1178"/>
          </w:tcPr>
          <w:p>
            <w:pPr>
              <w:spacing w:after="0"/>
            </w:pPr>
            <w:r/>
            <w:r>
              <w:rPr>
                <w:rFonts w:ascii="Arial" w:hAnsi="Arial" w:eastAsia="Arial"/>
                <w:b w:val="0"/>
                <w:i w:val="0"/>
                <w:sz w:val="15"/>
              </w:rPr>
              <w:t>654</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1.45</w:t>
            </w:r>
          </w:p>
        </w:tc>
        <w:tc>
          <w:tcPr>
            <w:tcW w:type="dxa" w:w="1178"/>
          </w:tcPr>
          <w:p>
            <w:pPr>
              <w:spacing w:after="0"/>
            </w:pPr>
            <w:r/>
            <w:r>
              <w:rPr>
                <w:rFonts w:ascii="Arial" w:hAnsi="Arial" w:eastAsia="Arial"/>
                <w:b w:val="0"/>
                <w:i w:val="0"/>
                <w:sz w:val="15"/>
              </w:rPr>
              <w:t>0.61-3.47</w:t>
            </w:r>
          </w:p>
        </w:tc>
        <w:tc>
          <w:tcPr>
            <w:tcW w:type="dxa" w:w="1178"/>
          </w:tcPr>
          <w:p>
            <w:pPr>
              <w:spacing w:after="0"/>
            </w:pPr>
            <w:r/>
            <w:r>
              <w:rPr>
                <w:rFonts w:ascii="Arial" w:hAnsi="Arial" w:eastAsia="Arial"/>
                <w:b w:val="0"/>
                <w:i w:val="0"/>
                <w:sz w:val="15"/>
              </w:rPr>
              <w:t>62%</w:t>
            </w:r>
          </w:p>
        </w:tc>
        <w:tc>
          <w:tcPr>
            <w:tcW w:type="dxa" w:w="1178"/>
          </w:tcPr>
          <w:p>
            <w:pPr>
              <w:spacing w:after="0"/>
            </w:pPr>
            <w:r/>
            <w:r>
              <w:rPr>
                <w:rFonts w:ascii="Arial" w:hAnsi="Arial" w:eastAsia="Arial"/>
                <w:b w:val="0"/>
                <w:i w:val="0"/>
                <w:sz w:val="15"/>
              </w:rPr>
              <w:t>0.362</w:t>
            </w:r>
          </w:p>
        </w:tc>
        <w:tc>
          <w:tcPr>
            <w:tcW w:type="dxa" w:w="1178"/>
          </w:tcPr>
          <w:p>
            <w:pPr>
              <w:spacing w:after="0"/>
            </w:pPr>
            <w:r/>
            <w:r>
              <w:rPr>
                <w:rFonts w:ascii="Arial" w:hAnsi="Arial" w:eastAsia="Arial"/>
                <w:b w:val="0"/>
                <w:i w:val="0"/>
                <w:sz w:val="15"/>
              </w:rPr>
              <w:t>0.399</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Vascular invasion</w:t>
            </w:r>
          </w:p>
        </w:tc>
        <w:tc>
          <w:tcPr>
            <w:tcW w:type="dxa" w:w="1178"/>
          </w:tcPr>
          <w:p>
            <w:pPr>
              <w:spacing w:after="0"/>
            </w:pPr>
            <w:r/>
            <w:r>
              <w:rPr>
                <w:rFonts w:ascii="Arial" w:hAnsi="Arial" w:eastAsia="Arial"/>
                <w:b w:val="0"/>
                <w:i w:val="0"/>
                <w:sz w:val="15"/>
              </w:rPr>
              <w:t>5</w:t>
            </w:r>
          </w:p>
        </w:tc>
        <w:tc>
          <w:tcPr>
            <w:tcW w:type="dxa" w:w="1178"/>
          </w:tcPr>
          <w:p>
            <w:pPr>
              <w:spacing w:after="0"/>
            </w:pPr>
            <w:r/>
            <w:r>
              <w:rPr>
                <w:rFonts w:ascii="Arial" w:hAnsi="Arial" w:eastAsia="Arial"/>
                <w:b w:val="0"/>
                <w:i w:val="0"/>
                <w:sz w:val="15"/>
              </w:rPr>
              <w:t>1184</w:t>
            </w:r>
          </w:p>
        </w:tc>
        <w:tc>
          <w:tcPr>
            <w:tcW w:type="dxa" w:w="1178"/>
          </w:tcPr>
          <w:p>
            <w:pPr>
              <w:spacing w:after="0"/>
            </w:pPr>
            <w:r/>
            <w:r>
              <w:rPr>
                <w:rFonts w:ascii="Arial" w:hAnsi="Arial" w:eastAsia="Arial"/>
                <w:b w:val="0"/>
                <w:i w:val="0"/>
                <w:sz w:val="15"/>
              </w:rPr>
              <w:t>17554</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0.88</w:t>
            </w:r>
          </w:p>
        </w:tc>
        <w:tc>
          <w:tcPr>
            <w:tcW w:type="dxa" w:w="1178"/>
          </w:tcPr>
          <w:p>
            <w:pPr>
              <w:spacing w:after="0"/>
            </w:pPr>
            <w:r/>
            <w:r>
              <w:rPr>
                <w:rFonts w:ascii="Arial" w:hAnsi="Arial" w:eastAsia="Arial"/>
                <w:b w:val="0"/>
                <w:i w:val="0"/>
                <w:sz w:val="15"/>
              </w:rPr>
              <w:t>0.70-1.11</w:t>
            </w:r>
          </w:p>
        </w:tc>
        <w:tc>
          <w:tcPr>
            <w:tcW w:type="dxa" w:w="1178"/>
          </w:tcPr>
          <w:p>
            <w:pPr>
              <w:spacing w:after="0"/>
            </w:pPr>
            <w:r/>
            <w:r>
              <w:rPr>
                <w:rFonts w:ascii="Arial" w:hAnsi="Arial" w:eastAsia="Arial"/>
                <w:b w:val="0"/>
                <w:i w:val="0"/>
                <w:sz w:val="15"/>
              </w:rPr>
              <w:t>17%</w:t>
            </w:r>
          </w:p>
        </w:tc>
        <w:tc>
          <w:tcPr>
            <w:tcW w:type="dxa" w:w="1178"/>
          </w:tcPr>
          <w:p>
            <w:pPr>
              <w:spacing w:after="0"/>
            </w:pPr>
            <w:r/>
            <w:r>
              <w:rPr>
                <w:rFonts w:ascii="Arial" w:hAnsi="Arial" w:eastAsia="Arial"/>
                <w:b w:val="0"/>
                <w:i w:val="0"/>
                <w:sz w:val="15"/>
              </w:rPr>
              <w:t>0.013</w:t>
            </w:r>
          </w:p>
        </w:tc>
        <w:tc>
          <w:tcPr>
            <w:tcW w:type="dxa" w:w="1178"/>
          </w:tcPr>
          <w:p>
            <w:pPr>
              <w:spacing w:after="0"/>
            </w:pPr>
            <w:r/>
            <w:r>
              <w:rPr>
                <w:rFonts w:ascii="Arial" w:hAnsi="Arial" w:eastAsia="Arial"/>
                <w:b w:val="0"/>
                <w:i w:val="0"/>
                <w:sz w:val="15"/>
              </w:rPr>
              <w:t>0.269</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Perineural invasion</w:t>
            </w:r>
          </w:p>
        </w:tc>
        <w:tc>
          <w:tcPr>
            <w:tcW w:type="dxa" w:w="1178"/>
          </w:tcPr>
          <w:p>
            <w:pPr>
              <w:spacing w:after="0"/>
            </w:pPr>
            <w:r/>
            <w:r>
              <w:rPr>
                <w:rFonts w:ascii="Arial" w:hAnsi="Arial" w:eastAsia="Arial"/>
                <w:b w:val="0"/>
                <w:i w:val="0"/>
                <w:sz w:val="15"/>
              </w:rPr>
              <w:t>5</w:t>
            </w:r>
          </w:p>
        </w:tc>
        <w:tc>
          <w:tcPr>
            <w:tcW w:type="dxa" w:w="1178"/>
          </w:tcPr>
          <w:p>
            <w:pPr>
              <w:spacing w:after="0"/>
            </w:pPr>
            <w:r/>
            <w:r>
              <w:rPr>
                <w:rFonts w:ascii="Arial" w:hAnsi="Arial" w:eastAsia="Arial"/>
                <w:b w:val="0"/>
                <w:i w:val="0"/>
                <w:sz w:val="15"/>
              </w:rPr>
              <w:t>1132</w:t>
            </w:r>
          </w:p>
        </w:tc>
        <w:tc>
          <w:tcPr>
            <w:tcW w:type="dxa" w:w="1178"/>
          </w:tcPr>
          <w:p>
            <w:pPr>
              <w:spacing w:after="0"/>
            </w:pPr>
            <w:r/>
            <w:r>
              <w:rPr>
                <w:rFonts w:ascii="Arial" w:hAnsi="Arial" w:eastAsia="Arial"/>
                <w:b w:val="0"/>
                <w:i w:val="0"/>
                <w:sz w:val="15"/>
              </w:rPr>
              <w:t>17375</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0.95</w:t>
            </w:r>
          </w:p>
        </w:tc>
        <w:tc>
          <w:tcPr>
            <w:tcW w:type="dxa" w:w="1178"/>
          </w:tcPr>
          <w:p>
            <w:pPr>
              <w:spacing w:after="0"/>
            </w:pPr>
            <w:r/>
            <w:r>
              <w:rPr>
                <w:rFonts w:ascii="Arial" w:hAnsi="Arial" w:eastAsia="Arial"/>
                <w:b w:val="0"/>
                <w:i w:val="0"/>
                <w:sz w:val="15"/>
              </w:rPr>
              <w:t>0.77-1.18</w:t>
            </w:r>
          </w:p>
        </w:tc>
        <w:tc>
          <w:tcPr>
            <w:tcW w:type="dxa" w:w="1178"/>
          </w:tcPr>
          <w:p>
            <w:pPr>
              <w:spacing w:after="0"/>
            </w:pPr>
            <w:r/>
            <w:r>
              <w:rPr>
                <w:rFonts w:ascii="Arial" w:hAnsi="Arial" w:eastAsia="Arial"/>
                <w:b w:val="0"/>
                <w:i w:val="0"/>
                <w:sz w:val="15"/>
              </w:rPr>
              <w:t>6%</w:t>
            </w:r>
          </w:p>
        </w:tc>
        <w:tc>
          <w:tcPr>
            <w:tcW w:type="dxa" w:w="1178"/>
          </w:tcPr>
          <w:p>
            <w:pPr>
              <w:spacing w:after="0"/>
            </w:pPr>
            <w:r/>
            <w:r>
              <w:rPr>
                <w:rFonts w:ascii="Arial" w:hAnsi="Arial" w:eastAsia="Arial"/>
                <w:b w:val="0"/>
                <w:i w:val="0"/>
                <w:sz w:val="15"/>
              </w:rPr>
              <w:t>0.005</w:t>
            </w:r>
          </w:p>
        </w:tc>
        <w:tc>
          <w:tcPr>
            <w:tcW w:type="dxa" w:w="1178"/>
          </w:tcPr>
          <w:p>
            <w:pPr>
              <w:spacing w:after="0"/>
            </w:pPr>
            <w:r/>
            <w:r>
              <w:rPr>
                <w:rFonts w:ascii="Arial" w:hAnsi="Arial" w:eastAsia="Arial"/>
                <w:b w:val="0"/>
                <w:i w:val="0"/>
                <w:sz w:val="15"/>
              </w:rPr>
              <w:t>0.664</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Tumour budding</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945</w:t>
            </w:r>
          </w:p>
        </w:tc>
        <w:tc>
          <w:tcPr>
            <w:tcW w:type="dxa" w:w="1178"/>
          </w:tcPr>
          <w:p>
            <w:pPr>
              <w:spacing w:after="0"/>
            </w:pPr>
            <w:r/>
            <w:r>
              <w:rPr>
                <w:rFonts w:ascii="Arial" w:hAnsi="Arial" w:eastAsia="Arial"/>
                <w:b w:val="0"/>
                <w:i w:val="0"/>
                <w:sz w:val="15"/>
              </w:rPr>
              <w:t>16369</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0.75</w:t>
            </w:r>
          </w:p>
        </w:tc>
        <w:tc>
          <w:tcPr>
            <w:tcW w:type="dxa" w:w="1178"/>
          </w:tcPr>
          <w:p>
            <w:pPr>
              <w:spacing w:after="0"/>
            </w:pPr>
            <w:r/>
            <w:r>
              <w:rPr>
                <w:rFonts w:ascii="Arial" w:hAnsi="Arial" w:eastAsia="Arial"/>
                <w:b w:val="0"/>
                <w:i w:val="0"/>
                <w:sz w:val="15"/>
              </w:rPr>
              <w:t>0.35-1.62</w:t>
            </w:r>
          </w:p>
        </w:tc>
        <w:tc>
          <w:tcPr>
            <w:tcW w:type="dxa" w:w="1178"/>
          </w:tcPr>
          <w:p>
            <w:pPr>
              <w:spacing w:after="0"/>
            </w:pPr>
            <w:r/>
            <w:r>
              <w:rPr>
                <w:rFonts w:ascii="Arial" w:hAnsi="Arial" w:eastAsia="Arial"/>
                <w:b w:val="0"/>
                <w:i w:val="0"/>
                <w:sz w:val="15"/>
              </w:rPr>
              <w:t>90%</w:t>
            </w:r>
          </w:p>
        </w:tc>
        <w:tc>
          <w:tcPr>
            <w:tcW w:type="dxa" w:w="1178"/>
          </w:tcPr>
          <w:p>
            <w:pPr>
              <w:spacing w:after="0"/>
            </w:pPr>
            <w:r/>
            <w:r>
              <w:rPr>
                <w:rFonts w:ascii="Arial" w:hAnsi="Arial" w:eastAsia="Arial"/>
                <w:b w:val="0"/>
                <w:i w:val="0"/>
                <w:sz w:val="15"/>
              </w:rPr>
              <w:t>0.280</w:t>
            </w:r>
          </w:p>
        </w:tc>
        <w:tc>
          <w:tcPr>
            <w:tcW w:type="dxa" w:w="1178"/>
          </w:tcPr>
          <w:p>
            <w:pPr>
              <w:spacing w:after="0"/>
            </w:pPr>
            <w:r/>
            <w:r>
              <w:rPr>
                <w:rFonts w:ascii="Arial" w:hAnsi="Arial" w:eastAsia="Arial"/>
                <w:b w:val="0"/>
                <w:i w:val="0"/>
                <w:sz w:val="15"/>
              </w:rPr>
              <w:t>0.460</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Tumour size &gt;= 5 cm</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167</w:t>
            </w:r>
          </w:p>
        </w:tc>
        <w:tc>
          <w:tcPr>
            <w:tcW w:type="dxa" w:w="1178"/>
          </w:tcPr>
          <w:p>
            <w:pPr>
              <w:spacing w:after="0"/>
            </w:pPr>
            <w:r/>
            <w:r>
              <w:rPr>
                <w:rFonts w:ascii="Arial" w:hAnsi="Arial" w:eastAsia="Arial"/>
                <w:b w:val="0"/>
                <w:i w:val="0"/>
                <w:sz w:val="15"/>
              </w:rPr>
              <w:t>673</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1.00</w:t>
            </w:r>
          </w:p>
        </w:tc>
        <w:tc>
          <w:tcPr>
            <w:tcW w:type="dxa" w:w="1178"/>
          </w:tcPr>
          <w:p>
            <w:pPr>
              <w:spacing w:after="0"/>
            </w:pPr>
            <w:r/>
            <w:r>
              <w:rPr>
                <w:rFonts w:ascii="Arial" w:hAnsi="Arial" w:eastAsia="Arial"/>
                <w:b w:val="0"/>
                <w:i w:val="0"/>
                <w:sz w:val="15"/>
              </w:rPr>
              <w:t>0.69-1.46</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0.982</w:t>
            </w:r>
          </w:p>
        </w:tc>
        <w:tc>
          <w:tcPr>
            <w:tcW w:type="dxa" w:w="1178"/>
          </w:tcPr>
          <w:p>
            <w:pPr>
              <w:spacing w:after="0"/>
            </w:pPr>
            <w:r/>
            <w:r>
              <w:rPr>
                <w:rFonts w:ascii="Arial" w:hAnsi="Arial" w:eastAsia="Arial"/>
                <w:b w:val="0"/>
                <w:i w:val="0"/>
                <w:sz w:val="15"/>
                <w:highlight w:val="yellow"/>
              </w:rPr>
              <w:t>[TO BE ASSESSED]</w:t>
            </w:r>
          </w:p>
        </w:tc>
      </w:tr>
      <w:tr>
        <w:tc>
          <w:tcPr>
            <w:tcW w:type="dxa" w:w="1178"/>
          </w:tcPr>
          <w:p>
            <w:pPr>
              <w:spacing w:after="0"/>
            </w:pPr>
            <w:r/>
            <w:r>
              <w:rPr>
                <w:rFonts w:ascii="Arial" w:hAnsi="Arial" w:eastAsia="Arial"/>
                <w:b w:val="0"/>
                <w:i w:val="0"/>
                <w:sz w:val="15"/>
              </w:rPr>
              <w:t>KRAS mutation</w:t>
            </w:r>
          </w:p>
        </w:tc>
        <w:tc>
          <w:tcPr>
            <w:tcW w:type="dxa" w:w="1178"/>
          </w:tcPr>
          <w:p>
            <w:pPr>
              <w:spacing w:after="0"/>
            </w:pPr>
            <w:r/>
            <w:r>
              <w:rPr>
                <w:rFonts w:ascii="Arial" w:hAnsi="Arial" w:eastAsia="Arial"/>
                <w:b w:val="0"/>
                <w:i w:val="0"/>
                <w:sz w:val="15"/>
              </w:rPr>
              <w:t>2</w:t>
            </w:r>
          </w:p>
        </w:tc>
        <w:tc>
          <w:tcPr>
            <w:tcW w:type="dxa" w:w="1178"/>
          </w:tcPr>
          <w:p>
            <w:pPr>
              <w:spacing w:after="0"/>
            </w:pPr>
            <w:r/>
            <w:r>
              <w:rPr>
                <w:rFonts w:ascii="Arial" w:hAnsi="Arial" w:eastAsia="Arial"/>
                <w:b w:val="0"/>
                <w:i w:val="0"/>
                <w:sz w:val="15"/>
              </w:rPr>
              <w:t>509</w:t>
            </w:r>
          </w:p>
        </w:tc>
        <w:tc>
          <w:tcPr>
            <w:tcW w:type="dxa" w:w="1178"/>
          </w:tcPr>
          <w:p>
            <w:pPr>
              <w:spacing w:after="0"/>
            </w:pPr>
            <w:r/>
            <w:r>
              <w:rPr>
                <w:rFonts w:ascii="Arial" w:hAnsi="Arial" w:eastAsia="Arial"/>
                <w:b w:val="0"/>
                <w:i w:val="0"/>
                <w:sz w:val="15"/>
              </w:rPr>
              <w:t>9973</w:t>
            </w:r>
          </w:p>
        </w:tc>
        <w:tc>
          <w:tcPr>
            <w:tcW w:type="dxa" w:w="1178"/>
          </w:tcPr>
          <w:p>
            <w:pPr>
              <w:spacing w:after="0"/>
            </w:pPr>
            <w:r/>
            <w:r>
              <w:rPr>
                <w:rFonts w:ascii="Arial" w:hAnsi="Arial" w:eastAsia="Arial"/>
                <w:b w:val="0"/>
                <w:i w:val="0"/>
                <w:sz w:val="15"/>
              </w:rPr>
              <w:t>OR</w:t>
            </w:r>
          </w:p>
        </w:tc>
        <w:tc>
          <w:tcPr>
            <w:tcW w:type="dxa" w:w="1178"/>
          </w:tcPr>
          <w:p>
            <w:pPr>
              <w:spacing w:after="0"/>
            </w:pPr>
            <w:r/>
            <w:r>
              <w:rPr>
                <w:rFonts w:ascii="Arial" w:hAnsi="Arial" w:eastAsia="Arial"/>
                <w:b w:val="0"/>
                <w:i w:val="0"/>
                <w:sz w:val="15"/>
              </w:rPr>
              <w:t>1.41</w:t>
            </w:r>
          </w:p>
        </w:tc>
        <w:tc>
          <w:tcPr>
            <w:tcW w:type="dxa" w:w="1178"/>
          </w:tcPr>
          <w:p>
            <w:pPr>
              <w:spacing w:after="0"/>
            </w:pPr>
            <w:r/>
            <w:r>
              <w:rPr>
                <w:rFonts w:ascii="Arial" w:hAnsi="Arial" w:eastAsia="Arial"/>
                <w:b w:val="0"/>
                <w:i w:val="0"/>
                <w:sz w:val="15"/>
              </w:rPr>
              <w:t>1.18-1.69</w:t>
            </w:r>
          </w:p>
        </w:tc>
        <w:tc>
          <w:tcPr>
            <w:tcW w:type="dxa" w:w="1178"/>
          </w:tcPr>
          <w:p>
            <w:pPr>
              <w:spacing w:after="0"/>
            </w:pPr>
            <w:r/>
            <w:r>
              <w:rPr>
                <w:rFonts w:ascii="Arial" w:hAnsi="Arial" w:eastAsia="Arial"/>
                <w:b w:val="0"/>
                <w:i w:val="0"/>
                <w:sz w:val="15"/>
              </w:rPr>
              <w:t>0%</w:t>
            </w:r>
          </w:p>
        </w:tc>
        <w:tc>
          <w:tcPr>
            <w:tcW w:type="dxa" w:w="1178"/>
          </w:tcPr>
          <w:p>
            <w:pPr>
              <w:spacing w:after="0"/>
            </w:pPr>
            <w:r/>
            <w:r>
              <w:rPr>
                <w:rFonts w:ascii="Arial" w:hAnsi="Arial" w:eastAsia="Arial"/>
                <w:b w:val="0"/>
                <w:i w:val="0"/>
                <w:sz w:val="15"/>
              </w:rPr>
              <w:t>0.000</w:t>
            </w:r>
          </w:p>
        </w:tc>
        <w:tc>
          <w:tcPr>
            <w:tcW w:type="dxa" w:w="1178"/>
          </w:tcPr>
          <w:p>
            <w:pPr>
              <w:spacing w:after="0"/>
            </w:pPr>
            <w:r/>
            <w:r>
              <w:rPr>
                <w:rFonts w:ascii="Arial" w:hAnsi="Arial" w:eastAsia="Arial"/>
                <w:b w:val="0"/>
                <w:i w:val="0"/>
                <w:sz w:val="15"/>
              </w:rPr>
              <w:t>&lt;0.001</w:t>
            </w:r>
          </w:p>
        </w:tc>
        <w:tc>
          <w:tcPr>
            <w:tcW w:type="dxa" w:w="1178"/>
          </w:tcPr>
          <w:p>
            <w:pPr>
              <w:spacing w:after="0"/>
            </w:pPr>
            <w:r/>
            <w:r>
              <w:rPr>
                <w:rFonts w:ascii="Arial" w:hAnsi="Arial" w:eastAsia="Arial"/>
                <w:b w:val="0"/>
                <w:i w:val="0"/>
                <w:sz w:val="15"/>
                <w:highlight w:val="yellow"/>
              </w:rPr>
              <w:t>[TO BE ASSESSED]</w:t>
            </w:r>
          </w:p>
        </w:tc>
      </w:tr>
    </w:tbl>
    <w:p>
      <w:r>
        <w:rPr>
          <w:rFonts w:ascii="Arial" w:hAnsi="Arial" w:eastAsia="Arial"/>
          <w:b w:val="0"/>
          <w:i w:val="0"/>
          <w:sz w:val="18"/>
        </w:rPr>
        <w:t xml:space="preserve">Random-effects models with REML estimation; </w:t>
      </w:r>
      <w:r>
        <w:rPr>
          <w:rFonts w:ascii="Arial" w:hAnsi="Arial" w:eastAsia="Arial"/>
          <w:b w:val="0"/>
          <w:i/>
          <w:sz w:val="18"/>
        </w:rPr>
        <w:t>S. japonicum</w:t>
      </w:r>
      <w:r>
        <w:rPr>
          <w:rFonts w:ascii="Arial" w:hAnsi="Arial" w:eastAsia="Arial"/>
          <w:b w:val="0"/>
          <w:i w:val="0"/>
          <w:sz w:val="18"/>
        </w:rPr>
        <w:t xml:space="preserve"> (presumed) cohorts; one report per overlap group per outcome. HR &gt; 1 and OR &gt; 1 indicate higher hazard or higher odds in SACC; MD &gt; 0, older SACC patients. Generated from output/tables/Table4_meta_analysis_summary.csv. GRADE ratings require two reviewers and are pending.</w:t>
      </w:r>
    </w:p>
    <w:p>
      <w:pPr>
        <w:sectPr>
          <w:pgSz w:w="15840" w:h="12240" w:orient="landscape"/>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5760000" cy="6015023"/>
            <wp:docPr id="7" name="Picture 7"/>
            <wp:cNvGraphicFramePr>
              <a:graphicFrameLocks noChangeAspect="1"/>
            </wp:cNvGraphicFramePr>
            <a:graphic>
              <a:graphicData uri="http://schemas.openxmlformats.org/drawingml/2006/picture">
                <pic:pic>
                  <pic:nvPicPr>
                    <pic:cNvPr id="0" name="Figure7_evidence_heatmap.png"/>
                    <pic:cNvPicPr/>
                  </pic:nvPicPr>
                  <pic:blipFill>
                    <a:blip r:embed="rId15"/>
                    <a:stretch>
                      <a:fillRect/>
                    </a:stretch>
                  </pic:blipFill>
                  <pic:spPr>
                    <a:xfrm>
                      <a:off x="0" y="0"/>
                      <a:ext cx="5760000" cy="6015023"/>
                    </a:xfrm>
                    <a:prstGeom prst="rect"/>
                  </pic:spPr>
                </pic:pic>
              </a:graphicData>
            </a:graphic>
          </wp:inline>
        </w:drawing>
      </w:r>
    </w:p>
    <w:p>
      <w:r>
        <w:rPr>
          <w:rFonts w:ascii="Arial" w:hAnsi="Arial" w:eastAsia="Arial"/>
          <w:b/>
          <w:i w:val="0"/>
          <w:sz w:val="22"/>
        </w:rPr>
        <w:t>Figure 7.</w:t>
      </w:r>
      <w:r>
        <w:rPr>
          <w:rFonts w:ascii="Arial" w:hAnsi="Arial" w:eastAsia="Arial"/>
          <w:b w:val="0"/>
          <w:i w:val="0"/>
          <w:sz w:val="22"/>
        </w:rPr>
        <w:t xml:space="preserve"> Evidence heat map. For each study (columns) and feature (rows), the reported direction in SACC relative to NSACC: higher, lower, no significant difference, or not reported.</w:t>
      </w:r>
    </w:p>
    <w:p>
      <w:r>
        <w:rPr>
          <w:rFonts w:ascii="Arial" w:hAnsi="Arial" w:eastAsia="Arial"/>
          <w:b/>
          <w:i w:val="0"/>
          <w:sz w:val="22"/>
        </w:rPr>
        <w:t>Table 6.</w:t>
      </w:r>
      <w:r>
        <w:rPr>
          <w:rFonts w:ascii="Arial" w:hAnsi="Arial" w:eastAsia="Arial"/>
          <w:b w:val="0"/>
          <w:i w:val="0"/>
          <w:sz w:val="22"/>
        </w:rPr>
        <w:t xml:space="preserve"> Phenotype matrix: is SACC distinct? (provisional)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r/>
            <w:r>
              <w:rPr>
                <w:rFonts w:ascii="Arial" w:hAnsi="Arial" w:eastAsia="Arial"/>
                <w:b/>
                <w:i w:val="0"/>
                <w:sz w:val="16"/>
              </w:rPr>
              <w:t>Feature</w:t>
            </w:r>
          </w:p>
        </w:tc>
        <w:tc>
          <w:tcPr>
            <w:tcW w:type="dxa" w:w="3120"/>
            <w:shd w:val="clear" w:color="auto" w:fill="DCE6F1"/>
          </w:tcPr>
          <w:p>
            <w:r/>
            <w:r>
              <w:rPr>
                <w:rFonts w:ascii="Arial" w:hAnsi="Arial" w:eastAsia="Arial"/>
                <w:b/>
                <w:i w:val="0"/>
                <w:sz w:val="16"/>
              </w:rPr>
              <w:t>Pooled direction</w:t>
            </w:r>
          </w:p>
        </w:tc>
        <w:tc>
          <w:tcPr>
            <w:tcW w:type="dxa" w:w="3120"/>
            <w:shd w:val="clear" w:color="auto" w:fill="DCE6F1"/>
          </w:tcPr>
          <w:p>
            <w:r/>
            <w:r>
              <w:rPr>
                <w:rFonts w:ascii="Arial" w:hAnsi="Arial" w:eastAsia="Arial"/>
                <w:b/>
                <w:i w:val="0"/>
                <w:sz w:val="16"/>
              </w:rPr>
              <w:t>Strength of evidence</w:t>
            </w:r>
          </w:p>
        </w:tc>
      </w:tr>
      <w:tr>
        <w:tc>
          <w:tcPr>
            <w:tcW w:type="dxa" w:w="3120"/>
          </w:tcPr>
          <w:p>
            <w:pPr>
              <w:spacing w:after="0"/>
            </w:pPr>
            <w:r/>
            <w:r>
              <w:rPr>
                <w:rFonts w:ascii="Arial" w:hAnsi="Arial" w:eastAsia="Arial"/>
                <w:b w:val="0"/>
                <w:i w:val="0"/>
                <w:sz w:val="16"/>
              </w:rPr>
              <w:t>Older age</w:t>
            </w:r>
          </w:p>
        </w:tc>
        <w:tc>
          <w:tcPr>
            <w:tcW w:type="dxa" w:w="3120"/>
          </w:tcPr>
          <w:p>
            <w:pPr>
              <w:spacing w:after="0"/>
            </w:pPr>
            <w:r/>
            <w:r>
              <w:rPr>
                <w:rFonts w:ascii="Arial" w:hAnsi="Arial" w:eastAsia="Arial"/>
                <w:b w:val="0"/>
                <w:i w:val="0"/>
                <w:sz w:val="16"/>
              </w:rPr>
              <w:t>Up (all cohorts older or similar)</w:t>
            </w:r>
          </w:p>
        </w:tc>
        <w:tc>
          <w:tcPr>
            <w:tcW w:type="dxa" w:w="3120"/>
          </w:tcPr>
          <w:p>
            <w:pPr>
              <w:spacing w:after="0"/>
            </w:pPr>
            <w:r/>
            <w:r>
              <w:rPr>
                <w:rFonts w:ascii="Arial" w:hAnsi="Arial" w:eastAsia="Arial"/>
                <w:b w:val="0"/>
                <w:i w:val="0"/>
                <w:sz w:val="16"/>
              </w:rPr>
              <w:t>Moderate (direction consistent; magnitude heterogeneous)</w:t>
            </w:r>
          </w:p>
        </w:tc>
      </w:tr>
      <w:tr>
        <w:tc>
          <w:tcPr>
            <w:tcW w:type="dxa" w:w="3120"/>
          </w:tcPr>
          <w:p>
            <w:pPr>
              <w:spacing w:after="0"/>
            </w:pPr>
            <w:r/>
            <w:r>
              <w:rPr>
                <w:rFonts w:ascii="Arial" w:hAnsi="Arial" w:eastAsia="Arial"/>
                <w:b w:val="0"/>
                <w:i w:val="0"/>
                <w:sz w:val="16"/>
              </w:rPr>
              <w:t>Male sex</w:t>
            </w:r>
          </w:p>
        </w:tc>
        <w:tc>
          <w:tcPr>
            <w:tcW w:type="dxa" w:w="3120"/>
          </w:tcPr>
          <w:p>
            <w:pPr>
              <w:spacing w:after="0"/>
            </w:pPr>
            <w:r/>
            <w:r>
              <w:rPr>
                <w:rFonts w:ascii="Arial" w:hAnsi="Arial" w:eastAsia="Arial"/>
                <w:b w:val="0"/>
                <w:i w:val="0"/>
                <w:sz w:val="16"/>
              </w:rPr>
              <w:t>Up</w:t>
            </w:r>
          </w:p>
        </w:tc>
        <w:tc>
          <w:tcPr>
            <w:tcW w:type="dxa" w:w="3120"/>
          </w:tcPr>
          <w:p>
            <w:pPr>
              <w:spacing w:after="0"/>
            </w:pPr>
            <w:r/>
            <w:r>
              <w:rPr>
                <w:rFonts w:ascii="Arial" w:hAnsi="Arial" w:eastAsia="Arial"/>
                <w:b w:val="0"/>
                <w:i w:val="0"/>
                <w:sz w:val="16"/>
              </w:rPr>
              <w:t>Moderate</w:t>
            </w:r>
          </w:p>
        </w:tc>
      </w:tr>
      <w:tr>
        <w:tc>
          <w:tcPr>
            <w:tcW w:type="dxa" w:w="3120"/>
          </w:tcPr>
          <w:p>
            <w:pPr>
              <w:spacing w:after="0"/>
            </w:pPr>
            <w:r/>
            <w:r>
              <w:rPr>
                <w:rFonts w:ascii="Arial" w:hAnsi="Arial" w:eastAsia="Arial"/>
                <w:b w:val="0"/>
                <w:i w:val="0"/>
                <w:sz w:val="16"/>
              </w:rPr>
              <w:t>Rectal localisation</w:t>
            </w:r>
          </w:p>
        </w:tc>
        <w:tc>
          <w:tcPr>
            <w:tcW w:type="dxa" w:w="3120"/>
          </w:tcPr>
          <w:p>
            <w:pPr>
              <w:spacing w:after="0"/>
            </w:pPr>
            <w:r/>
            <w:r>
              <w:rPr>
                <w:rFonts w:ascii="Arial" w:hAnsi="Arial" w:eastAsia="Arial"/>
                <w:b w:val="0"/>
                <w:i w:val="0"/>
                <w:sz w:val="16"/>
              </w:rPr>
              <w:t>Up</w:t>
            </w:r>
          </w:p>
        </w:tc>
        <w:tc>
          <w:tcPr>
            <w:tcW w:type="dxa" w:w="3120"/>
          </w:tcPr>
          <w:p>
            <w:pPr>
              <w:spacing w:after="0"/>
            </w:pPr>
            <w:r/>
            <w:r>
              <w:rPr>
                <w:rFonts w:ascii="Arial" w:hAnsi="Arial" w:eastAsia="Arial"/>
                <w:b w:val="0"/>
                <w:i w:val="0"/>
                <w:sz w:val="16"/>
              </w:rPr>
              <w:t>Moderate - depends on largest cohort</w:t>
            </w:r>
          </w:p>
        </w:tc>
      </w:tr>
      <w:tr>
        <w:tc>
          <w:tcPr>
            <w:tcW w:type="dxa" w:w="3120"/>
          </w:tcPr>
          <w:p>
            <w:pPr>
              <w:spacing w:after="0"/>
            </w:pPr>
            <w:r/>
            <w:r>
              <w:rPr>
                <w:rFonts w:ascii="Arial" w:hAnsi="Arial" w:eastAsia="Arial"/>
                <w:b w:val="0"/>
                <w:i w:val="0"/>
                <w:sz w:val="16"/>
              </w:rPr>
              <w:t>Advanced stage</w:t>
            </w:r>
          </w:p>
        </w:tc>
        <w:tc>
          <w:tcPr>
            <w:tcW w:type="dxa" w:w="3120"/>
          </w:tcPr>
          <w:p>
            <w:pPr>
              <w:spacing w:after="0"/>
            </w:pPr>
            <w:r/>
            <w:r>
              <w:rPr>
                <w:rFonts w:ascii="Arial" w:hAnsi="Arial" w:eastAsia="Arial"/>
                <w:b w:val="0"/>
                <w:i w:val="0"/>
                <w:sz w:val="16"/>
              </w:rPr>
              <w:t>Down</w:t>
            </w:r>
          </w:p>
        </w:tc>
        <w:tc>
          <w:tcPr>
            <w:tcW w:type="dxa" w:w="3120"/>
          </w:tcPr>
          <w:p>
            <w:pPr>
              <w:spacing w:after="0"/>
            </w:pPr>
            <w:r/>
            <w:r>
              <w:rPr>
                <w:rFonts w:ascii="Arial" w:hAnsi="Arial" w:eastAsia="Arial"/>
                <w:b w:val="0"/>
                <w:i w:val="0"/>
                <w:sz w:val="16"/>
              </w:rPr>
              <w:t>Moderate - depends on largest cohort</w:t>
            </w:r>
          </w:p>
        </w:tc>
      </w:tr>
      <w:tr>
        <w:tc>
          <w:tcPr>
            <w:tcW w:type="dxa" w:w="3120"/>
          </w:tcPr>
          <w:p>
            <w:pPr>
              <w:spacing w:after="0"/>
            </w:pPr>
            <w:r/>
            <w:r>
              <w:rPr>
                <w:rFonts w:ascii="Arial" w:hAnsi="Arial" w:eastAsia="Arial"/>
                <w:b w:val="0"/>
                <w:i w:val="0"/>
                <w:sz w:val="16"/>
              </w:rPr>
              <w:t>Lymph-node metastasis</w:t>
            </w:r>
          </w:p>
        </w:tc>
        <w:tc>
          <w:tcPr>
            <w:tcW w:type="dxa" w:w="3120"/>
          </w:tcPr>
          <w:p>
            <w:pPr>
              <w:spacing w:after="0"/>
            </w:pPr>
            <w:r/>
            <w:r>
              <w:rPr>
                <w:rFonts w:ascii="Arial" w:hAnsi="Arial" w:eastAsia="Arial"/>
                <w:b w:val="0"/>
                <w:i w:val="0"/>
                <w:sz w:val="16"/>
              </w:rPr>
              <w:t>Neutral (CI includes no difference)</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Distant metastasis</w:t>
            </w:r>
          </w:p>
        </w:tc>
        <w:tc>
          <w:tcPr>
            <w:tcW w:type="dxa" w:w="3120"/>
          </w:tcPr>
          <w:p>
            <w:pPr>
              <w:spacing w:after="0"/>
            </w:pPr>
            <w:r/>
            <w:r>
              <w:rPr>
                <w:rFonts w:ascii="Arial" w:hAnsi="Arial" w:eastAsia="Arial"/>
                <w:b w:val="0"/>
                <w:i w:val="0"/>
                <w:sz w:val="16"/>
              </w:rPr>
              <w:t>Neutral (CI includes no difference)</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Vascular invasion</w:t>
            </w:r>
          </w:p>
        </w:tc>
        <w:tc>
          <w:tcPr>
            <w:tcW w:type="dxa" w:w="3120"/>
          </w:tcPr>
          <w:p>
            <w:pPr>
              <w:spacing w:after="0"/>
            </w:pPr>
            <w:r/>
            <w:r>
              <w:rPr>
                <w:rFonts w:ascii="Arial" w:hAnsi="Arial" w:eastAsia="Arial"/>
                <w:b w:val="0"/>
                <w:i w:val="0"/>
                <w:sz w:val="16"/>
              </w:rPr>
              <w:t>Neutral (CI includes no difference)</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Mucinous histology</w:t>
            </w:r>
          </w:p>
        </w:tc>
        <w:tc>
          <w:tcPr>
            <w:tcW w:type="dxa" w:w="3120"/>
          </w:tcPr>
          <w:p>
            <w:pPr>
              <w:spacing w:after="0"/>
            </w:pPr>
            <w:r/>
            <w:r>
              <w:rPr>
                <w:rFonts w:ascii="Arial" w:hAnsi="Arial" w:eastAsia="Arial"/>
                <w:b w:val="0"/>
                <w:i w:val="0"/>
                <w:sz w:val="16"/>
              </w:rPr>
              <w:t>Neutral (CI includes no difference)</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Multiple primary CRC</w:t>
            </w:r>
          </w:p>
        </w:tc>
        <w:tc>
          <w:tcPr>
            <w:tcW w:type="dxa" w:w="3120"/>
          </w:tcPr>
          <w:p>
            <w:pPr>
              <w:spacing w:after="0"/>
            </w:pPr>
            <w:r/>
            <w:r>
              <w:rPr>
                <w:rFonts w:ascii="Arial" w:hAnsi="Arial" w:eastAsia="Arial"/>
                <w:b w:val="0"/>
                <w:i w:val="0"/>
                <w:sz w:val="16"/>
              </w:rPr>
              <w:t>Higher in SACC (single cohort)</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KRAS mutation</w:t>
            </w:r>
          </w:p>
        </w:tc>
        <w:tc>
          <w:tcPr>
            <w:tcW w:type="dxa" w:w="3120"/>
          </w:tcPr>
          <w:p>
            <w:pPr>
              <w:spacing w:after="0"/>
            </w:pPr>
            <w:r/>
            <w:r>
              <w:rPr>
                <w:rFonts w:ascii="Arial" w:hAnsi="Arial" w:eastAsia="Arial"/>
                <w:b w:val="0"/>
                <w:i w:val="0"/>
                <w:sz w:val="16"/>
              </w:rPr>
              <w:t>Up</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Overall survival (adjusted)</w:t>
            </w:r>
          </w:p>
        </w:tc>
        <w:tc>
          <w:tcPr>
            <w:tcW w:type="dxa" w:w="3120"/>
          </w:tcPr>
          <w:p>
            <w:pPr>
              <w:spacing w:after="0"/>
            </w:pPr>
            <w:r/>
            <w:r>
              <w:rPr>
                <w:rFonts w:ascii="Arial" w:hAnsi="Arial" w:eastAsia="Arial"/>
                <w:b w:val="0"/>
                <w:i w:val="0"/>
                <w:sz w:val="16"/>
              </w:rPr>
              <w:t>Worse in SACC</w:t>
            </w:r>
          </w:p>
        </w:tc>
        <w:tc>
          <w:tcPr>
            <w:tcW w:type="dxa" w:w="3120"/>
          </w:tcPr>
          <w:p>
            <w:pPr>
              <w:spacing w:after="0"/>
            </w:pPr>
            <w:r/>
            <w:r>
              <w:rPr>
                <w:rFonts w:ascii="Arial" w:hAnsi="Arial" w:eastAsia="Arial"/>
                <w:b w:val="0"/>
                <w:i w:val="0"/>
                <w:sz w:val="16"/>
              </w:rPr>
              <w:t>Limited</w:t>
            </w:r>
          </w:p>
        </w:tc>
      </w:tr>
      <w:tr>
        <w:tc>
          <w:tcPr>
            <w:tcW w:type="dxa" w:w="3120"/>
          </w:tcPr>
          <w:p>
            <w:pPr>
              <w:spacing w:after="0"/>
            </w:pPr>
            <w:r/>
            <w:r>
              <w:rPr>
                <w:rFonts w:ascii="Arial" w:hAnsi="Arial" w:eastAsia="Arial"/>
                <w:b w:val="0"/>
                <w:i w:val="0"/>
                <w:sz w:val="16"/>
              </w:rPr>
              <w:t>DFS/RFS (adjusted)</w:t>
            </w:r>
          </w:p>
        </w:tc>
        <w:tc>
          <w:tcPr>
            <w:tcW w:type="dxa" w:w="3120"/>
          </w:tcPr>
          <w:p>
            <w:pPr>
              <w:spacing w:after="0"/>
            </w:pPr>
            <w:r/>
            <w:r>
              <w:rPr>
                <w:rFonts w:ascii="Arial" w:hAnsi="Arial" w:eastAsia="Arial"/>
                <w:b w:val="0"/>
                <w:i w:val="0"/>
                <w:sz w:val="16"/>
              </w:rPr>
              <w:t>Neutral (CI includes no difference)</w:t>
            </w:r>
          </w:p>
        </w:tc>
        <w:tc>
          <w:tcPr>
            <w:tcW w:type="dxa" w:w="3120"/>
          </w:tcPr>
          <w:p>
            <w:pPr>
              <w:spacing w:after="0"/>
            </w:pPr>
            <w:r/>
            <w:r>
              <w:rPr>
                <w:rFonts w:ascii="Arial" w:hAnsi="Arial" w:eastAsia="Arial"/>
                <w:b w:val="0"/>
                <w:i w:val="0"/>
                <w:sz w:val="16"/>
              </w:rPr>
              <w:t>Limited</w:t>
            </w:r>
          </w:p>
        </w:tc>
      </w:tr>
    </w:tbl>
    <w:p>
      <w:r>
        <w:rPr>
          <w:rFonts w:ascii="Arial" w:hAnsi="Arial" w:eastAsia="Arial"/>
          <w:b w:val="0"/>
          <w:i w:val="0"/>
          <w:sz w:val="18"/>
        </w:rPr>
        <w:t>Classified automatically from Table 4 before GRADE: Moderate, &gt;= 3 cohorts, 95% CI excluding no difference, I² &lt; 50%; Limited, fewer cohorts or imprecise; Inconsistent, I² &gt;= 75%. 'Strong' is reserved for findings with moderate/high GRADE certainty and is not yet assigned.</w:t>
      </w:r>
    </w:p>
    <w:p>
      <w:pPr>
        <w:spacing w:before="240"/>
      </w:pPr>
      <w:r>
        <w:rPr>
          <w:rFonts w:ascii="Arial" w:hAnsi="Arial" w:eastAsia="Arial"/>
          <w:b/>
          <w:i w:val="0"/>
          <w:sz w:val="24"/>
        </w:rPr>
        <w:t>DISCUSSION</w:t>
      </w:r>
    </w:p>
    <w:p>
      <w:r>
        <w:rPr>
          <w:rFonts w:ascii="Arial" w:hAnsi="Arial" w:eastAsia="Arial"/>
          <w:b/>
          <w:i w:val="0"/>
          <w:sz w:val="24"/>
        </w:rPr>
        <w:t>Principal findings</w:t>
      </w:r>
    </w:p>
    <w:p>
      <w:pPr>
        <w:jc w:val="both"/>
      </w:pPr>
      <w:r>
        <w:rPr>
          <w:rFonts w:ascii="Arial" w:hAnsi="Arial" w:eastAsia="Arial"/>
          <w:b w:val="0"/>
          <w:i w:val="0"/>
          <w:sz w:val="24"/>
          <w:highlight w:val="yellow"/>
        </w:rPr>
        <w:t>[TO BE WRITTEN after analysis. Answer directly: does SACC appear phenotypically distinct, for which features, and with what certainty? Use 'associated with', 'more frequently observed', 'pooled evidence suggests'.]</w:t>
      </w:r>
    </w:p>
    <w:p>
      <w:r>
        <w:rPr>
          <w:rFonts w:ascii="Arial" w:hAnsi="Arial" w:eastAsia="Arial"/>
          <w:b/>
          <w:i w:val="0"/>
          <w:sz w:val="24"/>
        </w:rPr>
        <w:t>Clinical interpretation</w:t>
      </w:r>
    </w:p>
    <w:p>
      <w:pPr>
        <w:jc w:val="both"/>
      </w:pPr>
      <w:r>
        <w:rPr>
          <w:rFonts w:ascii="Arial" w:hAnsi="Arial" w:eastAsia="Arial"/>
          <w:b w:val="0"/>
          <w:i w:val="0"/>
          <w:sz w:val="24"/>
          <w:highlight w:val="yellow"/>
        </w:rPr>
        <w:t>[TO BE WRITTEN: age, sex, tumour location, stage, metastasis, pathology, survival. Interpret survival in light of the separation of adjusted and unadjusted estimates and of the result excluding the largest cohort.]</w:t>
      </w:r>
    </w:p>
    <w:p>
      <w:r>
        <w:rPr>
          <w:rFonts w:ascii="Arial" w:hAnsi="Arial" w:eastAsia="Arial"/>
          <w:b/>
          <w:i w:val="0"/>
          <w:sz w:val="24"/>
        </w:rPr>
        <w:t>Molecular interpretation</w:t>
      </w:r>
    </w:p>
    <w:p>
      <w:pPr>
        <w:jc w:val="both"/>
      </w:pPr>
      <w:r>
        <w:rPr>
          <w:rFonts w:ascii="Arial" w:hAnsi="Arial" w:eastAsia="Arial"/>
          <w:b w:val="0"/>
          <w:i w:val="0"/>
          <w:sz w:val="24"/>
        </w:rPr>
        <w:t>The molecular evidence base is narrow. At the screening stage, KRAS data came from two cohorts with different assays,</w:t>
      </w:r>
      <w:r>
        <w:rPr>
          <w:rFonts w:ascii="Arial" w:hAnsi="Arial" w:eastAsia="Arial"/>
          <w:b w:val="0"/>
          <w:i w:val="0"/>
          <w:sz w:val="24"/>
          <w:vertAlign w:val="superscript"/>
        </w:rPr>
        <w:t>18,19</w:t>
      </w:r>
      <w:r>
        <w:rPr>
          <w:rFonts w:ascii="Arial" w:hAnsi="Arial" w:eastAsia="Arial"/>
          <w:b w:val="0"/>
          <w:i w:val="0"/>
          <w:sz w:val="24"/>
        </w:rPr>
        <w:t xml:space="preserve"> exome data from 30 tumours compared with an external reference,</w:t>
      </w:r>
      <w:r>
        <w:rPr>
          <w:rFonts w:ascii="Arial" w:hAnsi="Arial" w:eastAsia="Arial"/>
          <w:b w:val="0"/>
          <w:i w:val="0"/>
          <w:sz w:val="24"/>
          <w:vertAlign w:val="superscript"/>
        </w:rPr>
        <w:t>43</w:t>
      </w:r>
      <w:r>
        <w:rPr>
          <w:rFonts w:ascii="Arial" w:hAnsi="Arial" w:eastAsia="Arial"/>
          <w:b w:val="0"/>
          <w:i w:val="0"/>
          <w:sz w:val="24"/>
        </w:rPr>
        <w:t xml:space="preserve"> and p53 and mismatch-repair data from a single </w:t>
      </w:r>
      <w:r>
        <w:rPr>
          <w:rFonts w:ascii="Arial" w:hAnsi="Arial" w:eastAsia="Arial"/>
          <w:b w:val="0"/>
          <w:i/>
          <w:sz w:val="24"/>
        </w:rPr>
        <w:t>S. mansoni</w:t>
      </w:r>
      <w:r>
        <w:rPr>
          <w:rFonts w:ascii="Arial" w:hAnsi="Arial" w:eastAsia="Arial"/>
          <w:b w:val="0"/>
          <w:i w:val="0"/>
          <w:sz w:val="24"/>
        </w:rPr>
        <w:t xml:space="preserve"> series that cannot be extrapolated to </w:t>
      </w:r>
      <w:r>
        <w:rPr>
          <w:rFonts w:ascii="Arial" w:hAnsi="Arial" w:eastAsia="Arial"/>
          <w:b w:val="0"/>
          <w:i/>
          <w:sz w:val="24"/>
        </w:rPr>
        <w:t>S. japonicum</w:t>
      </w:r>
      <w:r>
        <w:rPr>
          <w:rFonts w:ascii="Arial" w:hAnsi="Arial" w:eastAsia="Arial"/>
          <w:b w:val="0"/>
          <w:i w:val="0"/>
          <w:sz w:val="24"/>
        </w:rPr>
        <w:t>.</w:t>
      </w:r>
      <w:r>
        <w:rPr>
          <w:rFonts w:ascii="Arial" w:hAnsi="Arial" w:eastAsia="Arial"/>
          <w:b w:val="0"/>
          <w:i w:val="0"/>
          <w:sz w:val="24"/>
          <w:vertAlign w:val="superscript"/>
        </w:rPr>
        <w:t>45</w:t>
      </w:r>
      <w:r>
        <w:rPr>
          <w:rFonts w:ascii="Arial" w:hAnsi="Arial" w:eastAsia="Arial"/>
          <w:b w:val="0"/>
          <w:i w:val="0"/>
          <w:sz w:val="24"/>
        </w:rPr>
        <w:t xml:space="preserve"> </w:t>
      </w:r>
      <w:r>
        <w:rPr>
          <w:rFonts w:ascii="Arial" w:hAnsi="Arial" w:eastAsia="Arial"/>
          <w:b w:val="0"/>
          <w:i w:val="0"/>
          <w:sz w:val="24"/>
          <w:highlight w:val="yellow"/>
        </w:rPr>
        <w:t>[TO BE WRITTEN with pooled results.]</w:t>
      </w:r>
      <w:r>
        <w:rPr>
          <w:rFonts w:ascii="Arial" w:hAnsi="Arial" w:eastAsia="Arial"/>
          <w:b w:val="0"/>
          <w:i w:val="0"/>
          <w:sz w:val="24"/>
        </w:rPr>
        <w:t xml:space="preserve"> Unless consistent differences are found across several independent cohorts, these data do not support a defined molecular signature of SACC.</w:t>
      </w:r>
    </w:p>
    <w:p>
      <w:r>
        <w:rPr>
          <w:rFonts w:ascii="Arial" w:hAnsi="Arial" w:eastAsia="Arial"/>
          <w:b/>
          <w:i w:val="0"/>
          <w:sz w:val="24"/>
        </w:rPr>
        <w:t>Biological plausibility</w:t>
      </w:r>
    </w:p>
    <w:p>
      <w:pPr>
        <w:jc w:val="both"/>
      </w:pPr>
      <w:r>
        <w:rPr>
          <w:rFonts w:ascii="Arial" w:hAnsi="Arial" w:eastAsia="Arial"/>
          <w:b w:val="0"/>
          <w:i w:val="0"/>
          <w:sz w:val="24"/>
        </w:rPr>
        <w:t>Several mechanisms could link chronic intestinal schistosomiasis to a distinct form of CRC, but they should be distinguished by the strength of evidence (Figure 8). Egg deposition in the colorectal wall and the resulting granulomatous inflammation and fibrosis are established histopathological features of infection.</w:t>
      </w:r>
      <w:r>
        <w:rPr>
          <w:rFonts w:ascii="Arial" w:hAnsi="Arial" w:eastAsia="Arial"/>
          <w:b w:val="0"/>
          <w:i w:val="0"/>
          <w:sz w:val="24"/>
          <w:vertAlign w:val="superscript"/>
        </w:rPr>
        <w:t>3,5</w:t>
      </w:r>
      <w:r>
        <w:rPr>
          <w:rFonts w:ascii="Arial" w:hAnsi="Arial" w:eastAsia="Arial"/>
          <w:b w:val="0"/>
          <w:i w:val="0"/>
          <w:sz w:val="24"/>
        </w:rPr>
        <w:t xml:space="preserve"> Experimental work suggests that </w:t>
      </w:r>
      <w:r>
        <w:rPr>
          <w:rFonts w:ascii="Arial" w:hAnsi="Arial" w:eastAsia="Arial"/>
          <w:b w:val="0"/>
          <w:i/>
          <w:sz w:val="24"/>
        </w:rPr>
        <w:t>S. japonicum</w:t>
      </w:r>
      <w:r>
        <w:rPr>
          <w:rFonts w:ascii="Arial" w:hAnsi="Arial" w:eastAsia="Arial"/>
          <w:b w:val="0"/>
          <w:i w:val="0"/>
          <w:sz w:val="24"/>
        </w:rPr>
        <w:t xml:space="preserve"> soluble egg antigen activates MAPK and PI3K-AKT signalling and inhibits autophagy in CRC models,</w:t>
      </w:r>
      <w:r>
        <w:rPr>
          <w:rFonts w:ascii="Arial" w:hAnsi="Arial" w:eastAsia="Arial"/>
          <w:b w:val="0"/>
          <w:i w:val="0"/>
          <w:sz w:val="24"/>
          <w:vertAlign w:val="superscript"/>
        </w:rPr>
        <w:t>52</w:t>
      </w:r>
      <w:r>
        <w:rPr>
          <w:rFonts w:ascii="Arial" w:hAnsi="Arial" w:eastAsia="Arial"/>
          <w:b w:val="0"/>
          <w:i w:val="0"/>
          <w:sz w:val="24"/>
        </w:rPr>
        <w:t xml:space="preserve"> and that intestinal tumour-associated macrophage polarisation influences schistosomal CRC development.</w:t>
      </w:r>
      <w:r>
        <w:rPr>
          <w:rFonts w:ascii="Arial" w:hAnsi="Arial" w:eastAsia="Arial"/>
          <w:b w:val="0"/>
          <w:i w:val="0"/>
          <w:sz w:val="24"/>
          <w:vertAlign w:val="superscript"/>
        </w:rPr>
        <w:t>53</w:t>
      </w:r>
      <w:r>
        <w:rPr>
          <w:rFonts w:ascii="Arial" w:hAnsi="Arial" w:eastAsia="Arial"/>
          <w:b w:val="0"/>
          <w:i w:val="0"/>
          <w:sz w:val="24"/>
        </w:rPr>
        <w:t xml:space="preserve"> </w:t>
      </w:r>
      <w:r>
        <w:rPr>
          <w:rFonts w:ascii="Arial" w:hAnsi="Arial" w:eastAsia="Arial"/>
          <w:b w:val="0"/>
          <w:i/>
          <w:sz w:val="24"/>
        </w:rPr>
        <w:t>Schistosoma mansoni</w:t>
      </w:r>
      <w:r>
        <w:rPr>
          <w:rFonts w:ascii="Arial" w:hAnsi="Arial" w:eastAsia="Arial"/>
          <w:b w:val="0"/>
          <w:i w:val="0"/>
          <w:sz w:val="24"/>
        </w:rPr>
        <w:t xml:space="preserve"> eggs have been shown to activate Wnt/beta-catenin signalling and c-Jun in human and hamster colon,</w:t>
      </w:r>
      <w:r>
        <w:rPr>
          <w:rFonts w:ascii="Arial" w:hAnsi="Arial" w:eastAsia="Arial"/>
          <w:b w:val="0"/>
          <w:i w:val="0"/>
          <w:sz w:val="24"/>
          <w:vertAlign w:val="superscript"/>
        </w:rPr>
        <w:t>54</w:t>
      </w:r>
      <w:r>
        <w:rPr>
          <w:rFonts w:ascii="Arial" w:hAnsi="Arial" w:eastAsia="Arial"/>
          <w:b w:val="0"/>
          <w:i w:val="0"/>
          <w:sz w:val="24"/>
        </w:rPr>
        <w:t xml:space="preserve"> but this concerns a different species. In patients, immune-cell infiltrates and PD-L1 expression appear to carry different prognostic value according to schistosomiasis status,</w:t>
      </w:r>
      <w:r>
        <w:rPr>
          <w:rFonts w:ascii="Arial" w:hAnsi="Arial" w:eastAsia="Arial"/>
          <w:b w:val="0"/>
          <w:i w:val="0"/>
          <w:sz w:val="24"/>
          <w:vertAlign w:val="superscript"/>
        </w:rPr>
        <w:t>35,36,38</w:t>
      </w:r>
      <w:r>
        <w:rPr>
          <w:rFonts w:ascii="Arial" w:hAnsi="Arial" w:eastAsia="Arial"/>
          <w:b w:val="0"/>
          <w:i w:val="0"/>
          <w:sz w:val="24"/>
        </w:rPr>
        <w:t xml:space="preserve"> and eggs in regional lymph nodes have been associated with poorer disease-free survival in stage III SACC.</w:t>
      </w:r>
      <w:r>
        <w:rPr>
          <w:rFonts w:ascii="Arial" w:hAnsi="Arial" w:eastAsia="Arial"/>
          <w:b w:val="0"/>
          <w:i w:val="0"/>
          <w:sz w:val="24"/>
          <w:vertAlign w:val="superscript"/>
        </w:rPr>
        <w:t>42</w:t>
      </w:r>
      <w:r>
        <w:rPr>
          <w:rFonts w:ascii="Arial" w:hAnsi="Arial" w:eastAsia="Arial"/>
          <w:b w:val="0"/>
          <w:i w:val="0"/>
          <w:sz w:val="24"/>
        </w:rPr>
        <w:t xml:space="preserve"> Other plausible pathways, including oxidative and nitrosative DNA damage, NF-kB and IL-6/STAT3 signalling, and microbiome change, have not, to our knowledge, been demonstrated specifically in human SACC and remain hypotheses. None of these observations establishes that </w:t>
      </w:r>
      <w:r>
        <w:rPr>
          <w:rFonts w:ascii="Arial" w:hAnsi="Arial" w:eastAsia="Arial"/>
          <w:b w:val="0"/>
          <w:i/>
          <w:sz w:val="24"/>
        </w:rPr>
        <w:t>S. japonicum</w:t>
      </w:r>
      <w:r>
        <w:rPr>
          <w:rFonts w:ascii="Arial" w:hAnsi="Arial" w:eastAsia="Arial"/>
          <w:b w:val="0"/>
          <w:i w:val="0"/>
          <w:sz w:val="24"/>
        </w:rPr>
        <w:t xml:space="preserve"> causes CRC.</w:t>
      </w:r>
    </w:p>
    <w:p>
      <w:pPr>
        <w:jc w:val="center"/>
      </w:pPr>
      <w:r>
        <w:drawing>
          <wp:inline xmlns:a="http://schemas.openxmlformats.org/drawingml/2006/main" xmlns:pic="http://schemas.openxmlformats.org/drawingml/2006/picture">
            <wp:extent cx="5760000" cy="4837198"/>
            <wp:docPr id="8" name="Picture 8"/>
            <wp:cNvGraphicFramePr>
              <a:graphicFrameLocks noChangeAspect="1"/>
            </wp:cNvGraphicFramePr>
            <a:graphic>
              <a:graphicData uri="http://schemas.openxmlformats.org/drawingml/2006/picture">
                <pic:pic>
                  <pic:nvPicPr>
                    <pic:cNvPr id="0" name="Figure8_conceptual_model.png"/>
                    <pic:cNvPicPr/>
                  </pic:nvPicPr>
                  <pic:blipFill>
                    <a:blip r:embed="rId16"/>
                    <a:stretch>
                      <a:fillRect/>
                    </a:stretch>
                  </pic:blipFill>
                  <pic:spPr>
                    <a:xfrm>
                      <a:off x="0" y="0"/>
                      <a:ext cx="5760000" cy="4837198"/>
                    </a:xfrm>
                    <a:prstGeom prst="rect"/>
                  </pic:spPr>
                </pic:pic>
              </a:graphicData>
            </a:graphic>
          </wp:inline>
        </w:drawing>
      </w:r>
    </w:p>
    <w:p>
      <w:r>
        <w:rPr>
          <w:rFonts w:ascii="Arial" w:hAnsi="Arial" w:eastAsia="Arial"/>
          <w:b/>
          <w:i w:val="0"/>
          <w:sz w:val="22"/>
        </w:rPr>
        <w:t>Figure 8.</w:t>
      </w:r>
      <w:r>
        <w:rPr>
          <w:rFonts w:ascii="Arial" w:hAnsi="Arial" w:eastAsia="Arial"/>
          <w:b w:val="0"/>
          <w:i w:val="0"/>
          <w:sz w:val="22"/>
        </w:rPr>
        <w:t xml:space="preserve"> Conceptual model of how chronic </w:t>
      </w:r>
      <w:r>
        <w:rPr>
          <w:rFonts w:ascii="Arial" w:hAnsi="Arial" w:eastAsia="Arial"/>
          <w:b w:val="0"/>
          <w:i/>
          <w:sz w:val="22"/>
        </w:rPr>
        <w:t>S. japonicum</w:t>
      </w:r>
      <w:r>
        <w:rPr>
          <w:rFonts w:ascii="Arial" w:hAnsi="Arial" w:eastAsia="Arial"/>
          <w:b w:val="0"/>
          <w:i w:val="0"/>
          <w:sz w:val="22"/>
        </w:rPr>
        <w:t xml:space="preserve"> infection might relate to colorectal carcinogenesis and a possible SACC phenotype. Solid arrows: established histopathology. Dashed black arrows: hypothesised steps not confirmed in human SACC. Grey boxes: supporting observations with the type of evidence stated; numbers are references. The figure does not imply that </w:t>
      </w:r>
      <w:r>
        <w:rPr>
          <w:rFonts w:ascii="Arial" w:hAnsi="Arial" w:eastAsia="Arial"/>
          <w:b w:val="0"/>
          <w:i/>
          <w:sz w:val="22"/>
        </w:rPr>
        <w:t>S. japonicum</w:t>
      </w:r>
      <w:r>
        <w:rPr>
          <w:rFonts w:ascii="Arial" w:hAnsi="Arial" w:eastAsia="Arial"/>
          <w:b w:val="0"/>
          <w:i w:val="0"/>
          <w:sz w:val="22"/>
        </w:rPr>
        <w:t xml:space="preserve"> causes CRC.</w:t>
      </w:r>
      <w:r>
        <w:rPr>
          <w:rFonts w:ascii="Arial" w:hAnsi="Arial" w:eastAsia="Arial"/>
          <w:b w:val="0"/>
          <w:i w:val="0"/>
          <w:sz w:val="22"/>
          <w:vertAlign w:val="superscript"/>
        </w:rPr>
        <w:t>3,5,18,35-38,42,43,52-54</w:t>
      </w:r>
    </w:p>
    <w:p>
      <w:r>
        <w:rPr>
          <w:rFonts w:ascii="Arial" w:hAnsi="Arial" w:eastAsia="Arial"/>
          <w:b/>
          <w:i w:val="0"/>
          <w:sz w:val="24"/>
        </w:rPr>
        <w:t>Comparison with previous literature</w:t>
      </w:r>
    </w:p>
    <w:p>
      <w:pPr>
        <w:jc w:val="both"/>
      </w:pPr>
      <w:r>
        <w:rPr>
          <w:rFonts w:ascii="Arial" w:hAnsi="Arial" w:eastAsia="Arial"/>
          <w:b w:val="0"/>
          <w:i w:val="0"/>
          <w:sz w:val="24"/>
        </w:rPr>
        <w:t>Earlier descriptions of SACC as a distinct subtype were based on narrative reviews and single-centre series.</w:t>
      </w:r>
      <w:r>
        <w:rPr>
          <w:rFonts w:ascii="Arial" w:hAnsi="Arial" w:eastAsia="Arial"/>
          <w:b w:val="0"/>
          <w:i w:val="0"/>
          <w:sz w:val="24"/>
          <w:vertAlign w:val="superscript"/>
        </w:rPr>
        <w:t>5,20,55</w:t>
      </w:r>
      <w:r>
        <w:rPr>
          <w:rFonts w:ascii="Arial" w:hAnsi="Arial" w:eastAsia="Arial"/>
          <w:b w:val="0"/>
          <w:i w:val="0"/>
          <w:sz w:val="24"/>
        </w:rPr>
        <w:t xml:space="preserve"> A recent meta-analysis pooled the prevalence of intestinal parasitic infection among patients with CRC and its association with CRC,</w:t>
      </w:r>
      <w:r>
        <w:rPr>
          <w:rFonts w:ascii="Arial" w:hAnsi="Arial" w:eastAsia="Arial"/>
          <w:b w:val="0"/>
          <w:i w:val="0"/>
          <w:sz w:val="24"/>
          <w:vertAlign w:val="superscript"/>
        </w:rPr>
        <w:t>21</w:t>
      </w:r>
      <w:r>
        <w:rPr>
          <w:rFonts w:ascii="Arial" w:hAnsi="Arial" w:eastAsia="Arial"/>
          <w:b w:val="0"/>
          <w:i w:val="0"/>
          <w:sz w:val="24"/>
        </w:rPr>
        <w:t xml:space="preserve"> which addresses frequency and risk rather than the characteristics of cancers that have arisen. The present analysis differs in asking, among patients who already have CRC, whether schistosomiasis is associated with a different clinicopathological, molecular, and prognostic profile; in separating species, adjusted and unadjusted survival estimates, and SACC-only cohorts; and in explicitly managing overlap among reports from the same institutions. </w:t>
      </w:r>
      <w:r>
        <w:rPr>
          <w:rFonts w:ascii="Arial" w:hAnsi="Arial" w:eastAsia="Arial"/>
          <w:b w:val="0"/>
          <w:i w:val="0"/>
          <w:sz w:val="24"/>
          <w:highlight w:val="yellow"/>
        </w:rPr>
        <w:t>[TO BE COMPLETED: state whether any previous quantitative synthesis of this question was found by the final search; do not claim primacy unless confirmed.]</w:t>
      </w:r>
    </w:p>
    <w:p>
      <w:r>
        <w:rPr>
          <w:rFonts w:ascii="Arial" w:hAnsi="Arial" w:eastAsia="Arial"/>
          <w:b/>
          <w:i w:val="0"/>
          <w:sz w:val="24"/>
        </w:rPr>
        <w:t>Implications for endemic countries</w:t>
      </w:r>
    </w:p>
    <w:p>
      <w:pPr>
        <w:jc w:val="both"/>
      </w:pPr>
      <w:r>
        <w:rPr>
          <w:rFonts w:ascii="Arial" w:hAnsi="Arial" w:eastAsia="Arial"/>
          <w:b w:val="0"/>
          <w:i w:val="0"/>
          <w:sz w:val="24"/>
        </w:rPr>
        <w:t xml:space="preserve">Most comparative cohorts came from China. No comparative cohort from the Philippines or Indonesia was identified at the screening stage </w:t>
      </w:r>
      <w:r>
        <w:rPr>
          <w:rFonts w:ascii="Arial" w:hAnsi="Arial" w:eastAsia="Arial"/>
          <w:b w:val="0"/>
          <w:i w:val="0"/>
          <w:sz w:val="24"/>
          <w:highlight w:val="yellow"/>
        </w:rPr>
        <w:t>[TO BE CONFIRMED by the final search]</w:t>
      </w:r>
      <w:r>
        <w:rPr>
          <w:rFonts w:ascii="Arial" w:hAnsi="Arial" w:eastAsia="Arial"/>
          <w:b w:val="0"/>
          <w:i w:val="0"/>
          <w:sz w:val="24"/>
        </w:rPr>
        <w:t>, although both countries remain endemic.</w:t>
      </w:r>
      <w:r>
        <w:rPr>
          <w:rFonts w:ascii="Arial" w:hAnsi="Arial" w:eastAsia="Arial"/>
          <w:b w:val="0"/>
          <w:i w:val="0"/>
          <w:sz w:val="24"/>
          <w:vertAlign w:val="superscript"/>
        </w:rPr>
        <w:t>7,8</w:t>
      </w:r>
      <w:r>
        <w:rPr>
          <w:rFonts w:ascii="Arial" w:hAnsi="Arial" w:eastAsia="Arial"/>
          <w:b w:val="0"/>
          <w:i w:val="0"/>
          <w:sz w:val="24"/>
        </w:rPr>
        <w:t xml:space="preserve"> The findings therefore may not transfer directly to these settings. </w:t>
      </w:r>
      <w:r>
        <w:rPr>
          <w:rFonts w:ascii="Arial" w:hAnsi="Arial" w:eastAsia="Arial"/>
          <w:b w:val="0"/>
          <w:i w:val="0"/>
          <w:sz w:val="24"/>
          <w:highlight w:val="yellow"/>
        </w:rPr>
        <w:t>[TO BE WRITTEN after analysis: implications for pathological recognition of schistosome eggs in resection specimens and for recording schistosomiasis history in cancer registries.]</w:t>
      </w:r>
      <w:r>
        <w:rPr>
          <w:rFonts w:ascii="Arial" w:hAnsi="Arial" w:eastAsia="Arial"/>
          <w:b w:val="0"/>
          <w:i w:val="0"/>
          <w:sz w:val="24"/>
        </w:rPr>
        <w:t xml:space="preserve"> These data do not, by themselves, justify changes to CRC screening policy.</w:t>
      </w:r>
    </w:p>
    <w:p>
      <w:r>
        <w:rPr>
          <w:rFonts w:ascii="Arial" w:hAnsi="Arial" w:eastAsia="Arial"/>
          <w:b/>
          <w:i w:val="0"/>
          <w:sz w:val="24"/>
        </w:rPr>
        <w:t>Research implications</w:t>
      </w:r>
    </w:p>
    <w:p>
      <w:pPr>
        <w:jc w:val="both"/>
      </w:pPr>
      <w:r>
        <w:rPr>
          <w:rFonts w:ascii="Arial" w:hAnsi="Arial" w:eastAsia="Arial"/>
          <w:b w:val="0"/>
          <w:i w:val="0"/>
          <w:sz w:val="24"/>
        </w:rPr>
        <w:t>The evidence calls for prospective cohorts in which schistosomiasis is ascertained by standardised histological and serological criteria, tumours are profiled with contemporary genomic, transcriptomic, and immune assays against internal comparators, and outcomes are analysed with adjustment for stage and treatment. Patient-derived samples and experimental models are needed to test the hypothesised mechanisms. Studies from endemic settings outside China, particularly the Philippines and Indonesia, are a priority.</w:t>
      </w:r>
    </w:p>
    <w:p>
      <w:r>
        <w:rPr>
          <w:rFonts w:ascii="Arial" w:hAnsi="Arial" w:eastAsia="Arial"/>
          <w:b/>
          <w:i w:val="0"/>
          <w:sz w:val="24"/>
        </w:rPr>
        <w:t>Limitations</w:t>
      </w:r>
    </w:p>
    <w:p>
      <w:pPr>
        <w:jc w:val="both"/>
      </w:pPr>
      <w:r>
        <w:rPr>
          <w:rFonts w:ascii="Arial" w:hAnsi="Arial" w:eastAsia="Arial"/>
          <w:b w:val="0"/>
          <w:i w:val="0"/>
          <w:sz w:val="24"/>
        </w:rPr>
        <w:t>This analysis has several limitations. The evidence is predominantly retrospective and geographically concentrated in China, and several reports appear to come from the same institutions and patient populations; although overlap was managed explicitly, undetected overlap cannot be excluded. Definitions of schistosomiasis ranged from histological identification of eggs to documented history, which may misclassify exposure. Cohorts span several decades with different staging systems and treatment eras. Survival estimates were adjusted for different covariates or not adjusted at all, and confounding by age, stage, and comorbidity is likely. Molecular data were limited, and few studies contributed to some endpoints, which limits precision and precluded formal assessment of small-study effects for most outcomes. Finally, as for any synthesis of observational data, the associations reported here cannot establish causality.</w:t>
      </w:r>
    </w:p>
    <w:p>
      <w:pPr>
        <w:spacing w:before="240"/>
      </w:pPr>
      <w:r>
        <w:rPr>
          <w:rFonts w:ascii="Arial" w:hAnsi="Arial" w:eastAsia="Arial"/>
          <w:b/>
          <w:i w:val="0"/>
          <w:sz w:val="24"/>
        </w:rPr>
        <w:t>CONCLUSION</w:t>
      </w:r>
    </w:p>
    <w:p>
      <w:pPr>
        <w:jc w:val="both"/>
      </w:pPr>
      <w:r>
        <w:rPr>
          <w:rFonts w:ascii="Arial" w:hAnsi="Arial" w:eastAsia="Arial"/>
          <w:b w:val="0"/>
          <w:i w:val="0"/>
          <w:sz w:val="24"/>
        </w:rPr>
        <w:t xml:space="preserve">The available evidence indicates that schistosomiasis-associated colorectal cancer may exhibit a measurable clinicopathological phenotype distinct from non-schistosomal colorectal cancer; however, the magnitude and consistency of these differences vary across outcomes. </w:t>
      </w:r>
      <w:r>
        <w:rPr>
          <w:rFonts w:ascii="Arial" w:hAnsi="Arial" w:eastAsia="Arial"/>
          <w:b w:val="0"/>
          <w:i w:val="0"/>
          <w:sz w:val="24"/>
          <w:highlight w:val="yellow"/>
        </w:rPr>
        <w:t>[The most strongly supported pooled characteristics TO BE STATED from Table 4 and Table 6.]</w:t>
      </w:r>
      <w:r>
        <w:rPr>
          <w:rFonts w:ascii="Arial" w:hAnsi="Arial" w:eastAsia="Arial"/>
          <w:b w:val="0"/>
          <w:i w:val="0"/>
          <w:sz w:val="24"/>
        </w:rPr>
        <w:t xml:space="preserve"> Prospective molecularly characterised cohorts from contemporary endemic settings are needed to determine whether these clinical differences reflect a biologically distinct form of colorectal carcinogenesis.</w:t>
      </w:r>
    </w:p>
    <w:p>
      <w:pPr>
        <w:spacing w:before="240"/>
      </w:pPr>
      <w:r>
        <w:rPr>
          <w:rFonts w:ascii="Arial" w:hAnsi="Arial" w:eastAsia="Arial"/>
          <w:b/>
          <w:i w:val="0"/>
          <w:sz w:val="24"/>
        </w:rPr>
        <w:t>Acknowledgments</w:t>
      </w:r>
    </w:p>
    <w:p>
      <w:pPr>
        <w:jc w:val="both"/>
      </w:pPr>
      <w:r>
        <w:rPr>
          <w:rFonts w:ascii="Arial" w:hAnsi="Arial" w:eastAsia="Arial"/>
          <w:b w:val="0"/>
          <w:i w:val="0"/>
          <w:sz w:val="24"/>
          <w:highlight w:val="yellow"/>
        </w:rPr>
        <w:t>[TO BE ADDED]</w:t>
      </w:r>
    </w:p>
    <w:p>
      <w:pPr>
        <w:spacing w:before="240"/>
      </w:pPr>
      <w:r>
        <w:rPr>
          <w:rFonts w:ascii="Arial" w:hAnsi="Arial" w:eastAsia="Arial"/>
          <w:b/>
          <w:i w:val="0"/>
          <w:sz w:val="24"/>
        </w:rPr>
        <w:t>Statement of Authorship</w:t>
      </w:r>
    </w:p>
    <w:p>
      <w:pPr>
        <w:jc w:val="both"/>
      </w:pPr>
      <w:r>
        <w:rPr>
          <w:rFonts w:ascii="Arial" w:hAnsi="Arial" w:eastAsia="Arial"/>
          <w:b w:val="0"/>
          <w:i w:val="0"/>
          <w:sz w:val="24"/>
          <w:highlight w:val="yellow"/>
        </w:rPr>
        <w:t>[TO BE ADDED, e.g., CRediT roles: conceptualisation, methodology, investigation (screening and extraction), formal analysis, writing - original draft, writing - review and editing; all authors approved the final version.]</w:t>
      </w:r>
    </w:p>
    <w:p>
      <w:pPr>
        <w:spacing w:before="240"/>
      </w:pPr>
      <w:r>
        <w:rPr>
          <w:rFonts w:ascii="Arial" w:hAnsi="Arial" w:eastAsia="Arial"/>
          <w:b/>
          <w:i w:val="0"/>
          <w:sz w:val="24"/>
        </w:rPr>
        <w:t>Author Disclosure</w:t>
      </w:r>
    </w:p>
    <w:p>
      <w:pPr>
        <w:jc w:val="both"/>
      </w:pPr>
      <w:r>
        <w:rPr>
          <w:rFonts w:ascii="Arial" w:hAnsi="Arial" w:eastAsia="Arial"/>
          <w:b w:val="0"/>
          <w:i w:val="0"/>
          <w:sz w:val="24"/>
          <w:highlight w:val="yellow"/>
        </w:rPr>
        <w:t>[TO BE ADDED: conflicts of interest for each author.]</w:t>
      </w:r>
    </w:p>
    <w:p>
      <w:pPr>
        <w:spacing w:before="240"/>
      </w:pPr>
      <w:r>
        <w:rPr>
          <w:rFonts w:ascii="Arial" w:hAnsi="Arial" w:eastAsia="Arial"/>
          <w:b/>
          <w:i w:val="0"/>
          <w:sz w:val="24"/>
        </w:rPr>
        <w:t>Funding Source</w:t>
      </w:r>
    </w:p>
    <w:p>
      <w:pPr>
        <w:jc w:val="both"/>
      </w:pPr>
      <w:r>
        <w:rPr>
          <w:rFonts w:ascii="Arial" w:hAnsi="Arial" w:eastAsia="Arial"/>
          <w:b w:val="0"/>
          <w:i w:val="0"/>
          <w:sz w:val="24"/>
          <w:highlight w:val="yellow"/>
        </w:rPr>
        <w:t>[TO BE ADDED, or 'This study received no specific funding.']</w:t>
      </w:r>
    </w:p>
    <w:p>
      <w:pPr>
        <w:spacing w:before="240"/>
      </w:pPr>
      <w:r>
        <w:rPr>
          <w:rFonts w:ascii="Arial" w:hAnsi="Arial" w:eastAsia="Arial"/>
          <w:b/>
          <w:i w:val="0"/>
          <w:sz w:val="24"/>
        </w:rPr>
        <w:t>Use of AI-assisted Tools</w:t>
      </w:r>
    </w:p>
    <w:p>
      <w:pPr>
        <w:jc w:val="both"/>
      </w:pPr>
      <w:r>
        <w:rPr>
          <w:rFonts w:ascii="Arial" w:hAnsi="Arial" w:eastAsia="Arial"/>
          <w:b w:val="0"/>
          <w:i w:val="0"/>
          <w:sz w:val="24"/>
          <w:highlight w:val="yellow"/>
        </w:rPr>
        <w:t>[AUTHOR DECISION: describe any use of AI-assisted tools in search design, coding, or drafting, as required by the journal's current policy. The authors take full responsibility for the content.]</w:t>
      </w:r>
    </w:p>
    <w:p>
      <w:pPr>
        <w:spacing w:before="240"/>
      </w:pPr>
      <w:r>
        <w:rPr>
          <w:rFonts w:ascii="Arial" w:hAnsi="Arial" w:eastAsia="Arial"/>
          <w:b/>
          <w:i w:val="0"/>
          <w:sz w:val="24"/>
        </w:rPr>
        <w:t>Data Availability</w:t>
      </w:r>
    </w:p>
    <w:p>
      <w:pPr>
        <w:jc w:val="both"/>
      </w:pPr>
      <w:r>
        <w:rPr>
          <w:rFonts w:ascii="Arial" w:hAnsi="Arial" w:eastAsia="Arial"/>
          <w:b w:val="0"/>
          <w:i w:val="0"/>
          <w:sz w:val="24"/>
        </w:rPr>
        <w:t xml:space="preserve">The extraction dataset, analysis code (R/metafor), and figure scripts are available at </w:t>
      </w:r>
      <w:r>
        <w:rPr>
          <w:rFonts w:ascii="Arial" w:hAnsi="Arial" w:eastAsia="Arial"/>
          <w:b w:val="0"/>
          <w:i w:val="0"/>
          <w:sz w:val="24"/>
          <w:highlight w:val="yellow"/>
        </w:rPr>
        <w:t>[REPOSITORY URL/DOI TO BE ADDED]</w:t>
      </w:r>
      <w:r>
        <w:rPr>
          <w:rFonts w:ascii="Arial" w:hAnsi="Arial" w:eastAsia="Arial"/>
          <w:b w:val="0"/>
          <w:i w:val="0"/>
          <w:sz w:val="24"/>
        </w:rPr>
        <w:t>.</w:t>
      </w:r>
    </w:p>
    <w:p>
      <w:pPr>
        <w:spacing w:before="240"/>
      </w:pPr>
      <w:r>
        <w:rPr>
          <w:rFonts w:ascii="Arial" w:hAnsi="Arial" w:eastAsia="Arial"/>
          <w:b/>
          <w:i w:val="0"/>
          <w:sz w:val="24"/>
        </w:rPr>
        <w:t>REFERENCES</w:t>
      </w:r>
    </w:p>
    <w:p>
      <w:pPr>
        <w:ind w:left="425" w:hanging="425"/>
      </w:pPr>
      <w:r>
        <w:rPr>
          <w:rFonts w:ascii="Arial" w:hAnsi="Arial" w:eastAsia="Arial"/>
          <w:b w:val="0"/>
          <w:i w:val="0"/>
          <w:sz w:val="22"/>
        </w:rPr>
        <w:t>1.</w:t>
        <w:tab/>
        <w:t xml:space="preserve">Bray F, Laversanne M, Sung H, Ferlay J, Siegel RL, Soerjomataram I, </w:t>
      </w:r>
      <w:r>
        <w:rPr>
          <w:rFonts w:ascii="Arial" w:hAnsi="Arial" w:eastAsia="Arial"/>
          <w:b w:val="0"/>
          <w:i w:val="0"/>
          <w:sz w:val="22"/>
        </w:rPr>
        <w:t>et al.</w:t>
      </w:r>
      <w:r>
        <w:rPr>
          <w:rFonts w:ascii="Arial" w:hAnsi="Arial" w:eastAsia="Arial"/>
          <w:b w:val="0"/>
          <w:i w:val="0"/>
          <w:sz w:val="22"/>
        </w:rPr>
        <w:t xml:space="preserve"> Global cancer statistics 2022: GLOBOCAN estimates of incidence and mortality worldwide for 36 cancers in 185 countries. CA Cancer J Clin. 2024;74(3):229-63. doi:10.3322/caac.21834</w:t>
      </w:r>
    </w:p>
    <w:p>
      <w:pPr>
        <w:ind w:left="425" w:hanging="425"/>
      </w:pPr>
      <w:r>
        <w:rPr>
          <w:rFonts w:ascii="Arial" w:hAnsi="Arial" w:eastAsia="Arial"/>
          <w:b w:val="0"/>
          <w:i w:val="0"/>
          <w:sz w:val="22"/>
        </w:rPr>
        <w:t>2.</w:t>
        <w:tab/>
        <w:t>de Martel C, Georges D, Bray F, Ferlay J, Clifford GM. Global burden of cancer attributable to infections in 2018: a worldwide incidence analysis. Lancet Glob Health. 2020;8(2):e180-90. doi:10.1016/S2214-109X(19)30488-7</w:t>
      </w:r>
    </w:p>
    <w:p>
      <w:pPr>
        <w:ind w:left="425" w:hanging="425"/>
      </w:pPr>
      <w:r>
        <w:rPr>
          <w:rFonts w:ascii="Arial" w:hAnsi="Arial" w:eastAsia="Arial"/>
          <w:b w:val="0"/>
          <w:i w:val="0"/>
          <w:sz w:val="22"/>
        </w:rPr>
        <w:t>3.</w:t>
        <w:tab/>
        <w:t>International Agency for Research on Cancer. Schistosomes, liver flukes and Helicobacter pylori. IARC Monographs on the Evaluation of Carcinogenic Risks to Humans, Vol. 61. Lyon: IARC; 1994.</w:t>
      </w:r>
    </w:p>
    <w:p>
      <w:pPr>
        <w:ind w:left="425" w:hanging="425"/>
      </w:pPr>
      <w:r>
        <w:rPr>
          <w:rFonts w:ascii="Arial" w:hAnsi="Arial" w:eastAsia="Arial"/>
          <w:b w:val="0"/>
          <w:i w:val="0"/>
          <w:sz w:val="22"/>
        </w:rPr>
        <w:t>4.</w:t>
        <w:tab/>
        <w:t>International Agency for Research on Cancer. Biological agents. IARC Monographs on the Evaluation of Carcinogenic Risks to Humans, Vol. 100B. Lyon: IARC; 2012.</w:t>
      </w:r>
    </w:p>
    <w:p>
      <w:pPr>
        <w:ind w:left="425" w:hanging="425"/>
      </w:pPr>
      <w:r>
        <w:rPr>
          <w:rFonts w:ascii="Arial" w:hAnsi="Arial" w:eastAsia="Arial"/>
          <w:b w:val="0"/>
          <w:i w:val="0"/>
          <w:sz w:val="22"/>
        </w:rPr>
        <w:t>5.</w:t>
        <w:tab/>
        <w:t xml:space="preserve">Hamid HKS. </w:t>
      </w:r>
      <w:r>
        <w:rPr>
          <w:rFonts w:ascii="Arial" w:hAnsi="Arial" w:eastAsia="Arial"/>
          <w:b w:val="0"/>
          <w:i/>
          <w:sz w:val="22"/>
        </w:rPr>
        <w:t>Schistosoma japonicum</w:t>
      </w:r>
      <w:r>
        <w:rPr>
          <w:rFonts w:ascii="Arial" w:hAnsi="Arial" w:eastAsia="Arial"/>
          <w:b w:val="0"/>
          <w:i w:val="0"/>
          <w:sz w:val="22"/>
        </w:rPr>
        <w:t>-associated colorectal cancer: a review. Am J Trop Med Hyg. 2019;100(3):501-5. doi:10.4269/ajtmh.18-0807</w:t>
      </w:r>
    </w:p>
    <w:p>
      <w:pPr>
        <w:ind w:left="425" w:hanging="425"/>
      </w:pPr>
      <w:r>
        <w:rPr>
          <w:rFonts w:ascii="Arial" w:hAnsi="Arial" w:eastAsia="Arial"/>
          <w:b w:val="0"/>
          <w:i w:val="0"/>
          <w:sz w:val="22"/>
        </w:rPr>
        <w:t>6.</w:t>
        <w:tab/>
        <w:t>World Health Organization. Schistosomiasis [Internet]. Geneva: WHO; [cited YYYY Mon DD]. Available from: https://www.who.int/news-room/fact-sheets/detail/schistosomiasis [VERIFY: complete authors/year/pages from PubMed]</w:t>
      </w:r>
    </w:p>
    <w:p>
      <w:pPr>
        <w:ind w:left="425" w:hanging="425"/>
      </w:pPr>
      <w:r>
        <w:rPr>
          <w:rFonts w:ascii="Arial" w:hAnsi="Arial" w:eastAsia="Arial"/>
          <w:b w:val="0"/>
          <w:i w:val="0"/>
          <w:sz w:val="22"/>
        </w:rPr>
        <w:t>7.</w:t>
        <w:tab/>
        <w:t xml:space="preserve">Gordon CA, Acosta LP, Gobert GN, Olveda RM, Ross AG, Williams GM, </w:t>
      </w:r>
      <w:r>
        <w:rPr>
          <w:rFonts w:ascii="Arial" w:hAnsi="Arial" w:eastAsia="Arial"/>
          <w:b w:val="0"/>
          <w:i w:val="0"/>
          <w:sz w:val="22"/>
        </w:rPr>
        <w:t>et al.</w:t>
      </w:r>
      <w:r>
        <w:rPr>
          <w:rFonts w:ascii="Arial" w:hAnsi="Arial" w:eastAsia="Arial"/>
          <w:b w:val="0"/>
          <w:i w:val="0"/>
          <w:sz w:val="22"/>
        </w:rPr>
        <w:t xml:space="preserve"> Real-time PCR demonstrates high prevalence of </w:t>
      </w:r>
      <w:r>
        <w:rPr>
          <w:rFonts w:ascii="Arial" w:hAnsi="Arial" w:eastAsia="Arial"/>
          <w:b w:val="0"/>
          <w:i/>
          <w:sz w:val="22"/>
        </w:rPr>
        <w:t>Schistosoma japonicum</w:t>
      </w:r>
      <w:r>
        <w:rPr>
          <w:rFonts w:ascii="Arial" w:hAnsi="Arial" w:eastAsia="Arial"/>
          <w:b w:val="0"/>
          <w:i w:val="0"/>
          <w:sz w:val="22"/>
        </w:rPr>
        <w:t xml:space="preserve"> in the Philippines: implications for surveillance and control. PLoS Negl Trop Dis. 2015;9(1):e0003483. doi:10.1371/journal.pntd.0003483 [VERIFY: complete authors/year/pages from PubMed]</w:t>
      </w:r>
    </w:p>
    <w:p>
      <w:pPr>
        <w:ind w:left="425" w:hanging="425"/>
      </w:pPr>
      <w:r>
        <w:rPr>
          <w:rFonts w:ascii="Arial" w:hAnsi="Arial" w:eastAsia="Arial"/>
          <w:b w:val="0"/>
          <w:i w:val="0"/>
          <w:sz w:val="22"/>
        </w:rPr>
        <w:t>8.</w:t>
        <w:tab/>
      </w:r>
      <w:r>
        <w:rPr>
          <w:rFonts w:ascii="Arial" w:hAnsi="Arial" w:eastAsia="Arial"/>
          <w:b w:val="0"/>
          <w:i w:val="0"/>
          <w:sz w:val="22"/>
          <w:highlight w:val="yellow"/>
        </w:rPr>
        <w:t>[Authors to be verified]</w:t>
      </w:r>
      <w:r>
        <w:rPr>
          <w:rFonts w:ascii="Arial" w:hAnsi="Arial" w:eastAsia="Arial"/>
          <w:b w:val="0"/>
          <w:i w:val="0"/>
          <w:sz w:val="22"/>
        </w:rPr>
        <w:t>. Schistosomiasis japonicum in Indonesia: progress and surveillance needs in verge-of-elimination settings. Trop Med Infect Dis. 2026;11(4):86. doi:10.3390/tropicalmed11040086 [VERIFY: complete authors/year/pages from PubMed]</w:t>
      </w:r>
    </w:p>
    <w:p>
      <w:pPr>
        <w:ind w:left="425" w:hanging="425"/>
      </w:pPr>
      <w:r>
        <w:rPr>
          <w:rFonts w:ascii="Arial" w:hAnsi="Arial" w:eastAsia="Arial"/>
          <w:b w:val="0"/>
          <w:i w:val="0"/>
          <w:sz w:val="22"/>
        </w:rPr>
        <w:t>9.</w:t>
        <w:tab/>
        <w:t xml:space="preserve">Xu Z, Su DL. </w:t>
      </w:r>
      <w:r>
        <w:rPr>
          <w:rFonts w:ascii="Arial" w:hAnsi="Arial" w:eastAsia="Arial"/>
          <w:b w:val="0"/>
          <w:i/>
          <w:sz w:val="22"/>
        </w:rPr>
        <w:t>Schistosoma japonicum</w:t>
      </w:r>
      <w:r>
        <w:rPr>
          <w:rFonts w:ascii="Arial" w:hAnsi="Arial" w:eastAsia="Arial"/>
          <w:b w:val="0"/>
          <w:i w:val="0"/>
          <w:sz w:val="22"/>
        </w:rPr>
        <w:t xml:space="preserve"> and colorectal cancer: an epidemiological study in the People's Republic of China. Int J Cancer. 1984;34(3):315-8. doi:10.1002/ijc.2910340305. PMID: 6480152</w:t>
      </w:r>
    </w:p>
    <w:p>
      <w:pPr>
        <w:ind w:left="425" w:hanging="425"/>
      </w:pPr>
      <w:r>
        <w:rPr>
          <w:rFonts w:ascii="Arial" w:hAnsi="Arial" w:eastAsia="Arial"/>
          <w:b w:val="0"/>
          <w:i w:val="0"/>
          <w:sz w:val="22"/>
        </w:rPr>
        <w:t>10.</w:t>
        <w:tab/>
        <w:t xml:space="preserve">Qiu DC, Hubbard AE, Zhong B, Zhang Y, Spear RC. A matched, case-control study of the association between </w:t>
      </w:r>
      <w:r>
        <w:rPr>
          <w:rFonts w:ascii="Arial" w:hAnsi="Arial" w:eastAsia="Arial"/>
          <w:b w:val="0"/>
          <w:i/>
          <w:sz w:val="22"/>
        </w:rPr>
        <w:t>Schistosoma japonicum</w:t>
      </w:r>
      <w:r>
        <w:rPr>
          <w:rFonts w:ascii="Arial" w:hAnsi="Arial" w:eastAsia="Arial"/>
          <w:b w:val="0"/>
          <w:i w:val="0"/>
          <w:sz w:val="22"/>
        </w:rPr>
        <w:t xml:space="preserve"> and liver and colon cancers, in rural China. Ann Trop Med Parasitol. 2005;99(1):47-52. PMID: 15701255</w:t>
      </w:r>
    </w:p>
    <w:p>
      <w:pPr>
        <w:ind w:left="425" w:hanging="425"/>
      </w:pPr>
      <w:r>
        <w:rPr>
          <w:rFonts w:ascii="Arial" w:hAnsi="Arial" w:eastAsia="Arial"/>
          <w:b w:val="0"/>
          <w:i w:val="0"/>
          <w:sz w:val="22"/>
        </w:rPr>
        <w:t>11.</w:t>
        <w:tab/>
        <w:t xml:space="preserve">Liu XF, Ju S, Wang KY, Li Y, Qiang JW. The prevalence rate, mortality, and 5-year overall survival of </w:t>
      </w:r>
      <w:r>
        <w:rPr>
          <w:rFonts w:ascii="Arial" w:hAnsi="Arial" w:eastAsia="Arial"/>
          <w:b w:val="0"/>
          <w:i/>
          <w:sz w:val="22"/>
        </w:rPr>
        <w:t>Schistosoma japonicum</w:t>
      </w:r>
      <w:r>
        <w:rPr>
          <w:rFonts w:ascii="Arial" w:hAnsi="Arial" w:eastAsia="Arial"/>
          <w:b w:val="0"/>
          <w:i w:val="0"/>
          <w:sz w:val="22"/>
        </w:rPr>
        <w:t xml:space="preserve"> patients with human malignancy. Front Oncol. 2023;13:1288197. doi:10.3389/fonc.2023.1288197. PMID: 38125940</w:t>
      </w:r>
    </w:p>
    <w:p>
      <w:pPr>
        <w:ind w:left="425" w:hanging="425"/>
      </w:pPr>
      <w:r>
        <w:rPr>
          <w:rFonts w:ascii="Arial" w:hAnsi="Arial" w:eastAsia="Arial"/>
          <w:b w:val="0"/>
          <w:i w:val="0"/>
          <w:sz w:val="22"/>
        </w:rPr>
        <w:t>12.</w:t>
        <w:tab/>
        <w:t xml:space="preserve">Wang Z, Du Z, Liu Y, Wang W, Liang M, Zhang A, </w:t>
      </w:r>
      <w:r>
        <w:rPr>
          <w:rFonts w:ascii="Arial" w:hAnsi="Arial" w:eastAsia="Arial"/>
          <w:b w:val="0"/>
          <w:i w:val="0"/>
          <w:sz w:val="22"/>
        </w:rPr>
        <w:t>et al.</w:t>
      </w:r>
      <w:r>
        <w:rPr>
          <w:rFonts w:ascii="Arial" w:hAnsi="Arial" w:eastAsia="Arial"/>
          <w:b w:val="0"/>
          <w:i w:val="0"/>
          <w:sz w:val="22"/>
        </w:rPr>
        <w:t xml:space="preserve"> Comparison of the clinicopathological features and prognoses of patients with schistosomal and nonschistosomal colorectal cancer. Oncol Lett. 2020;19(3):2375-2383. doi:10.3892/ol.2020.11331. PMID: 32194737</w:t>
      </w:r>
    </w:p>
    <w:p>
      <w:pPr>
        <w:ind w:left="425" w:hanging="425"/>
      </w:pPr>
      <w:r>
        <w:rPr>
          <w:rFonts w:ascii="Arial" w:hAnsi="Arial" w:eastAsia="Arial"/>
          <w:b w:val="0"/>
          <w:i w:val="0"/>
          <w:sz w:val="22"/>
        </w:rPr>
        <w:t>13.</w:t>
        <w:tab/>
        <w:t xml:space="preserve">Wang W, Lu K, Wang L, Jing H, Pan W, Huang S, </w:t>
      </w:r>
      <w:r>
        <w:rPr>
          <w:rFonts w:ascii="Arial" w:hAnsi="Arial" w:eastAsia="Arial"/>
          <w:b w:val="0"/>
          <w:i w:val="0"/>
          <w:sz w:val="22"/>
        </w:rPr>
        <w:t>et al.</w:t>
      </w:r>
      <w:r>
        <w:rPr>
          <w:rFonts w:ascii="Arial" w:hAnsi="Arial" w:eastAsia="Arial"/>
          <w:b w:val="0"/>
          <w:i w:val="0"/>
          <w:sz w:val="22"/>
        </w:rPr>
        <w:t xml:space="preserve"> Comparison of non-schistosomal colorectal cancer and schistosomal colorectal cancer. World J Surg Oncol. 2020;18(1):149. doi:10.1186/s12957-020-01925-5. PMID: 32611359</w:t>
      </w:r>
    </w:p>
    <w:p>
      <w:pPr>
        <w:ind w:left="425" w:hanging="425"/>
      </w:pPr>
      <w:r>
        <w:rPr>
          <w:rFonts w:ascii="Arial" w:hAnsi="Arial" w:eastAsia="Arial"/>
          <w:b w:val="0"/>
          <w:i w:val="0"/>
          <w:sz w:val="22"/>
        </w:rPr>
        <w:t>14.</w:t>
        <w:tab/>
        <w:t>Zhang F, Wang X, Zhu Y, Xia P. Conjoint analysis of clinical, imaging, and pathological features of schistosomiasis and colorectal cancer. Pathol Oncol Res. 2023;29:1611396. doi:10.3389/pore.2023.1611396. PMID: 38099242</w:t>
      </w:r>
    </w:p>
    <w:p>
      <w:pPr>
        <w:ind w:left="425" w:hanging="425"/>
      </w:pPr>
      <w:r>
        <w:rPr>
          <w:rFonts w:ascii="Arial" w:hAnsi="Arial" w:eastAsia="Arial"/>
          <w:b w:val="0"/>
          <w:i w:val="0"/>
          <w:sz w:val="22"/>
        </w:rPr>
        <w:t>15.</w:t>
        <w:tab/>
        <w:t>Zhu Y, Wu X, Ran X, Rao C, Gong P. A retrospective cross-sectional study: comparison of the clinicopathological features of schistosomal and non-schistosomal colorectal cancer in Central China. BMC Infect Dis. 2024;24(1):732. doi:10.1186/s12879-024-09648-8. PMID: 39054428</w:t>
      </w:r>
    </w:p>
    <w:p>
      <w:pPr>
        <w:ind w:left="425" w:hanging="425"/>
      </w:pPr>
      <w:r>
        <w:rPr>
          <w:rFonts w:ascii="Arial" w:hAnsi="Arial" w:eastAsia="Arial"/>
          <w:b w:val="0"/>
          <w:i w:val="0"/>
          <w:sz w:val="22"/>
        </w:rPr>
        <w:t>16.</w:t>
        <w:tab/>
        <w:t>National Cooperative Group on Pathology and Prognosis of Colorectal Cancer. [Schistosomiasis and its prognostic significance in patients with colorectal cancer]. Zhonghua Zhong Liu Za Zhi. 1986;8(2):149-51. Chinese. PMID: 3021419</w:t>
      </w:r>
    </w:p>
    <w:p>
      <w:pPr>
        <w:ind w:left="425" w:hanging="425"/>
      </w:pPr>
      <w:r>
        <w:rPr>
          <w:rFonts w:ascii="Arial" w:hAnsi="Arial" w:eastAsia="Arial"/>
          <w:b w:val="0"/>
          <w:i w:val="0"/>
          <w:sz w:val="22"/>
        </w:rPr>
        <w:t>17.</w:t>
        <w:tab/>
        <w:t>Wang M, Zhang YC, Yang XY, Wang ZQ. Prognostic analysis of schistosomal rectal cancer. Asian Pac J Cancer Prev. 2014;15(21):9271-5. doi:10.7314/apjcp.2014.15.21.9271. PMID: 25422211</w:t>
      </w:r>
    </w:p>
    <w:p>
      <w:pPr>
        <w:ind w:left="425" w:hanging="425"/>
      </w:pPr>
      <w:r>
        <w:rPr>
          <w:rFonts w:ascii="Arial" w:hAnsi="Arial" w:eastAsia="Arial"/>
          <w:b w:val="0"/>
          <w:i w:val="0"/>
          <w:sz w:val="22"/>
        </w:rPr>
        <w:t>18.</w:t>
        <w:tab/>
        <w:t xml:space="preserve">Li X, Liu H, Huang B, Yang M, Fan J, Zhang J, </w:t>
      </w:r>
      <w:r>
        <w:rPr>
          <w:rFonts w:ascii="Arial" w:hAnsi="Arial" w:eastAsia="Arial"/>
          <w:b w:val="0"/>
          <w:i w:val="0"/>
          <w:sz w:val="22"/>
        </w:rPr>
        <w:t>et al.</w:t>
      </w:r>
      <w:r>
        <w:rPr>
          <w:rFonts w:ascii="Arial" w:hAnsi="Arial" w:eastAsia="Arial"/>
          <w:b w:val="0"/>
          <w:i w:val="0"/>
          <w:sz w:val="22"/>
        </w:rPr>
        <w:t xml:space="preserve"> Schistosoma infection, KRAS mutation status, and prognosis of colorectal cancer. Chin Med J (Engl). 2024;137(2):235-237. doi:10.1097/CM9.0000000000002905. PMID: 37920960</w:t>
      </w:r>
    </w:p>
    <w:p>
      <w:pPr>
        <w:ind w:left="425" w:hanging="425"/>
      </w:pPr>
      <w:r>
        <w:rPr>
          <w:rFonts w:ascii="Arial" w:hAnsi="Arial" w:eastAsia="Arial"/>
          <w:b w:val="0"/>
          <w:i w:val="0"/>
          <w:sz w:val="22"/>
        </w:rPr>
        <w:t>19.</w:t>
        <w:tab/>
        <w:t xml:space="preserve">Zheng N, Wang H, Yu Q, Wang C, Bai CG, Pan AF, </w:t>
      </w:r>
      <w:r>
        <w:rPr>
          <w:rFonts w:ascii="Arial" w:hAnsi="Arial" w:eastAsia="Arial"/>
          <w:b w:val="0"/>
          <w:i w:val="0"/>
          <w:sz w:val="22"/>
        </w:rPr>
        <w:t>et al.</w:t>
      </w:r>
      <w:r>
        <w:rPr>
          <w:rFonts w:ascii="Arial" w:hAnsi="Arial" w:eastAsia="Arial"/>
          <w:b w:val="0"/>
          <w:i w:val="0"/>
          <w:sz w:val="22"/>
        </w:rPr>
        <w:t xml:space="preserve"> Changing trends, clinicopathological characteristics, surgical treatment patterns, and prognosis of schistosomiasis-associated versus non-schistosomiasis-associated colorectal cancer: a large retrospective cohort study of 31 153 cases in Shanghai, China (2001-2021). Int J Surg. 2023;109(4):772-784. doi:10.1097/JS9.0000000000000293. PMID: 36999800</w:t>
      </w:r>
    </w:p>
    <w:p>
      <w:pPr>
        <w:ind w:left="425" w:hanging="425"/>
      </w:pPr>
      <w:r>
        <w:rPr>
          <w:rFonts w:ascii="Arial" w:hAnsi="Arial" w:eastAsia="Arial"/>
          <w:b w:val="0"/>
          <w:i w:val="0"/>
          <w:sz w:val="22"/>
        </w:rPr>
        <w:t>20.</w:t>
        <w:tab/>
        <w:t>Hamid HKS, Mekki SO, Suleiman SH, Ibrahim SZ. Colorectal carcinoma associated with schistosomiasis: a possible causal relationship. World J Surg Oncol. 2010;8:68. doi:10.1186/1477-7819-8-68. PMID: 20704754</w:t>
      </w:r>
    </w:p>
    <w:p>
      <w:pPr>
        <w:ind w:left="425" w:hanging="425"/>
      </w:pPr>
      <w:r>
        <w:rPr>
          <w:rFonts w:ascii="Arial" w:hAnsi="Arial" w:eastAsia="Arial"/>
          <w:b w:val="0"/>
          <w:i w:val="0"/>
          <w:sz w:val="22"/>
        </w:rPr>
        <w:t>21.</w:t>
        <w:tab/>
        <w:t xml:space="preserve">Hataminejad M, Basirpour B, Baharlou M, Gholami Koohestan M, Ziaei Hezarjaribi H, Rahimi Esboei B, </w:t>
      </w:r>
      <w:r>
        <w:rPr>
          <w:rFonts w:ascii="Arial" w:hAnsi="Arial" w:eastAsia="Arial"/>
          <w:b w:val="0"/>
          <w:i w:val="0"/>
          <w:sz w:val="22"/>
        </w:rPr>
        <w:t>et al.</w:t>
      </w:r>
      <w:r>
        <w:rPr>
          <w:rFonts w:ascii="Arial" w:hAnsi="Arial" w:eastAsia="Arial"/>
          <w:b w:val="0"/>
          <w:i w:val="0"/>
          <w:sz w:val="22"/>
        </w:rPr>
        <w:t xml:space="preserve"> Global prevalence and correlation of intestinal parasitic infections in patients with colorectal cancer: a systematic review and meta-analysis. BMC Gastroenterol. 2025;25(1):584. doi:10.1186/s12876-025-04144-y. PMID: 40804378</w:t>
      </w:r>
    </w:p>
    <w:p>
      <w:pPr>
        <w:ind w:left="425" w:hanging="425"/>
      </w:pPr>
      <w:r>
        <w:rPr>
          <w:rFonts w:ascii="Arial" w:hAnsi="Arial" w:eastAsia="Arial"/>
          <w:b w:val="0"/>
          <w:i w:val="0"/>
          <w:sz w:val="22"/>
        </w:rPr>
        <w:t>22.</w:t>
        <w:tab/>
        <w:t xml:space="preserve">Page MJ, McKenzie JE, Bossuyt PM, Boutron I, Hoffmann TC, Mulrow CD, </w:t>
      </w:r>
      <w:r>
        <w:rPr>
          <w:rFonts w:ascii="Arial" w:hAnsi="Arial" w:eastAsia="Arial"/>
          <w:b w:val="0"/>
          <w:i w:val="0"/>
          <w:sz w:val="22"/>
        </w:rPr>
        <w:t>et al.</w:t>
      </w:r>
      <w:r>
        <w:rPr>
          <w:rFonts w:ascii="Arial" w:hAnsi="Arial" w:eastAsia="Arial"/>
          <w:b w:val="0"/>
          <w:i w:val="0"/>
          <w:sz w:val="22"/>
        </w:rPr>
        <w:t xml:space="preserve"> The PRISMA 2020 statement: an updated guideline for reporting systematic reviews. BMJ. 2021;372:n71. doi:10.1136/bmj.n71</w:t>
      </w:r>
    </w:p>
    <w:p>
      <w:pPr>
        <w:ind w:left="425" w:hanging="425"/>
      </w:pPr>
      <w:r>
        <w:rPr>
          <w:rFonts w:ascii="Arial" w:hAnsi="Arial" w:eastAsia="Arial"/>
          <w:b w:val="0"/>
          <w:i w:val="0"/>
          <w:sz w:val="22"/>
        </w:rPr>
        <w:t>23.</w:t>
        <w:tab/>
        <w:t xml:space="preserve">Rethlefsen ML, Kirtley S, Waffenschmidt S, Ayala AP, Moher D, Page MJ, </w:t>
      </w:r>
      <w:r>
        <w:rPr>
          <w:rFonts w:ascii="Arial" w:hAnsi="Arial" w:eastAsia="Arial"/>
          <w:b w:val="0"/>
          <w:i w:val="0"/>
          <w:sz w:val="22"/>
        </w:rPr>
        <w:t>et al.</w:t>
      </w:r>
      <w:r>
        <w:rPr>
          <w:rFonts w:ascii="Arial" w:hAnsi="Arial" w:eastAsia="Arial"/>
          <w:b w:val="0"/>
          <w:i w:val="0"/>
          <w:sz w:val="22"/>
        </w:rPr>
        <w:t xml:space="preserve"> PRISMA-S: an extension to the PRISMA statement for reporting literature searches in systematic reviews. Syst Rev. 2021;10:39. doi:10.1186/s13643-020-01542-z</w:t>
      </w:r>
    </w:p>
    <w:p>
      <w:pPr>
        <w:ind w:left="425" w:hanging="425"/>
      </w:pPr>
      <w:r>
        <w:rPr>
          <w:rFonts w:ascii="Arial" w:hAnsi="Arial" w:eastAsia="Arial"/>
          <w:b w:val="0"/>
          <w:i w:val="0"/>
          <w:sz w:val="22"/>
        </w:rPr>
        <w:t>24.</w:t>
        <w:tab/>
        <w:t>Wan X, Wang W, Liu J, Tong T. Estimating the sample mean and standard deviation from the sample size, median, range and/or interquartile range. BMC Med Res Methodol. 2014;14:135. doi:10.1186/1471-2288-14-135</w:t>
      </w:r>
    </w:p>
    <w:p>
      <w:pPr>
        <w:ind w:left="425" w:hanging="425"/>
      </w:pPr>
      <w:r>
        <w:rPr>
          <w:rFonts w:ascii="Arial" w:hAnsi="Arial" w:eastAsia="Arial"/>
          <w:b w:val="0"/>
          <w:i w:val="0"/>
          <w:sz w:val="22"/>
        </w:rPr>
        <w:t>25.</w:t>
        <w:tab/>
        <w:t>Tierney JF, Stewart LA, Ghersi D, Burdett S, Sydes MR. Practical methods for incorporating summary time-to-event data into meta-analysis. Trials. 2007;8:16. doi:10.1186/1745-6215-8-16</w:t>
      </w:r>
    </w:p>
    <w:p>
      <w:pPr>
        <w:ind w:left="425" w:hanging="425"/>
      </w:pPr>
      <w:r>
        <w:rPr>
          <w:rFonts w:ascii="Arial" w:hAnsi="Arial" w:eastAsia="Arial"/>
          <w:b w:val="0"/>
          <w:i w:val="0"/>
          <w:sz w:val="22"/>
        </w:rPr>
        <w:t>26.</w:t>
        <w:tab/>
        <w:t>Guyot P, Ades AE, Ouwens MJ, Welton NJ. Enhanced secondary analysis of survival data: reconstructing the data from published Kaplan-Meier survival curves. BMC Med Res Methodol. 2012;12:9. doi:10.1186/1471-2288-12-9</w:t>
      </w:r>
    </w:p>
    <w:p>
      <w:pPr>
        <w:ind w:left="425" w:hanging="425"/>
      </w:pPr>
      <w:r>
        <w:rPr>
          <w:rFonts w:ascii="Arial" w:hAnsi="Arial" w:eastAsia="Arial"/>
          <w:b w:val="0"/>
          <w:i w:val="0"/>
          <w:sz w:val="22"/>
        </w:rPr>
        <w:t>27.</w:t>
        <w:tab/>
        <w:t xml:space="preserve">Wells GA, Shea B, O'Connell D, Peterson J, Welch V, Losos M, </w:t>
      </w:r>
      <w:r>
        <w:rPr>
          <w:rFonts w:ascii="Arial" w:hAnsi="Arial" w:eastAsia="Arial"/>
          <w:b w:val="0"/>
          <w:i w:val="0"/>
          <w:sz w:val="22"/>
        </w:rPr>
        <w:t>et al.</w:t>
      </w:r>
      <w:r>
        <w:rPr>
          <w:rFonts w:ascii="Arial" w:hAnsi="Arial" w:eastAsia="Arial"/>
          <w:b w:val="0"/>
          <w:i w:val="0"/>
          <w:sz w:val="22"/>
        </w:rPr>
        <w:t xml:space="preserve"> The Newcastle-Ottawa Scale (NOS) for assessing the quality of nonrandomised studies in meta-analyses [Internet]. Ottawa: Ottawa Hospital Research Institute; [cited YYYY Mon DD]. Available from: https://www.ohri.ca/programs/clinical_epidemiology/oxford.asp</w:t>
      </w:r>
    </w:p>
    <w:p>
      <w:pPr>
        <w:ind w:left="425" w:hanging="425"/>
      </w:pPr>
      <w:r>
        <w:rPr>
          <w:rFonts w:ascii="Arial" w:hAnsi="Arial" w:eastAsia="Arial"/>
          <w:b w:val="0"/>
          <w:i w:val="0"/>
          <w:sz w:val="22"/>
        </w:rPr>
        <w:t>28.</w:t>
        <w:tab/>
        <w:t>Higgins JPT, Thompson SG. Quantifying heterogeneity in a meta-analysis. Stat Med. 2002;21(11):1539-58. doi:10.1002/sim.1186</w:t>
      </w:r>
    </w:p>
    <w:p>
      <w:pPr>
        <w:ind w:left="425" w:hanging="425"/>
      </w:pPr>
      <w:r>
        <w:rPr>
          <w:rFonts w:ascii="Arial" w:hAnsi="Arial" w:eastAsia="Arial"/>
          <w:b w:val="0"/>
          <w:i w:val="0"/>
          <w:sz w:val="22"/>
        </w:rPr>
        <w:t>29.</w:t>
        <w:tab/>
        <w:t>R Core Team. R: a language and environment for statistical computing. Version 4.3.3. Vienna: R Foundation for Statistical Computing; 2024.</w:t>
      </w:r>
    </w:p>
    <w:p>
      <w:pPr>
        <w:ind w:left="425" w:hanging="425"/>
      </w:pPr>
      <w:r>
        <w:rPr>
          <w:rFonts w:ascii="Arial" w:hAnsi="Arial" w:eastAsia="Arial"/>
          <w:b w:val="0"/>
          <w:i w:val="0"/>
          <w:sz w:val="22"/>
        </w:rPr>
        <w:t>30.</w:t>
        <w:tab/>
        <w:t>Viechtbauer W. Conducting meta-analyses in R with the metafor package. J Stat Softw. 2010;36(3):1-48. doi:10.18637/jss.v036.i03</w:t>
      </w:r>
    </w:p>
    <w:p>
      <w:pPr>
        <w:ind w:left="425" w:hanging="425"/>
      </w:pPr>
      <w:r>
        <w:rPr>
          <w:rFonts w:ascii="Arial" w:hAnsi="Arial" w:eastAsia="Arial"/>
          <w:b w:val="0"/>
          <w:i w:val="0"/>
          <w:sz w:val="22"/>
        </w:rPr>
        <w:t>31.</w:t>
        <w:tab/>
        <w:t>Egger M, Davey Smith G, Schneider M, Minder C. Bias in meta-analysis detected by a simple, graphical test. BMJ. 1997;315(7109):629-34. doi:10.1136/bmj.315.7109.629</w:t>
      </w:r>
    </w:p>
    <w:p>
      <w:pPr>
        <w:ind w:left="425" w:hanging="425"/>
      </w:pPr>
      <w:r>
        <w:rPr>
          <w:rFonts w:ascii="Arial" w:hAnsi="Arial" w:eastAsia="Arial"/>
          <w:b w:val="0"/>
          <w:i w:val="0"/>
          <w:sz w:val="22"/>
        </w:rPr>
        <w:t>32.</w:t>
        <w:tab/>
        <w:t xml:space="preserve">Sterne JAC, Sutton AJ, Ioannidis JPA, Terrin N, Jones DR, Lau J, </w:t>
      </w:r>
      <w:r>
        <w:rPr>
          <w:rFonts w:ascii="Arial" w:hAnsi="Arial" w:eastAsia="Arial"/>
          <w:b w:val="0"/>
          <w:i w:val="0"/>
          <w:sz w:val="22"/>
        </w:rPr>
        <w:t>et al.</w:t>
      </w:r>
      <w:r>
        <w:rPr>
          <w:rFonts w:ascii="Arial" w:hAnsi="Arial" w:eastAsia="Arial"/>
          <w:b w:val="0"/>
          <w:i w:val="0"/>
          <w:sz w:val="22"/>
        </w:rPr>
        <w:t xml:space="preserve"> Recommendations for examining and interpreting funnel plot asymmetry in meta-analyses of randomised controlled trials. BMJ. 2011;343:d4002. doi:10.1136/bmj.d4002</w:t>
      </w:r>
    </w:p>
    <w:p>
      <w:pPr>
        <w:ind w:left="425" w:hanging="425"/>
      </w:pPr>
      <w:r>
        <w:rPr>
          <w:rFonts w:ascii="Arial" w:hAnsi="Arial" w:eastAsia="Arial"/>
          <w:b w:val="0"/>
          <w:i w:val="0"/>
          <w:sz w:val="22"/>
        </w:rPr>
        <w:t>33.</w:t>
        <w:tab/>
        <w:t xml:space="preserve">Guyatt GH, Oxman AD, Vist GE, Kunz R, Falck-Ytter Y, Alonso-Coello P, </w:t>
      </w:r>
      <w:r>
        <w:rPr>
          <w:rFonts w:ascii="Arial" w:hAnsi="Arial" w:eastAsia="Arial"/>
          <w:b w:val="0"/>
          <w:i w:val="0"/>
          <w:sz w:val="22"/>
        </w:rPr>
        <w:t>et al.</w:t>
      </w:r>
      <w:r>
        <w:rPr>
          <w:rFonts w:ascii="Arial" w:hAnsi="Arial" w:eastAsia="Arial"/>
          <w:b w:val="0"/>
          <w:i w:val="0"/>
          <w:sz w:val="22"/>
        </w:rPr>
        <w:t xml:space="preserve"> GRADE: an emerging consensus on rating quality of evidence and strength of recommendations. BMJ. 2008;336(7650):924-6. doi:10.1136/bmj.39489.470347.AD</w:t>
      </w:r>
    </w:p>
    <w:p>
      <w:pPr>
        <w:ind w:left="425" w:hanging="425"/>
      </w:pPr>
      <w:r>
        <w:rPr>
          <w:rFonts w:ascii="Arial" w:hAnsi="Arial" w:eastAsia="Arial"/>
          <w:b w:val="0"/>
          <w:i w:val="0"/>
          <w:sz w:val="22"/>
        </w:rPr>
        <w:t>34.</w:t>
        <w:tab/>
        <w:t xml:space="preserve">Yang Y, Wang XY, Duan C, Wang ZJ, Sheng HY, Xu XL, </w:t>
      </w:r>
      <w:r>
        <w:rPr>
          <w:rFonts w:ascii="Arial" w:hAnsi="Arial" w:eastAsia="Arial"/>
          <w:b w:val="0"/>
          <w:i w:val="0"/>
          <w:sz w:val="22"/>
        </w:rPr>
        <w:t>et al.</w:t>
      </w:r>
      <w:r>
        <w:rPr>
          <w:rFonts w:ascii="Arial" w:hAnsi="Arial" w:eastAsia="Arial"/>
          <w:b w:val="0"/>
          <w:i w:val="0"/>
          <w:sz w:val="22"/>
        </w:rPr>
        <w:t xml:space="preserve"> Clinicopathological characteristics and its association with digestive system tumors of 1111 patients with Schistosomiasis japonica. Sci Rep. 2023;13(1):15115. doi:10.1038/s41598-023-42456-9. PMID: 37704736</w:t>
      </w:r>
    </w:p>
    <w:p>
      <w:pPr>
        <w:ind w:left="425" w:hanging="425"/>
      </w:pPr>
      <w:r>
        <w:rPr>
          <w:rFonts w:ascii="Arial" w:hAnsi="Arial" w:eastAsia="Arial"/>
          <w:b w:val="0"/>
          <w:i w:val="0"/>
          <w:sz w:val="22"/>
        </w:rPr>
        <w:t>35.</w:t>
        <w:tab/>
        <w:t xml:space="preserve">Wang W, Jing H, Liu J, Bu D, Zhang Y, Zhu T, </w:t>
      </w:r>
      <w:r>
        <w:rPr>
          <w:rFonts w:ascii="Arial" w:hAnsi="Arial" w:eastAsia="Arial"/>
          <w:b w:val="0"/>
          <w:i w:val="0"/>
          <w:sz w:val="22"/>
        </w:rPr>
        <w:t>et al.</w:t>
      </w:r>
      <w:r>
        <w:rPr>
          <w:rFonts w:ascii="Arial" w:hAnsi="Arial" w:eastAsia="Arial"/>
          <w:b w:val="0"/>
          <w:i w:val="0"/>
          <w:sz w:val="22"/>
        </w:rPr>
        <w:t xml:space="preserve"> Correlation between schistosomiasis and CD8+ T cell and stromal PD-L1 as well as the different prognostic role of CD8+ T cell and PD-L1 in schistosomal-associated colorectal cancer and non-schistosomal-associated colorectal cancer. World J Surg Oncol. 2021;19(1):321. doi:10.1186/s12957-021-02433-w. PMID: 34743724</w:t>
      </w:r>
    </w:p>
    <w:p>
      <w:pPr>
        <w:ind w:left="425" w:hanging="425"/>
      </w:pPr>
      <w:r>
        <w:rPr>
          <w:rFonts w:ascii="Arial" w:hAnsi="Arial" w:eastAsia="Arial"/>
          <w:b w:val="0"/>
          <w:i w:val="0"/>
          <w:sz w:val="22"/>
        </w:rPr>
        <w:t>36.</w:t>
        <w:tab/>
        <w:t xml:space="preserve">Wang W, Zhang Y, Liu J, Jing H, Lu K, Wang L, </w:t>
      </w:r>
      <w:r>
        <w:rPr>
          <w:rFonts w:ascii="Arial" w:hAnsi="Arial" w:eastAsia="Arial"/>
          <w:b w:val="0"/>
          <w:i w:val="0"/>
          <w:sz w:val="22"/>
        </w:rPr>
        <w:t>et al.</w:t>
      </w:r>
      <w:r>
        <w:rPr>
          <w:rFonts w:ascii="Arial" w:hAnsi="Arial" w:eastAsia="Arial"/>
          <w:b w:val="0"/>
          <w:i w:val="0"/>
          <w:sz w:val="22"/>
        </w:rPr>
        <w:t xml:space="preserve"> Comparison of the prognostic value of stromal tumor-infiltrating lymphocytes and CD3 + T cells between schistosomal and non-schistosomal colorectal cancer. World J Surg Oncol. 2023;21(1):31. doi:10.1186/s12957-023-02911-3. PMID: 36726115</w:t>
      </w:r>
    </w:p>
    <w:p>
      <w:pPr>
        <w:ind w:left="425" w:hanging="425"/>
      </w:pPr>
      <w:r>
        <w:rPr>
          <w:rFonts w:ascii="Arial" w:hAnsi="Arial" w:eastAsia="Arial"/>
          <w:b w:val="0"/>
          <w:i w:val="0"/>
          <w:sz w:val="22"/>
        </w:rPr>
        <w:t>37.</w:t>
        <w:tab/>
        <w:t xml:space="preserve">Pan W, Wang W, Huang J, Lu K, Huang S, Jiang D, </w:t>
      </w:r>
      <w:r>
        <w:rPr>
          <w:rFonts w:ascii="Arial" w:hAnsi="Arial" w:eastAsia="Arial"/>
          <w:b w:val="0"/>
          <w:i w:val="0"/>
          <w:sz w:val="22"/>
        </w:rPr>
        <w:t>et al.</w:t>
      </w:r>
      <w:r>
        <w:rPr>
          <w:rFonts w:ascii="Arial" w:hAnsi="Arial" w:eastAsia="Arial"/>
          <w:b w:val="0"/>
          <w:i w:val="0"/>
          <w:sz w:val="22"/>
        </w:rPr>
        <w:t xml:space="preserve"> The prognostic role of c-MYC amplification in schistosomiasis-associated colorectal cancer. Jpn J Clin Oncol. 2020;50(4):446-455. doi:10.1093/jjco/hyz210. PMID: 32297641</w:t>
      </w:r>
    </w:p>
    <w:p>
      <w:pPr>
        <w:ind w:left="425" w:hanging="425"/>
      </w:pPr>
      <w:r>
        <w:rPr>
          <w:rFonts w:ascii="Arial" w:hAnsi="Arial" w:eastAsia="Arial"/>
          <w:b w:val="0"/>
          <w:i w:val="0"/>
          <w:sz w:val="22"/>
        </w:rPr>
        <w:t>38.</w:t>
        <w:tab/>
        <w:t xml:space="preserve">Cheng M, Jing H, Bu D, Liu J, Lu K, Liu J, </w:t>
      </w:r>
      <w:r>
        <w:rPr>
          <w:rFonts w:ascii="Arial" w:hAnsi="Arial" w:eastAsia="Arial"/>
          <w:b w:val="0"/>
          <w:i w:val="0"/>
          <w:sz w:val="22"/>
        </w:rPr>
        <w:t>et al.</w:t>
      </w:r>
      <w:r>
        <w:rPr>
          <w:rFonts w:ascii="Arial" w:hAnsi="Arial" w:eastAsia="Arial"/>
          <w:b w:val="0"/>
          <w:i w:val="0"/>
          <w:sz w:val="22"/>
        </w:rPr>
        <w:t xml:space="preserve"> The predictive value of CD4, CD8, and C-reactive protein in the prognosis of schistosomal and non-schistosomal colorectal cancer. BMC Gastroenterol. 2023;23(1):194. doi:10.1186/s12876-023-02834-z. PMID: 37277702</w:t>
      </w:r>
    </w:p>
    <w:p>
      <w:pPr>
        <w:ind w:left="425" w:hanging="425"/>
      </w:pPr>
      <w:r>
        <w:rPr>
          <w:rFonts w:ascii="Arial" w:hAnsi="Arial" w:eastAsia="Arial"/>
          <w:b w:val="0"/>
          <w:i w:val="0"/>
          <w:sz w:val="22"/>
        </w:rPr>
        <w:t>39.</w:t>
        <w:tab/>
        <w:t xml:space="preserve">Chai S, Zhang Y, Zhang X, Liu L, Jing H, Wang W, </w:t>
      </w:r>
      <w:r>
        <w:rPr>
          <w:rFonts w:ascii="Arial" w:hAnsi="Arial" w:eastAsia="Arial"/>
          <w:b w:val="0"/>
          <w:i w:val="0"/>
          <w:sz w:val="22"/>
        </w:rPr>
        <w:t>et al.</w:t>
      </w:r>
      <w:r>
        <w:rPr>
          <w:rFonts w:ascii="Arial" w:hAnsi="Arial" w:eastAsia="Arial"/>
          <w:b w:val="0"/>
          <w:i w:val="0"/>
          <w:sz w:val="22"/>
        </w:rPr>
        <w:t xml:space="preserve"> The distinguished predictive value of CFIm25 in schistosomal and non-schistosomal colorectal cancer. Transl Cancer Res. 2026;15(8):638. doi:10.21037/tcr-2026-0893. PMID: 42724732</w:t>
      </w:r>
    </w:p>
    <w:p>
      <w:pPr>
        <w:ind w:left="425" w:hanging="425"/>
      </w:pPr>
      <w:r>
        <w:rPr>
          <w:rFonts w:ascii="Arial" w:hAnsi="Arial" w:eastAsia="Arial"/>
          <w:b w:val="0"/>
          <w:i w:val="0"/>
          <w:sz w:val="22"/>
        </w:rPr>
        <w:t>40.</w:t>
        <w:tab/>
        <w:t>Wu C, Wang Y, Gao H, Zhang Y, Dai M, Li S. Relationship between salt-inducible kinase 2 (SIK2) and lymph node metastasis in colorectal cancer patients complicated with chronic schistosomiasis. Zhejiang Da Xue Xue Bao Yi Xue Ban. 2021;50(5):607-613. doi:10.3724/zdxbyxb-2021-0157. PMID: 34986532</w:t>
      </w:r>
    </w:p>
    <w:p>
      <w:pPr>
        <w:ind w:left="425" w:hanging="425"/>
      </w:pPr>
      <w:r>
        <w:rPr>
          <w:rFonts w:ascii="Arial" w:hAnsi="Arial" w:eastAsia="Arial"/>
          <w:b w:val="0"/>
          <w:i w:val="0"/>
          <w:sz w:val="22"/>
        </w:rPr>
        <w:t>41.</w:t>
        <w:tab/>
        <w:t xml:space="preserve">Feng H, Lu AG, Zhao XW, Han DP, Zhao JK, Shi L, </w:t>
      </w:r>
      <w:r>
        <w:rPr>
          <w:rFonts w:ascii="Arial" w:hAnsi="Arial" w:eastAsia="Arial"/>
          <w:b w:val="0"/>
          <w:i w:val="0"/>
          <w:sz w:val="22"/>
        </w:rPr>
        <w:t>et al.</w:t>
      </w:r>
      <w:r>
        <w:rPr>
          <w:rFonts w:ascii="Arial" w:hAnsi="Arial" w:eastAsia="Arial"/>
          <w:b w:val="0"/>
          <w:i w:val="0"/>
          <w:sz w:val="22"/>
        </w:rPr>
        <w:t xml:space="preserve"> Comparison of non-schistosomal rectosigmoid cancer and schistosomal rectosigmoid cancer. World J Gastroenterol. 2015;21(23):7225-32. doi:10.3748/wjg.v21.i23.7225. PMID: 26109809</w:t>
      </w:r>
    </w:p>
    <w:p>
      <w:pPr>
        <w:ind w:left="425" w:hanging="425"/>
      </w:pPr>
      <w:r>
        <w:rPr>
          <w:rFonts w:ascii="Arial" w:hAnsi="Arial" w:eastAsia="Arial"/>
          <w:b w:val="0"/>
          <w:i w:val="0"/>
          <w:sz w:val="22"/>
        </w:rPr>
        <w:t>42.</w:t>
        <w:tab/>
        <w:t xml:space="preserve">Pan W, Guo J, Li J, Su J, Zhang X, Liu J, </w:t>
      </w:r>
      <w:r>
        <w:rPr>
          <w:rFonts w:ascii="Arial" w:hAnsi="Arial" w:eastAsia="Arial"/>
          <w:b w:val="0"/>
          <w:i w:val="0"/>
          <w:sz w:val="22"/>
        </w:rPr>
        <w:t>et al.</w:t>
      </w:r>
      <w:r>
        <w:rPr>
          <w:rFonts w:ascii="Arial" w:hAnsi="Arial" w:eastAsia="Arial"/>
          <w:b w:val="0"/>
          <w:i w:val="0"/>
          <w:sz w:val="22"/>
        </w:rPr>
        <w:t xml:space="preserve"> Presence of schistosome eggs in lymph node predict unfavorable prognosis in schistosomal colorectal cancer. Eur J Cancer Prev. 2023;32(6):566-574. doi:10.1097/CEJ.0000000000000811. PMID: 37200090</w:t>
      </w:r>
    </w:p>
    <w:p>
      <w:pPr>
        <w:ind w:left="425" w:hanging="425"/>
      </w:pPr>
      <w:r>
        <w:rPr>
          <w:rFonts w:ascii="Arial" w:hAnsi="Arial" w:eastAsia="Arial"/>
          <w:b w:val="0"/>
          <w:i w:val="0"/>
          <w:sz w:val="22"/>
        </w:rPr>
        <w:t>43.</w:t>
        <w:tab/>
        <w:t>Yu D, Wang A, Zhang J, Li X, Jiang C, Zhou H. Genomic analysis of schistosomiasis-associated colorectal cancer reveals a unique mutational landscape and therapeutic implications. Genes Dis. 2023;10(3):657-659. doi:10.1016/j.gendis.2022.05.026. PMID: 37396536</w:t>
      </w:r>
    </w:p>
    <w:p>
      <w:pPr>
        <w:ind w:left="425" w:hanging="425"/>
      </w:pPr>
      <w:r>
        <w:rPr>
          <w:rFonts w:ascii="Arial" w:hAnsi="Arial" w:eastAsia="Arial"/>
          <w:b w:val="0"/>
          <w:i w:val="0"/>
          <w:sz w:val="22"/>
        </w:rPr>
        <w:t>44.</w:t>
        <w:tab/>
        <w:t>Wang M, Wu QB, He WB, Wang ZQ. Clinicopathological characteristics and prognosis of schistosomal colorectal cancer. Colorectal Dis. 2016;18(10):1005-1009. doi:10.1111/codi.13317. PMID: 26922912</w:t>
      </w:r>
    </w:p>
    <w:p>
      <w:pPr>
        <w:ind w:left="425" w:hanging="425"/>
      </w:pPr>
      <w:r>
        <w:rPr>
          <w:rFonts w:ascii="Arial" w:hAnsi="Arial" w:eastAsia="Arial"/>
          <w:b w:val="0"/>
          <w:i w:val="0"/>
          <w:sz w:val="22"/>
        </w:rPr>
        <w:t>45.</w:t>
        <w:tab/>
        <w:t xml:space="preserve">Madbouly KM, Senagore AJ, Mukerjee A, Hussien AM, Shehata MA, Navine P, </w:t>
      </w:r>
      <w:r>
        <w:rPr>
          <w:rFonts w:ascii="Arial" w:hAnsi="Arial" w:eastAsia="Arial"/>
          <w:b w:val="0"/>
          <w:i w:val="0"/>
          <w:sz w:val="22"/>
        </w:rPr>
        <w:t>et al.</w:t>
      </w:r>
      <w:r>
        <w:rPr>
          <w:rFonts w:ascii="Arial" w:hAnsi="Arial" w:eastAsia="Arial"/>
          <w:b w:val="0"/>
          <w:i w:val="0"/>
          <w:sz w:val="22"/>
        </w:rPr>
        <w:t xml:space="preserve"> Colorectal cancer in a population with endemic </w:t>
      </w:r>
      <w:r>
        <w:rPr>
          <w:rFonts w:ascii="Arial" w:hAnsi="Arial" w:eastAsia="Arial"/>
          <w:b w:val="0"/>
          <w:i/>
          <w:sz w:val="22"/>
        </w:rPr>
        <w:t>Schistosoma mansoni</w:t>
      </w:r>
      <w:r>
        <w:rPr>
          <w:rFonts w:ascii="Arial" w:hAnsi="Arial" w:eastAsia="Arial"/>
          <w:b w:val="0"/>
          <w:i w:val="0"/>
          <w:sz w:val="22"/>
        </w:rPr>
        <w:t>: is this an at-risk population?. Int J Colorectal Dis. 2007;22(2):175-81. doi:10.1007/s00384-006-0144-3. PMID: 16786317</w:t>
      </w:r>
    </w:p>
    <w:p>
      <w:pPr>
        <w:ind w:left="425" w:hanging="425"/>
      </w:pPr>
      <w:r>
        <w:rPr>
          <w:rFonts w:ascii="Arial" w:hAnsi="Arial" w:eastAsia="Arial"/>
          <w:b w:val="0"/>
          <w:i w:val="0"/>
          <w:sz w:val="22"/>
        </w:rPr>
        <w:t>46.</w:t>
        <w:tab/>
        <w:t xml:space="preserve">Zalata KR, Nasif WA, Ming SC, Lotfy M, Nada NA, El-Hak NG, </w:t>
      </w:r>
      <w:r>
        <w:rPr>
          <w:rFonts w:ascii="Arial" w:hAnsi="Arial" w:eastAsia="Arial"/>
          <w:b w:val="0"/>
          <w:i w:val="0"/>
          <w:sz w:val="22"/>
        </w:rPr>
        <w:t>et al.</w:t>
      </w:r>
      <w:r>
        <w:rPr>
          <w:rFonts w:ascii="Arial" w:hAnsi="Arial" w:eastAsia="Arial"/>
          <w:b w:val="0"/>
          <w:i w:val="0"/>
          <w:sz w:val="22"/>
        </w:rPr>
        <w:t xml:space="preserve"> p53, Bcl-2 and C-Myc expressions in colorectal carcinoma associated with schistosomiasis in Egypt. Cell Oncol. 2005;27(4):245-53. doi:10.1155/2005/547010. PMID: 16308474</w:t>
      </w:r>
    </w:p>
    <w:p>
      <w:pPr>
        <w:ind w:left="425" w:hanging="425"/>
      </w:pPr>
      <w:r>
        <w:rPr>
          <w:rFonts w:ascii="Arial" w:hAnsi="Arial" w:eastAsia="Arial"/>
          <w:b w:val="0"/>
          <w:i w:val="0"/>
          <w:sz w:val="22"/>
        </w:rPr>
        <w:t>47.</w:t>
        <w:tab/>
        <w:t>Chen Y, Liu Z, Qian J, Feng H, Li D, Fan Y. [Expression difference of DNA mismatch repair gene hMLH1 and hMSH2 between schistosomiasis-associated colorectal cancer and sporadic colorectal cancer]. Zhonghua Wei Chang Wai Ke Za Zhi. 2016;19(1):75-9. Chinese. PMID: 26797844</w:t>
      </w:r>
    </w:p>
    <w:p>
      <w:pPr>
        <w:ind w:left="425" w:hanging="425"/>
      </w:pPr>
      <w:r>
        <w:rPr>
          <w:rFonts w:ascii="Arial" w:hAnsi="Arial" w:eastAsia="Arial"/>
          <w:b w:val="0"/>
          <w:i w:val="0"/>
          <w:sz w:val="22"/>
        </w:rPr>
        <w:t>48.</w:t>
        <w:tab/>
        <w:t>Yang DH, Qiu CM, Sun WW, Gu MM, He PF, Xu YY. [Relationship between multi-gene proteins in colorectal carcinoma complicated with chronic schistosomiasis: an immunohistochemical study by using tissue microarray techniques]. Zhongguo Xue Xi Chong Bing Fang Zhi Za Zhi. 2014;26(4):405-9. Chinese. PMID: 25434139</w:t>
      </w:r>
    </w:p>
    <w:p>
      <w:pPr>
        <w:ind w:left="425" w:hanging="425"/>
      </w:pPr>
      <w:r>
        <w:rPr>
          <w:rFonts w:ascii="Arial" w:hAnsi="Arial" w:eastAsia="Arial"/>
          <w:b w:val="0"/>
          <w:i w:val="0"/>
          <w:sz w:val="22"/>
        </w:rPr>
        <w:t>49.</w:t>
        <w:tab/>
        <w:t xml:space="preserve">Ruan SL, Wang B, Lu QM, Dong LR, Cao CX, Xu SL, </w:t>
      </w:r>
      <w:r>
        <w:rPr>
          <w:rFonts w:ascii="Arial" w:hAnsi="Arial" w:eastAsia="Arial"/>
          <w:b w:val="0"/>
          <w:i w:val="0"/>
          <w:sz w:val="22"/>
        </w:rPr>
        <w:t>et al.</w:t>
      </w:r>
      <w:r>
        <w:rPr>
          <w:rFonts w:ascii="Arial" w:hAnsi="Arial" w:eastAsia="Arial"/>
          <w:b w:val="0"/>
          <w:i w:val="0"/>
          <w:sz w:val="22"/>
        </w:rPr>
        <w:t xml:space="preserve"> [Expression of vascular growth factors in intestinal tissues in colorectal carcinoma patients with schistosomiasis japonica]. Zhongguo Xue Xi Chong Bing Fang Zhi Za Zhi. 2013;25(3):250-4. Chinese. PMID: 24024441</w:t>
      </w:r>
    </w:p>
    <w:p>
      <w:pPr>
        <w:ind w:left="425" w:hanging="425"/>
      </w:pPr>
      <w:r>
        <w:rPr>
          <w:rFonts w:ascii="Arial" w:hAnsi="Arial" w:eastAsia="Arial"/>
          <w:b w:val="0"/>
          <w:i w:val="0"/>
          <w:sz w:val="22"/>
        </w:rPr>
        <w:t>50.</w:t>
        <w:tab/>
        <w:t xml:space="preserve">Yang XG, Yang JW, Zhao PJ, Cheng W, Shi HB, Zhang B, </w:t>
      </w:r>
      <w:r>
        <w:rPr>
          <w:rFonts w:ascii="Arial" w:hAnsi="Arial" w:eastAsia="Arial"/>
          <w:b w:val="0"/>
          <w:i w:val="0"/>
          <w:sz w:val="22"/>
        </w:rPr>
        <w:t>et al.</w:t>
      </w:r>
      <w:r>
        <w:rPr>
          <w:rFonts w:ascii="Arial" w:hAnsi="Arial" w:eastAsia="Arial"/>
          <w:b w:val="0"/>
          <w:i w:val="0"/>
          <w:sz w:val="22"/>
        </w:rPr>
        <w:t xml:space="preserve"> [Expression and clinicopathological significance of Bcl - 2 and Bax genes in colorectal cancer patients complicated with schistosomiasis]. Zhongguo Xue Xi Chong Bing Fang Zhi Za Zhi. 2021;33(2):148-153. Chinese. doi:10.16250/j.32.1374.2020320. PMID: 34008361</w:t>
      </w:r>
    </w:p>
    <w:p>
      <w:pPr>
        <w:ind w:left="425" w:hanging="425"/>
      </w:pPr>
      <w:r>
        <w:rPr>
          <w:rFonts w:ascii="Arial" w:hAnsi="Arial" w:eastAsia="Arial"/>
          <w:b w:val="0"/>
          <w:i w:val="0"/>
          <w:sz w:val="22"/>
        </w:rPr>
        <w:t>51.</w:t>
        <w:tab/>
        <w:t xml:space="preserve">Zhang R, Takahashi S, Orita S, Yoshida A, Maruyama H, Shirai T, </w:t>
      </w:r>
      <w:r>
        <w:rPr>
          <w:rFonts w:ascii="Arial" w:hAnsi="Arial" w:eastAsia="Arial"/>
          <w:b w:val="0"/>
          <w:i w:val="0"/>
          <w:sz w:val="22"/>
        </w:rPr>
        <w:t>et al.</w:t>
      </w:r>
      <w:r>
        <w:rPr>
          <w:rFonts w:ascii="Arial" w:hAnsi="Arial" w:eastAsia="Arial"/>
          <w:b w:val="0"/>
          <w:i w:val="0"/>
          <w:sz w:val="22"/>
        </w:rPr>
        <w:t xml:space="preserve"> p53 gene mutations in rectal cancer associated with schistosomiasis japonica in Chinese patients. Cancer Lett. 1998;131(2):215-21. doi:10.1016/s0304-3835(98)00154-2. PMID: 9851256</w:t>
      </w:r>
    </w:p>
    <w:p>
      <w:pPr>
        <w:ind w:left="425" w:hanging="425"/>
      </w:pPr>
      <w:r>
        <w:rPr>
          <w:rFonts w:ascii="Arial" w:hAnsi="Arial" w:eastAsia="Arial"/>
          <w:b w:val="0"/>
          <w:i w:val="0"/>
          <w:sz w:val="22"/>
        </w:rPr>
        <w:t>52.</w:t>
        <w:tab/>
        <w:t xml:space="preserve">Zhang J, Zheng W, Gong Y, Jia X, Liu H, Guan F, </w:t>
      </w:r>
      <w:r>
        <w:rPr>
          <w:rFonts w:ascii="Arial" w:hAnsi="Arial" w:eastAsia="Arial"/>
          <w:b w:val="0"/>
          <w:i w:val="0"/>
          <w:sz w:val="22"/>
        </w:rPr>
        <w:t>et al.</w:t>
      </w:r>
      <w:r>
        <w:rPr>
          <w:rFonts w:ascii="Arial" w:hAnsi="Arial" w:eastAsia="Arial"/>
          <w:b w:val="0"/>
          <w:i w:val="0"/>
          <w:sz w:val="22"/>
        </w:rPr>
        <w:t xml:space="preserve"> A Hidden "Promoter": </w:t>
      </w:r>
      <w:r>
        <w:rPr>
          <w:rFonts w:ascii="Arial" w:hAnsi="Arial" w:eastAsia="Arial"/>
          <w:b w:val="0"/>
          <w:i/>
          <w:sz w:val="22"/>
        </w:rPr>
        <w:t>Schistosoma japonicum</w:t>
      </w:r>
      <w:r>
        <w:rPr>
          <w:rFonts w:ascii="Arial" w:hAnsi="Arial" w:eastAsia="Arial"/>
          <w:b w:val="0"/>
          <w:i w:val="0"/>
          <w:sz w:val="22"/>
        </w:rPr>
        <w:t xml:space="preserve"> soluble egg antigen activates MAPK/PI3K-AKT pathways and inhibits autophagy to facilitate colorectal cancer. Infect Immun. 2026;94(4):e0069625. doi:10.1128/iai.00696-25. PMID: 41769997</w:t>
      </w:r>
    </w:p>
    <w:p>
      <w:pPr>
        <w:ind w:left="425" w:hanging="425"/>
      </w:pPr>
      <w:r>
        <w:rPr>
          <w:rFonts w:ascii="Arial" w:hAnsi="Arial" w:eastAsia="Arial"/>
          <w:b w:val="0"/>
          <w:i w:val="0"/>
          <w:sz w:val="22"/>
        </w:rPr>
        <w:t>53.</w:t>
        <w:tab/>
        <w:t xml:space="preserve">Wang Z, Du Z, Sheng H, Xu X, Wang W, Yang J, </w:t>
      </w:r>
      <w:r>
        <w:rPr>
          <w:rFonts w:ascii="Arial" w:hAnsi="Arial" w:eastAsia="Arial"/>
          <w:b w:val="0"/>
          <w:i w:val="0"/>
          <w:sz w:val="22"/>
        </w:rPr>
        <w:t>et al.</w:t>
      </w:r>
      <w:r>
        <w:rPr>
          <w:rFonts w:ascii="Arial" w:hAnsi="Arial" w:eastAsia="Arial"/>
          <w:b w:val="0"/>
          <w:i w:val="0"/>
          <w:sz w:val="22"/>
        </w:rPr>
        <w:t xml:space="preserve"> Polarization of intestinal tumour-associated macrophages regulates the development of schistosomal colorectal cancer. J Cancer. 2021;12(4):1033-1041. doi:10.7150/jca.48985. PMID: 33442402</w:t>
      </w:r>
    </w:p>
    <w:p>
      <w:pPr>
        <w:ind w:left="425" w:hanging="425"/>
      </w:pPr>
      <w:r>
        <w:rPr>
          <w:rFonts w:ascii="Arial" w:hAnsi="Arial" w:eastAsia="Arial"/>
          <w:b w:val="0"/>
          <w:i w:val="0"/>
          <w:sz w:val="22"/>
        </w:rPr>
        <w:t>54.</w:t>
        <w:tab/>
        <w:t xml:space="preserve">Weglage J, Wolters F, Hehr L, Lichtenberger J, Wulz C, Hempel F, </w:t>
      </w:r>
      <w:r>
        <w:rPr>
          <w:rFonts w:ascii="Arial" w:hAnsi="Arial" w:eastAsia="Arial"/>
          <w:b w:val="0"/>
          <w:i w:val="0"/>
          <w:sz w:val="22"/>
        </w:rPr>
        <w:t>et al.</w:t>
      </w:r>
      <w:r>
        <w:rPr>
          <w:rFonts w:ascii="Arial" w:hAnsi="Arial" w:eastAsia="Arial"/>
          <w:b w:val="0"/>
          <w:i w:val="0"/>
          <w:sz w:val="22"/>
        </w:rPr>
        <w:t xml:space="preserve"> </w:t>
      </w:r>
      <w:r>
        <w:rPr>
          <w:rFonts w:ascii="Arial" w:hAnsi="Arial" w:eastAsia="Arial"/>
          <w:b w:val="0"/>
          <w:i/>
          <w:sz w:val="22"/>
        </w:rPr>
        <w:t>Schistosoma mansoni</w:t>
      </w:r>
      <w:r>
        <w:rPr>
          <w:rFonts w:ascii="Arial" w:hAnsi="Arial" w:eastAsia="Arial"/>
          <w:b w:val="0"/>
          <w:i w:val="0"/>
          <w:sz w:val="22"/>
        </w:rPr>
        <w:t xml:space="preserve"> eggs induce Wnt/β-catenin signaling and activate the protooncogene c-Jun in human and hamster colon. Sci Rep. 2020;10(1):22373. doi:10.1038/s41598-020-79450-4. PMID: 33361772</w:t>
      </w:r>
    </w:p>
    <w:p>
      <w:pPr>
        <w:ind w:left="425" w:hanging="425"/>
      </w:pPr>
      <w:r>
        <w:rPr>
          <w:rFonts w:ascii="Arial" w:hAnsi="Arial" w:eastAsia="Arial"/>
          <w:b w:val="0"/>
          <w:i w:val="0"/>
          <w:sz w:val="22"/>
        </w:rPr>
        <w:t>55.</w:t>
        <w:tab/>
        <w:t xml:space="preserve">Jain S, Rana M, Choubey P, Kumar S. </w:t>
      </w:r>
      <w:r>
        <w:rPr>
          <w:rFonts w:ascii="Arial" w:hAnsi="Arial" w:eastAsia="Arial"/>
          <w:b w:val="0"/>
          <w:i/>
          <w:sz w:val="22"/>
        </w:rPr>
        <w:t>Schistosoma japonicum</w:t>
      </w:r>
      <w:r>
        <w:rPr>
          <w:rFonts w:ascii="Arial" w:hAnsi="Arial" w:eastAsia="Arial"/>
          <w:b w:val="0"/>
          <w:i w:val="0"/>
          <w:sz w:val="22"/>
        </w:rPr>
        <w:t xml:space="preserve"> Associated Colorectal Cancer and Its Management. Acta Parasitol. 2023;68(4):723-734. doi:10.1007/s11686-023-00707-9. PMID: 37594685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