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Capstone Project Proposal</w:t>
      </w:r>
    </w:p>
    <w:p>
      <w:pPr>
        <w:spacing w:after="40"/>
        <w:jc w:val="center"/>
      </w:pPr>
      <w:r>
        <w:rPr>
          <w:i/>
          <w:iCs/>
          <w:color w:val="444444"/>
          <w:sz w:val="30"/>
          <w:szCs w:val="30"/>
        </w:rPr>
        <w:t xml:space="preserve">Predictive Credit Risk Modeling for Productive-Use Asset Financing in Kenya</w:t>
      </w:r>
    </w:p>
    <w:p>
      <w:pPr>
        <w:spacing w:after="400"/>
        <w:jc w:val="center"/>
      </w:pPr>
      <w:r>
        <w:rPr>
          <w:color w:val="666666"/>
          <w:sz w:val="22"/>
          <w:szCs w:val="22"/>
        </w:rPr>
        <w:t xml:space="preserve">An alternative credit-scoring model for Pay-As-You-Go (PAYG) clean energy financing, deployed to the cloud</w:t>
      </w:r>
    </w:p>
    <w:p>
      <w:pPr>
        <w:pStyle w:val="Heading1"/>
        <w:spacing w:after="160" w:before="320"/>
      </w:pPr>
      <w:r>
        <w:t xml:space="preserve">1. Background &amp; Motivation</w:t>
      </w:r>
    </w:p>
    <w:p>
      <w:pPr>
        <w:spacing w:after="160"/>
      </w:pPr>
      <w:r>
        <w:t xml:space="preserve">This project is proposed as a two-semester capstone for the data science degree program, with a specialization focus in finance. It targets a real, current problem in green/off-grid asset financing in Kenya: Pay-As-You-Go (PAYG) providers of solar home systems, solar irrigation pumps, and similar productive-use assets lend to customers who are largely unbanked or underbanked, and for whom traditional credit scores do not exist. Assessing repayment risk for this population requires alternative data and modeling approaches rather than conventional credit bureau data.</w:t>
      </w:r>
    </w:p>
    <w:p>
      <w:pPr>
        <w:spacing w:after="160"/>
      </w:pPr>
      <w:r>
        <w:t xml:space="preserve">The project also serves a secondary, deliberate learning goal: gaining hands-on experience with containerization (Docker) and cloud deployment (AWS), an area not yet covered elsewhere in the degree program but essential for deploying real, usable data science tools rather than notebooks alone. It is also intended to build a portfolio piece directly relevant to a career interest in impact/green-finance investment, where private debt and credit risk underwriting for clean energy assets is a core activity.</w:t>
      </w:r>
    </w:p>
    <w:p>
      <w:pPr>
        <w:pStyle w:val="Heading1"/>
        <w:spacing w:after="160" w:before="320"/>
      </w:pPr>
      <w:r>
        <w:t xml:space="preserve">2. Problem Statement</w:t>
      </w:r>
    </w:p>
    <w:p>
      <w:pPr>
        <w:spacing w:after="160"/>
      </w:pPr>
      <w:r>
        <w:t xml:space="preserve">PAYG and lease-to-own financing for clean energy assets (solar home systems, solar irrigation pumps, and similar) serves customers with no formal credit history. Lenders and investors in this space need a way to estimate repayment/default risk using alternative data — payment behavior, transaction patterns, and local socioeconomic and geographic indicators — rather than traditional credit bureau records, which largely do not exist for this population.</w:t>
      </w:r>
    </w:p>
    <w:p>
      <w:pPr>
        <w:pStyle w:val="Heading1"/>
        <w:spacing w:after="160" w:before="320"/>
      </w:pPr>
      <w:r>
        <w:t xml:space="preserve">3. Objectives</w:t>
      </w:r>
    </w:p>
    <w:p>
      <w:pPr>
        <w:pStyle w:val="ListParagraph"/>
        <w:numPr>
          <w:ilvl w:val="0"/>
          <w:numId w:val="2"/>
        </w:numPr>
        <w:spacing w:after="80"/>
      </w:pPr>
      <w:r>
        <w:t xml:space="preserve">Build a data pipeline that ingests and merges transactional/repayment data with alternative socioeconomic and geographic risk indicators.</w:t>
      </w:r>
    </w:p>
    <w:p>
      <w:pPr>
        <w:pStyle w:val="ListParagraph"/>
        <w:numPr>
          <w:ilvl w:val="0"/>
          <w:numId w:val="2"/>
        </w:numPr>
        <w:spacing w:after="80"/>
      </w:pPr>
      <w:r>
        <w:t xml:space="preserve">Engineer alternative credit-risk features from raw payment data (e.g. payment velocity, delinquency trends, debt-to-income proxies).</w:t>
      </w:r>
    </w:p>
    <w:p>
      <w:pPr>
        <w:pStyle w:val="ListParagraph"/>
        <w:numPr>
          <w:ilvl w:val="0"/>
          <w:numId w:val="2"/>
        </w:numPr>
        <w:spacing w:after="80"/>
      </w:pPr>
      <w:r>
        <w:t xml:space="preserve">Train and evaluate a machine learning classification model to predict probability of default / repayment risk.</w:t>
      </w:r>
    </w:p>
    <w:p>
      <w:pPr>
        <w:pStyle w:val="ListParagraph"/>
        <w:numPr>
          <w:ilvl w:val="0"/>
          <w:numId w:val="2"/>
        </w:numPr>
        <w:spacing w:after="80"/>
      </w:pPr>
      <w:r>
        <w:t xml:space="preserve">Apply model explainability techniques so risk decisions are transparent and auditable.</w:t>
      </w:r>
    </w:p>
    <w:p>
      <w:pPr>
        <w:pStyle w:val="ListParagraph"/>
        <w:numPr>
          <w:ilvl w:val="0"/>
          <w:numId w:val="2"/>
        </w:numPr>
        <w:spacing w:after="80"/>
      </w:pPr>
      <w:r>
        <w:t xml:space="preserve">Containerize the system with Docker and deploy a working version on AWS.</w:t>
      </w:r>
    </w:p>
    <w:p>
      <w:pPr>
        <w:pStyle w:val="ListParagraph"/>
        <w:numPr>
          <w:ilvl w:val="0"/>
          <w:numId w:val="2"/>
        </w:numPr>
        <w:spacing w:after="80"/>
      </w:pPr>
      <w:r>
        <w:t xml:space="preserve">Deliver a simple, functional dashboard for exploring risk scores and portfolio-level risk concentration.</w:t>
      </w:r>
    </w:p>
    <w:p>
      <w:pPr>
        <w:pStyle w:val="Heading1"/>
        <w:spacing w:after="160" w:before="320"/>
      </w:pPr>
      <w:r>
        <w:t xml:space="preserve">4. Scope</w:t>
      </w:r>
    </w:p>
    <w:p>
      <w:pPr>
        <w:spacing w:after="160"/>
      </w:pPr>
      <w:r>
        <w:t xml:space="preserve">To ensure the project is realistically deliverable within two semesters alongside other coursework, the scope below is intentionally bounded. Features beyond this scope are listed in Appendix A as future extensions, to be pursued independently after submission.</w:t>
      </w:r>
    </w:p>
    <w:p>
      <w:pPr>
        <w:pStyle w:val="Heading2"/>
        <w:spacing w:after="120" w:before="240"/>
      </w:pPr>
      <w:r>
        <w:t xml:space="preserve">4.1 In scope</w:t>
      </w:r>
    </w:p>
    <w:p>
      <w:pPr>
        <w:pStyle w:val="ListParagraph"/>
        <w:numPr>
          <w:ilvl w:val="0"/>
          <w:numId w:val="2"/>
        </w:numPr>
        <w:spacing w:after="80"/>
      </w:pPr>
      <w:r>
        <w:t xml:space="preserve">An open-source PAYG / micro-loan default dataset (e.g. sourced from GitHub) as the primary, reliable backbone for training and evaluation.</w:t>
      </w:r>
    </w:p>
    <w:p>
      <w:pPr>
        <w:pStyle w:val="ListParagraph"/>
        <w:numPr>
          <w:ilvl w:val="0"/>
          <w:numId w:val="2"/>
        </w:numPr>
        <w:spacing w:after="80"/>
      </w:pPr>
      <w:r>
        <w:t xml:space="preserve">Enrichment of that dataset with a small set of county-level features drawn from the FinAccess Household Survey (Central Bank of Kenya / FSD Kenya), such as regional income levels, mobile money usage, and agricultural reliance — treated as an enhancement, not a dependency.</w:t>
      </w:r>
    </w:p>
    <w:p>
      <w:pPr>
        <w:pStyle w:val="ListParagraph"/>
        <w:numPr>
          <w:ilvl w:val="0"/>
          <w:numId w:val="2"/>
        </w:numPr>
        <w:spacing w:after="80"/>
      </w:pPr>
      <w:r>
        <w:t xml:space="preserve">Feature engineering: payment velocity, delinquency/days-past-due trends, and debt-to-income-style proxies.</w:t>
      </w:r>
    </w:p>
    <w:p>
      <w:pPr>
        <w:pStyle w:val="ListParagraph"/>
        <w:numPr>
          <w:ilvl w:val="0"/>
          <w:numId w:val="2"/>
        </w:numPr>
        <w:spacing w:after="80"/>
      </w:pPr>
      <w:r>
        <w:t xml:space="preserve">One machine learning classification model (e.g. XGBoost or Random Forest) predicting probability of default, with a documented evaluation (precision/recall/ROC-AUC, and cost-aware metrics).</w:t>
      </w:r>
    </w:p>
    <w:p>
      <w:pPr>
        <w:pStyle w:val="ListParagraph"/>
        <w:numPr>
          <w:ilvl w:val="0"/>
          <w:numId w:val="2"/>
        </w:numPr>
        <w:spacing w:after="80"/>
      </w:pPr>
      <w:r>
        <w:t xml:space="preserve">Basic model explainability (e.g. SHAP or feature importance) to show which factors drive each risk score.</w:t>
      </w:r>
    </w:p>
    <w:p>
      <w:pPr>
        <w:pStyle w:val="ListParagraph"/>
        <w:numPr>
          <w:ilvl w:val="0"/>
          <w:numId w:val="2"/>
        </w:numPr>
        <w:spacing w:after="80"/>
      </w:pPr>
      <w:r>
        <w:t xml:space="preserve">A small, bounded generative-AI add-on at the end of the pipeline: a script that takes the model's output numbers (default rate, top risk factors/regions) and drafts a short, templated investment-memo-style summary via a single LLM API call — not a RAG system or multi-agent setup.</w:t>
      </w:r>
    </w:p>
    <w:p>
      <w:pPr>
        <w:pStyle w:val="ListParagraph"/>
        <w:numPr>
          <w:ilvl w:val="0"/>
          <w:numId w:val="2"/>
        </w:numPr>
        <w:spacing w:after="80"/>
      </w:pPr>
      <w:r>
        <w:t xml:space="preserve">One deployed service on AWS (e.g. a scheduled Lambda function or a single containerized task), running the data pipeline and scoring engine.</w:t>
      </w:r>
    </w:p>
    <w:p>
      <w:pPr>
        <w:pStyle w:val="ListParagraph"/>
        <w:numPr>
          <w:ilvl w:val="0"/>
          <w:numId w:val="2"/>
        </w:numPr>
        <w:spacing w:after="80"/>
      </w:pPr>
      <w:r>
        <w:t xml:space="preserve">A functional dashboard (Streamlit) for viewing risk scores, portfolio-level risk concentration, and the generated summary.</w:t>
      </w:r>
    </w:p>
    <w:p>
      <w:pPr>
        <w:pStyle w:val="Heading2"/>
        <w:spacing w:after="120" w:before="240"/>
      </w:pPr>
      <w:r>
        <w:t xml:space="preserve">4.2 Out of scope (for the graded deliverable)</w:t>
      </w:r>
    </w:p>
    <w:p>
      <w:pPr>
        <w:pStyle w:val="ListParagraph"/>
        <w:numPr>
          <w:ilvl w:val="0"/>
          <w:numId w:val="2"/>
        </w:numPr>
        <w:spacing w:after="80"/>
      </w:pPr>
      <w:r>
        <w:t xml:space="preserve">Retrieval-Augmented Generation (RAG), vector databases, or multi-agent LLM workflows.</w:t>
      </w:r>
    </w:p>
    <w:p>
      <w:pPr>
        <w:pStyle w:val="ListParagraph"/>
        <w:numPr>
          <w:ilvl w:val="0"/>
          <w:numId w:val="2"/>
        </w:numPr>
        <w:spacing w:after="80"/>
      </w:pPr>
      <w:r>
        <w:t xml:space="preserve">Full project-finance modeling (IRR, DSCR, Monte Carlo cash-flow simulation).</w:t>
      </w:r>
    </w:p>
    <w:p>
      <w:pPr>
        <w:pStyle w:val="ListParagraph"/>
        <w:numPr>
          <w:ilvl w:val="0"/>
          <w:numId w:val="2"/>
        </w:numPr>
        <w:spacing w:after="80"/>
      </w:pPr>
      <w:r>
        <w:t xml:space="preserve">Professional certifications (FMVA, CFA Investment Foundations, GARP SCR) — valuable, but pursued independently and not tied to the capstone timeline.</w:t>
      </w:r>
    </w:p>
    <w:p>
      <w:pPr>
        <w:pStyle w:val="ListParagraph"/>
        <w:numPr>
          <w:ilvl w:val="0"/>
          <w:numId w:val="2"/>
        </w:numPr>
        <w:spacing w:after="80"/>
      </w:pPr>
      <w:r>
        <w:t xml:space="preserve">Real-time / live data streaming.</w:t>
      </w:r>
    </w:p>
    <w:p>
      <w:pPr>
        <w:pStyle w:val="ListParagraph"/>
        <w:numPr>
          <w:ilvl w:val="0"/>
          <w:numId w:val="2"/>
        </w:numPr>
        <w:spacing w:after="80"/>
      </w:pPr>
      <w:r>
        <w:t xml:space="preserve">A production-grade multi-service architecture or a custom (React) frontend.</w:t>
      </w:r>
    </w:p>
    <w:p>
      <w:pPr>
        <w:pStyle w:val="ListParagraph"/>
        <w:numPr>
          <w:ilvl w:val="0"/>
          <w:numId w:val="2"/>
        </w:numPr>
        <w:spacing w:after="80"/>
      </w:pPr>
      <w:r>
        <w:t xml:space="preserve">These remain candidates for continued personal development beyond the course — see Appendix A.</w:t>
      </w:r>
    </w:p>
    <w:p>
      <w:pPr>
        <w:pStyle w:val="Heading1"/>
        <w:spacing w:after="160" w:before="320"/>
      </w:pPr>
      <w:r>
        <w:t xml:space="preserve">5. Data Sources &amp; Risk Mitigation</w:t>
      </w:r>
    </w:p>
    <w:p>
      <w:pPr>
        <w:spacing w:after="160"/>
      </w:pPr>
      <w:r>
        <w:t xml:space="preserve">The primary risk identified in scoping this project — based on a prior, difficult experience sourcing Kenyan market data — is data access. The mitigation plan is as follows:</w:t>
      </w:r>
    </w:p>
    <w:p>
      <w:pPr>
        <w:pStyle w:val="ListParagraph"/>
        <w:numPr>
          <w:ilvl w:val="0"/>
          <w:numId w:val="2"/>
        </w:numPr>
        <w:spacing w:after="80"/>
      </w:pPr>
      <w:r>
        <w:t xml:space="preserve">Primary source: an open-source PAYG / micro-loan default dataset (identified and validated in the first weeks of Semester 1), chosen specifically because it is clean, free, and does not require scraping or a proprietary data partnership.</w:t>
      </w:r>
    </w:p>
    <w:p>
      <w:pPr>
        <w:pStyle w:val="ListParagraph"/>
        <w:numPr>
          <w:ilvl w:val="0"/>
          <w:numId w:val="2"/>
        </w:numPr>
        <w:spacing w:after="80"/>
      </w:pPr>
      <w:r>
        <w:t xml:space="preserve">Secondary/enrichment source: FinAccess Household Survey data (Central Bank of Kenya, in collaboration with KNBS and FSD Kenya), used to add county-level socioeconomic features.</w:t>
      </w:r>
    </w:p>
    <w:p>
      <w:pPr>
        <w:pStyle w:val="ListParagraph"/>
        <w:numPr>
          <w:ilvl w:val="0"/>
          <w:numId w:val="2"/>
        </w:numPr>
        <w:spacing w:after="80"/>
      </w:pPr>
      <w:r>
        <w:t xml:space="preserve">Checkpoint at the end of Week 4 of Semester 1: if the FinAccess merge proves too time-consuming or messy, the project proceeds on the primary dataset alone — a complete, working project either way, with the enrichment as a bonus rather than a dependency.</w:t>
      </w:r>
    </w:p>
    <w:p>
      <w:pPr>
        <w:pStyle w:val="ListParagraph"/>
        <w:numPr>
          <w:ilvl w:val="0"/>
          <w:numId w:val="2"/>
        </w:numPr>
        <w:spacing w:after="80"/>
      </w:pPr>
      <w:r>
        <w:t xml:space="preserve">This structure guarantees the project cannot stall on data access, addressing the specific failure mode encountered in a previous attempt at a Kenya-market data project.</w:t>
      </w:r>
    </w:p>
    <w:p>
      <w:pPr>
        <w:pStyle w:val="Heading1"/>
        <w:spacing w:after="160" w:before="320"/>
      </w:pPr>
      <w:r>
        <w:t xml:space="preserve">6. Proposed Modeling Approach</w:t>
      </w:r>
    </w:p>
    <w:p>
      <w:pPr>
        <w:spacing w:after="160"/>
      </w:pPr>
      <w:r>
        <w:t xml:space="preserve">The core model is a supervised classification task: predict the probability that a given customer/loan will default or fall significantly behind on payments, based on engineered features from their payment history and (where available) county-level context.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shd w:fill="1F4E79" w:val="clear"/>
            <w:tcMar>
              <w:top w:type="dxa" w:w="100"/>
              <w:left w:type="dxa" w:w="120"/>
              <w:bottom w:type="dxa" w:w="100"/>
              <w:right w:type="dxa" w:w="120"/>
            </w:tcMar>
          </w:tcPr>
          <w:p>
            <w:r>
              <w:rPr>
                <w:b/>
                <w:bCs/>
                <w:color w:val="FFFFFF"/>
              </w:rPr>
              <w:t xml:space="preserve">Feature category</w:t>
            </w:r>
          </w:p>
        </w:tc>
        <w:tc>
          <w:tcPr>
            <w:tcW w:type="dxa" w:w="4400"/>
            <w:shd w:fill="1F4E79" w:val="clear"/>
            <w:tcMar>
              <w:top w:type="dxa" w:w="100"/>
              <w:left w:type="dxa" w:w="120"/>
              <w:bottom w:type="dxa" w:w="100"/>
              <w:right w:type="dxa" w:w="120"/>
            </w:tcMar>
          </w:tcPr>
          <w:p>
            <w:r>
              <w:rPr>
                <w:b/>
                <w:bCs/>
                <w:color w:val="FFFFFF"/>
              </w:rPr>
              <w:t xml:space="preserve">Examples</w:t>
            </w:r>
          </w:p>
        </w:tc>
        <w:tc>
          <w:tcPr>
            <w:tcW w:type="dxa" w:w="2600"/>
            <w:shd w:fill="1F4E79" w:val="clear"/>
            <w:tcMar>
              <w:top w:type="dxa" w:w="100"/>
              <w:left w:type="dxa" w:w="120"/>
              <w:bottom w:type="dxa" w:w="100"/>
              <w:right w:type="dxa" w:w="120"/>
            </w:tcMar>
          </w:tcPr>
          <w:p>
            <w:r>
              <w:rPr>
                <w:b/>
                <w:bCs/>
                <w:color w:val="FFFFFF"/>
              </w:rPr>
              <w:t xml:space="preserve">Source</w:t>
            </w:r>
          </w:p>
        </w:tc>
      </w:tr>
      <w:tr>
        <w:tc>
          <w:tcPr>
            <w:tcW w:type="dxa" w:w="2600"/>
            <w:tcMar>
              <w:top w:type="dxa" w:w="100"/>
              <w:left w:type="dxa" w:w="120"/>
              <w:bottom w:type="dxa" w:w="100"/>
              <w:right w:type="dxa" w:w="120"/>
            </w:tcMar>
          </w:tcPr>
          <w:p>
            <w:r>
              <w:rPr>
                <w:b w:val="false"/>
                <w:bCs w:val="false"/>
              </w:rPr>
              <w:t xml:space="preserve">Payment behavior</w:t>
            </w:r>
          </w:p>
        </w:tc>
        <w:tc>
          <w:tcPr>
            <w:tcW w:type="dxa" w:w="4400"/>
            <w:tcMar>
              <w:top w:type="dxa" w:w="100"/>
              <w:left w:type="dxa" w:w="120"/>
              <w:bottom w:type="dxa" w:w="100"/>
              <w:right w:type="dxa" w:w="120"/>
            </w:tcMar>
          </w:tcPr>
          <w:p>
            <w:r>
              <w:rPr>
                <w:b w:val="false"/>
                <w:bCs w:val="false"/>
              </w:rPr>
              <w:t xml:space="preserve">Payment velocity, delinquency trend, missed-payment frequency</w:t>
            </w:r>
          </w:p>
        </w:tc>
        <w:tc>
          <w:tcPr>
            <w:tcW w:type="dxa" w:w="2600"/>
            <w:tcMar>
              <w:top w:type="dxa" w:w="100"/>
              <w:left w:type="dxa" w:w="120"/>
              <w:bottom w:type="dxa" w:w="100"/>
              <w:right w:type="dxa" w:w="120"/>
            </w:tcMar>
          </w:tcPr>
          <w:p>
            <w:r>
              <w:rPr>
                <w:b w:val="false"/>
                <w:bCs w:val="false"/>
              </w:rPr>
              <w:t xml:space="preserve">Primary PAYG/loan dataset</w:t>
            </w:r>
          </w:p>
        </w:tc>
      </w:tr>
      <w:tr>
        <w:tc>
          <w:tcPr>
            <w:tcW w:type="dxa" w:w="2600"/>
            <w:shd w:fill="EAF1F8" w:val="clear"/>
            <w:tcMar>
              <w:top w:type="dxa" w:w="100"/>
              <w:left w:type="dxa" w:w="120"/>
              <w:bottom w:type="dxa" w:w="100"/>
              <w:right w:type="dxa" w:w="120"/>
            </w:tcMar>
          </w:tcPr>
          <w:p>
            <w:r>
              <w:rPr>
                <w:b w:val="false"/>
                <w:bCs w:val="false"/>
              </w:rPr>
              <w:t xml:space="preserve">Loan characteristics</w:t>
            </w:r>
          </w:p>
        </w:tc>
        <w:tc>
          <w:tcPr>
            <w:tcW w:type="dxa" w:w="4400"/>
            <w:shd w:fill="EAF1F8" w:val="clear"/>
            <w:tcMar>
              <w:top w:type="dxa" w:w="100"/>
              <w:left w:type="dxa" w:w="120"/>
              <w:bottom w:type="dxa" w:w="100"/>
              <w:right w:type="dxa" w:w="120"/>
            </w:tcMar>
          </w:tcPr>
          <w:p>
            <w:r>
              <w:rPr>
                <w:b w:val="false"/>
                <w:bCs w:val="false"/>
              </w:rPr>
              <w:t xml:space="preserve">Asset type, loan size, tenor, installment structure</w:t>
            </w:r>
          </w:p>
        </w:tc>
        <w:tc>
          <w:tcPr>
            <w:tcW w:type="dxa" w:w="2600"/>
            <w:shd w:fill="EAF1F8" w:val="clear"/>
            <w:tcMar>
              <w:top w:type="dxa" w:w="100"/>
              <w:left w:type="dxa" w:w="120"/>
              <w:bottom w:type="dxa" w:w="100"/>
              <w:right w:type="dxa" w:w="120"/>
            </w:tcMar>
          </w:tcPr>
          <w:p>
            <w:r>
              <w:rPr>
                <w:b w:val="false"/>
                <w:bCs w:val="false"/>
              </w:rPr>
              <w:t xml:space="preserve">Primary PAYG/loan dataset</w:t>
            </w:r>
          </w:p>
        </w:tc>
      </w:tr>
      <w:tr>
        <w:tc>
          <w:tcPr>
            <w:tcW w:type="dxa" w:w="2600"/>
            <w:tcMar>
              <w:top w:type="dxa" w:w="100"/>
              <w:left w:type="dxa" w:w="120"/>
              <w:bottom w:type="dxa" w:w="100"/>
              <w:right w:type="dxa" w:w="120"/>
            </w:tcMar>
          </w:tcPr>
          <w:p>
            <w:r>
              <w:rPr>
                <w:b w:val="false"/>
                <w:bCs w:val="false"/>
              </w:rPr>
              <w:t xml:space="preserve">Socioeconomic context</w:t>
            </w:r>
          </w:p>
        </w:tc>
        <w:tc>
          <w:tcPr>
            <w:tcW w:type="dxa" w:w="4400"/>
            <w:tcMar>
              <w:top w:type="dxa" w:w="100"/>
              <w:left w:type="dxa" w:w="120"/>
              <w:bottom w:type="dxa" w:w="100"/>
              <w:right w:type="dxa" w:w="120"/>
            </w:tcMar>
          </w:tcPr>
          <w:p>
            <w:r>
              <w:rPr>
                <w:b w:val="false"/>
                <w:bCs w:val="false"/>
              </w:rPr>
              <w:t xml:space="preserve">County-level income proxy, mobile money usage, agricultural reliance</w:t>
            </w:r>
          </w:p>
        </w:tc>
        <w:tc>
          <w:tcPr>
            <w:tcW w:type="dxa" w:w="2600"/>
            <w:tcMar>
              <w:top w:type="dxa" w:w="100"/>
              <w:left w:type="dxa" w:w="120"/>
              <w:bottom w:type="dxa" w:w="100"/>
              <w:right w:type="dxa" w:w="120"/>
            </w:tcMar>
          </w:tcPr>
          <w:p>
            <w:r>
              <w:rPr>
                <w:b w:val="false"/>
                <w:bCs w:val="false"/>
              </w:rPr>
              <w:t xml:space="preserve">FinAccess / CBK survey data</w:t>
            </w:r>
          </w:p>
        </w:tc>
      </w:tr>
      <w:tr>
        <w:tc>
          <w:tcPr>
            <w:tcW w:type="dxa" w:w="2600"/>
            <w:shd w:fill="EAF1F8" w:val="clear"/>
            <w:tcMar>
              <w:top w:type="dxa" w:w="100"/>
              <w:left w:type="dxa" w:w="120"/>
              <w:bottom w:type="dxa" w:w="100"/>
              <w:right w:type="dxa" w:w="120"/>
            </w:tcMar>
          </w:tcPr>
          <w:p>
            <w:r>
              <w:rPr>
                <w:b w:val="false"/>
                <w:bCs w:val="false"/>
              </w:rPr>
              <w:t xml:space="preserve">Target variable</w:t>
            </w:r>
          </w:p>
        </w:tc>
        <w:tc>
          <w:tcPr>
            <w:tcW w:type="dxa" w:w="4400"/>
            <w:shd w:fill="EAF1F8" w:val="clear"/>
            <w:tcMar>
              <w:top w:type="dxa" w:w="100"/>
              <w:left w:type="dxa" w:w="120"/>
              <w:bottom w:type="dxa" w:w="100"/>
              <w:right w:type="dxa" w:w="120"/>
            </w:tcMar>
          </w:tcPr>
          <w:p>
            <w:r>
              <w:rPr>
                <w:b w:val="false"/>
                <w:bCs w:val="false"/>
              </w:rPr>
              <w:t xml:space="preserve">Default / significant delinquency within a defined window</w:t>
            </w:r>
          </w:p>
        </w:tc>
        <w:tc>
          <w:tcPr>
            <w:tcW w:type="dxa" w:w="2600"/>
            <w:shd w:fill="EAF1F8" w:val="clear"/>
            <w:tcMar>
              <w:top w:type="dxa" w:w="100"/>
              <w:left w:type="dxa" w:w="120"/>
              <w:bottom w:type="dxa" w:w="100"/>
              <w:right w:type="dxa" w:w="120"/>
            </w:tcMar>
          </w:tcPr>
          <w:p>
            <w:r>
              <w:rPr>
                <w:b w:val="false"/>
                <w:bCs w:val="false"/>
              </w:rPr>
              <w:t xml:space="preserve">Primary PAYG/loan dataset</w:t>
            </w:r>
          </w:p>
        </w:tc>
      </w:tr>
    </w:tbl>
    <w:p>
      <w:pPr>
        <w:spacing w:after="160" w:before="160"/>
      </w:pPr>
      <w:r>
        <w:rPr>
          <w:b/>
          <w:bCs/>
        </w:rPr>
        <w:t xml:space="preserve">Modeling: </w:t>
      </w:r>
      <w:r>
        <w:t xml:space="preserve">gradient-boosted trees (XGBoost or LightGBM) as the primary model, compared against a simpler baseline (logistic regression) to demonstrate the value added by the more complex model. Explainability via SHAP values to show which features drive each individual risk score, discussed explicitly in the report as a fairness/transparency consideration for lending decisions.</w:t>
      </w:r>
    </w:p>
    <w:p>
      <w:pPr>
        <w:spacing w:after="160"/>
      </w:pPr>
      <w:r>
        <w:t xml:space="preserve">This model is explicitly framed in the final report as a decision-support tool for illustrative/educational purposes, not a production lending system or financial advice.</w:t>
      </w:r>
    </w:p>
    <w:p>
      <w:pPr>
        <w:pStyle w:val="Heading1"/>
        <w:spacing w:after="160" w:before="320"/>
      </w:pPr>
      <w:r>
        <w:t xml:space="preserve">7. Methodology &amp; Timeline</w:t>
      </w:r>
    </w:p>
    <w:p>
      <w:pPr>
        <w:pStyle w:val="Heading2"/>
        <w:spacing w:after="120" w:before="240"/>
      </w:pPr>
      <w:r>
        <w:t xml:space="preserve">7.1 Semester 1 — Data Engineering &amp; Feature Design (≈ 13 weeks)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100"/>
              <w:left w:type="dxa" w:w="120"/>
              <w:bottom w:type="dxa" w:w="100"/>
              <w:right w:type="dxa" w:w="120"/>
            </w:tcMar>
          </w:tcPr>
          <w:p>
            <w:r>
              <w:rPr>
                <w:b/>
                <w:bCs/>
                <w:color w:val="FFFFFF"/>
              </w:rPr>
              <w:t xml:space="preserve">Weeks</w:t>
            </w:r>
          </w:p>
        </w:tc>
        <w:tc>
          <w:tcPr>
            <w:tcW w:type="dxa" w:w="7400"/>
            <w:shd w:fill="1F4E79" w:val="clear"/>
            <w:tcMar>
              <w:top w:type="dxa" w:w="100"/>
              <w:left w:type="dxa" w:w="120"/>
              <w:bottom w:type="dxa" w:w="100"/>
              <w:right w:type="dxa" w:w="120"/>
            </w:tcMar>
          </w:tcPr>
          <w:p>
            <w:r>
              <w:rPr>
                <w:b/>
                <w:bCs/>
                <w:color w:val="FFFFFF"/>
              </w:rPr>
              <w:t xml:space="preserve">Focus</w:t>
            </w:r>
          </w:p>
        </w:tc>
      </w:tr>
      <w:tr>
        <w:tc>
          <w:tcPr>
            <w:tcW w:type="dxa" w:w="2200"/>
            <w:tcMar>
              <w:top w:type="dxa" w:w="100"/>
              <w:left w:type="dxa" w:w="120"/>
              <w:bottom w:type="dxa" w:w="100"/>
              <w:right w:type="dxa" w:w="120"/>
            </w:tcMar>
          </w:tcPr>
          <w:p>
            <w:r>
              <w:rPr>
                <w:b w:val="false"/>
                <w:bCs w:val="false"/>
              </w:rPr>
              <w:t xml:space="preserve">1–2</w:t>
            </w:r>
          </w:p>
        </w:tc>
        <w:tc>
          <w:tcPr>
            <w:tcW w:type="dxa" w:w="7400"/>
            <w:tcMar>
              <w:top w:type="dxa" w:w="100"/>
              <w:left w:type="dxa" w:w="120"/>
              <w:bottom w:type="dxa" w:w="100"/>
              <w:right w:type="dxa" w:w="120"/>
            </w:tcMar>
          </w:tcPr>
          <w:p>
            <w:r>
              <w:rPr>
                <w:b w:val="false"/>
                <w:bCs w:val="false"/>
              </w:rPr>
              <w:t xml:space="preserve">Proposal finalization, literature review on alternative credit scoring, repository setup</w:t>
            </w:r>
          </w:p>
        </w:tc>
      </w:tr>
      <w:tr>
        <w:tc>
          <w:tcPr>
            <w:tcW w:type="dxa" w:w="2200"/>
            <w:shd w:fill="EAF1F8" w:val="clear"/>
            <w:tcMar>
              <w:top w:type="dxa" w:w="100"/>
              <w:left w:type="dxa" w:w="120"/>
              <w:bottom w:type="dxa" w:w="100"/>
              <w:right w:type="dxa" w:w="120"/>
            </w:tcMar>
          </w:tcPr>
          <w:p>
            <w:r>
              <w:rPr>
                <w:b w:val="false"/>
                <w:bCs w:val="false"/>
              </w:rPr>
              <w:t xml:space="preserve">3–4</w:t>
            </w:r>
          </w:p>
        </w:tc>
        <w:tc>
          <w:tcPr>
            <w:tcW w:type="dxa" w:w="7400"/>
            <w:shd w:fill="EAF1F8" w:val="clear"/>
            <w:tcMar>
              <w:top w:type="dxa" w:w="100"/>
              <w:left w:type="dxa" w:w="120"/>
              <w:bottom w:type="dxa" w:w="100"/>
              <w:right w:type="dxa" w:w="120"/>
            </w:tcMar>
          </w:tcPr>
          <w:p>
            <w:r>
              <w:rPr>
                <w:b w:val="false"/>
                <w:bCs w:val="false"/>
              </w:rPr>
              <w:t xml:space="preserve">Source and validate the primary PAYG/loan-default dataset. Checkpoint: begin FinAccess enrichment only once the primary pipeline is solid</w:t>
            </w:r>
          </w:p>
        </w:tc>
      </w:tr>
      <w:tr>
        <w:tc>
          <w:tcPr>
            <w:tcW w:type="dxa" w:w="2200"/>
            <w:tcMar>
              <w:top w:type="dxa" w:w="100"/>
              <w:left w:type="dxa" w:w="120"/>
              <w:bottom w:type="dxa" w:w="100"/>
              <w:right w:type="dxa" w:w="120"/>
            </w:tcMar>
          </w:tcPr>
          <w:p>
            <w:r>
              <w:rPr>
                <w:b w:val="false"/>
                <w:bCs w:val="false"/>
              </w:rPr>
              <w:t xml:space="preserve">5–6</w:t>
            </w:r>
          </w:p>
        </w:tc>
        <w:tc>
          <w:tcPr>
            <w:tcW w:type="dxa" w:w="7400"/>
            <w:tcMar>
              <w:top w:type="dxa" w:w="100"/>
              <w:left w:type="dxa" w:w="120"/>
              <w:bottom w:type="dxa" w:w="100"/>
              <w:right w:type="dxa" w:w="120"/>
            </w:tcMar>
          </w:tcPr>
          <w:p>
            <w:r>
              <w:rPr>
                <w:b w:val="false"/>
                <w:bCs w:val="false"/>
              </w:rPr>
              <w:t xml:space="preserve">Feature engineering: payment velocity, delinquency trends, debt-to-income-style proxies</w:t>
            </w:r>
          </w:p>
        </w:tc>
      </w:tr>
      <w:tr>
        <w:tc>
          <w:tcPr>
            <w:tcW w:type="dxa" w:w="2200"/>
            <w:shd w:fill="EAF1F8" w:val="clear"/>
            <w:tcMar>
              <w:top w:type="dxa" w:w="100"/>
              <w:left w:type="dxa" w:w="120"/>
              <w:bottom w:type="dxa" w:w="100"/>
              <w:right w:type="dxa" w:w="120"/>
            </w:tcMar>
          </w:tcPr>
          <w:p>
            <w:r>
              <w:rPr>
                <w:b w:val="false"/>
                <w:bCs w:val="false"/>
              </w:rPr>
              <w:t xml:space="preserve">7–8</w:t>
            </w:r>
          </w:p>
        </w:tc>
        <w:tc>
          <w:tcPr>
            <w:tcW w:type="dxa" w:w="7400"/>
            <w:shd w:fill="EAF1F8" w:val="clear"/>
            <w:tcMar>
              <w:top w:type="dxa" w:w="100"/>
              <w:left w:type="dxa" w:w="120"/>
              <w:bottom w:type="dxa" w:w="100"/>
              <w:right w:type="dxa" w:w="120"/>
            </w:tcMar>
          </w:tcPr>
          <w:p>
            <w:r>
              <w:rPr>
                <w:b w:val="false"/>
                <w:bCs w:val="false"/>
              </w:rPr>
              <w:t xml:space="preserve">FinAccess county-level enrichment (bonus feature set) — checkpoint at end of week 8 on whether to keep or drop</w:t>
            </w:r>
          </w:p>
        </w:tc>
      </w:tr>
      <w:tr>
        <w:tc>
          <w:tcPr>
            <w:tcW w:type="dxa" w:w="2200"/>
            <w:tcMar>
              <w:top w:type="dxa" w:w="100"/>
              <w:left w:type="dxa" w:w="120"/>
              <w:bottom w:type="dxa" w:w="100"/>
              <w:right w:type="dxa" w:w="120"/>
            </w:tcMar>
          </w:tcPr>
          <w:p>
            <w:r>
              <w:rPr>
                <w:b w:val="false"/>
                <w:bCs w:val="false"/>
              </w:rPr>
              <w:t xml:space="preserve">9–11</w:t>
            </w:r>
          </w:p>
        </w:tc>
        <w:tc>
          <w:tcPr>
            <w:tcW w:type="dxa" w:w="7400"/>
            <w:tcMar>
              <w:top w:type="dxa" w:w="100"/>
              <w:left w:type="dxa" w:w="120"/>
              <w:bottom w:type="dxa" w:w="100"/>
              <w:right w:type="dxa" w:w="120"/>
            </w:tcMar>
          </w:tcPr>
          <w:p>
            <w:r>
              <w:rPr>
                <w:b w:val="false"/>
                <w:bCs w:val="false"/>
              </w:rPr>
              <w:t xml:space="preserve">Exploratory data analysis: payment patterns, seasonal/agricultural-cycle effects, feature correlations</w:t>
            </w:r>
          </w:p>
        </w:tc>
      </w:tr>
      <w:tr>
        <w:tc>
          <w:tcPr>
            <w:tcW w:type="dxa" w:w="2200"/>
            <w:shd w:fill="EAF1F8" w:val="clear"/>
            <w:tcMar>
              <w:top w:type="dxa" w:w="100"/>
              <w:left w:type="dxa" w:w="120"/>
              <w:bottom w:type="dxa" w:w="100"/>
              <w:right w:type="dxa" w:w="120"/>
            </w:tcMar>
          </w:tcPr>
          <w:p>
            <w:r>
              <w:rPr>
                <w:b w:val="false"/>
                <w:bCs w:val="false"/>
              </w:rPr>
              <w:t xml:space="preserve">12–13</w:t>
            </w:r>
          </w:p>
        </w:tc>
        <w:tc>
          <w:tcPr>
            <w:tcW w:type="dxa" w:w="7400"/>
            <w:shd w:fill="EAF1F8" w:val="clear"/>
            <w:tcMar>
              <w:top w:type="dxa" w:w="100"/>
              <w:left w:type="dxa" w:w="120"/>
              <w:bottom w:type="dxa" w:w="100"/>
              <w:right w:type="dxa" w:w="120"/>
            </w:tcMar>
          </w:tcPr>
          <w:p>
            <w:r>
              <w:rPr>
                <w:b w:val="false"/>
                <w:bCs w:val="false"/>
              </w:rPr>
              <w:t xml:space="preserve">Sem 1 report and presentation: progress achieved, plan for Semester 2</w:t>
            </w:r>
          </w:p>
        </w:tc>
      </w:tr>
    </w:tbl>
    <w:p>
      <w:pPr>
        <w:pStyle w:val="Heading2"/>
        <w:spacing w:after="120" w:before="240"/>
      </w:pPr>
      <w:r>
        <w:t xml:space="preserve">7.2 Semester 2 — Modeling, Deployment &amp; Dashboard (≈ 13 weeks)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1F4E79" w:val="clear"/>
            <w:tcMar>
              <w:top w:type="dxa" w:w="100"/>
              <w:left w:type="dxa" w:w="120"/>
              <w:bottom w:type="dxa" w:w="100"/>
              <w:right w:type="dxa" w:w="120"/>
            </w:tcMar>
          </w:tcPr>
          <w:p>
            <w:r>
              <w:rPr>
                <w:b/>
                <w:bCs/>
                <w:color w:val="FFFFFF"/>
              </w:rPr>
              <w:t xml:space="preserve">Weeks</w:t>
            </w:r>
          </w:p>
        </w:tc>
        <w:tc>
          <w:tcPr>
            <w:tcW w:type="dxa" w:w="7400"/>
            <w:shd w:fill="1F4E79" w:val="clear"/>
            <w:tcMar>
              <w:top w:type="dxa" w:w="100"/>
              <w:left w:type="dxa" w:w="120"/>
              <w:bottom w:type="dxa" w:w="100"/>
              <w:right w:type="dxa" w:w="120"/>
            </w:tcMar>
          </w:tcPr>
          <w:p>
            <w:r>
              <w:rPr>
                <w:b/>
                <w:bCs/>
                <w:color w:val="FFFFFF"/>
              </w:rPr>
              <w:t xml:space="preserve">Focus</w:t>
            </w:r>
          </w:p>
        </w:tc>
      </w:tr>
      <w:tr>
        <w:tc>
          <w:tcPr>
            <w:tcW w:type="dxa" w:w="2200"/>
            <w:tcMar>
              <w:top w:type="dxa" w:w="100"/>
              <w:left w:type="dxa" w:w="120"/>
              <w:bottom w:type="dxa" w:w="100"/>
              <w:right w:type="dxa" w:w="120"/>
            </w:tcMar>
          </w:tcPr>
          <w:p>
            <w:r>
              <w:rPr>
                <w:b w:val="false"/>
                <w:bCs w:val="false"/>
              </w:rPr>
              <w:t xml:space="preserve">1–3</w:t>
            </w:r>
          </w:p>
        </w:tc>
        <w:tc>
          <w:tcPr>
            <w:tcW w:type="dxa" w:w="7400"/>
            <w:tcMar>
              <w:top w:type="dxa" w:w="100"/>
              <w:left w:type="dxa" w:w="120"/>
              <w:bottom w:type="dxa" w:w="100"/>
              <w:right w:type="dxa" w:w="120"/>
            </w:tcMar>
          </w:tcPr>
          <w:p>
            <w:r>
              <w:rPr>
                <w:b w:val="false"/>
                <w:bCs w:val="false"/>
              </w:rPr>
              <w:t xml:space="preserve">Train and tune the classification model (XGBoost/LightGBM vs. logistic regression baseline); evaluate with precision/recall/ROC-AUC</w:t>
            </w:r>
          </w:p>
        </w:tc>
      </w:tr>
      <w:tr>
        <w:tc>
          <w:tcPr>
            <w:tcW w:type="dxa" w:w="2200"/>
            <w:shd w:fill="EAF1F8" w:val="clear"/>
            <w:tcMar>
              <w:top w:type="dxa" w:w="100"/>
              <w:left w:type="dxa" w:w="120"/>
              <w:bottom w:type="dxa" w:w="100"/>
              <w:right w:type="dxa" w:w="120"/>
            </w:tcMar>
          </w:tcPr>
          <w:p>
            <w:r>
              <w:rPr>
                <w:b w:val="false"/>
                <w:bCs w:val="false"/>
              </w:rPr>
              <w:t xml:space="preserve">4</w:t>
            </w:r>
          </w:p>
        </w:tc>
        <w:tc>
          <w:tcPr>
            <w:tcW w:type="dxa" w:w="7400"/>
            <w:shd w:fill="EAF1F8" w:val="clear"/>
            <w:tcMar>
              <w:top w:type="dxa" w:w="100"/>
              <w:left w:type="dxa" w:w="120"/>
              <w:bottom w:type="dxa" w:w="100"/>
              <w:right w:type="dxa" w:w="120"/>
            </w:tcMar>
          </w:tcPr>
          <w:p>
            <w:r>
              <w:rPr>
                <w:b w:val="false"/>
                <w:bCs w:val="false"/>
              </w:rPr>
              <w:t xml:space="preserve">Add model explainability (SHAP) and the small LLM-summary add-on</w:t>
            </w:r>
          </w:p>
        </w:tc>
      </w:tr>
      <w:tr>
        <w:tc>
          <w:tcPr>
            <w:tcW w:type="dxa" w:w="2200"/>
            <w:tcMar>
              <w:top w:type="dxa" w:w="100"/>
              <w:left w:type="dxa" w:w="120"/>
              <w:bottom w:type="dxa" w:w="100"/>
              <w:right w:type="dxa" w:w="120"/>
            </w:tcMar>
          </w:tcPr>
          <w:p>
            <w:r>
              <w:rPr>
                <w:b w:val="false"/>
                <w:bCs w:val="false"/>
              </w:rPr>
              <w:t xml:space="preserve">5–6</w:t>
            </w:r>
          </w:p>
        </w:tc>
        <w:tc>
          <w:tcPr>
            <w:tcW w:type="dxa" w:w="7400"/>
            <w:tcMar>
              <w:top w:type="dxa" w:w="100"/>
              <w:left w:type="dxa" w:w="120"/>
              <w:bottom w:type="dxa" w:w="100"/>
              <w:right w:type="dxa" w:w="120"/>
            </w:tcMar>
          </w:tcPr>
          <w:p>
            <w:r>
              <w:rPr>
                <w:b w:val="false"/>
                <w:bCs w:val="false"/>
              </w:rPr>
              <w:t xml:space="preserve">Docker fundamentals; containerize the data pipeline and scoring engine</w:t>
            </w:r>
          </w:p>
        </w:tc>
      </w:tr>
      <w:tr>
        <w:tc>
          <w:tcPr>
            <w:tcW w:type="dxa" w:w="2200"/>
            <w:shd w:fill="EAF1F8" w:val="clear"/>
            <w:tcMar>
              <w:top w:type="dxa" w:w="100"/>
              <w:left w:type="dxa" w:w="120"/>
              <w:bottom w:type="dxa" w:w="100"/>
              <w:right w:type="dxa" w:w="120"/>
            </w:tcMar>
          </w:tcPr>
          <w:p>
            <w:r>
              <w:rPr>
                <w:b w:val="false"/>
                <w:bCs w:val="false"/>
              </w:rPr>
              <w:t xml:space="preserve">7–8</w:t>
            </w:r>
          </w:p>
        </w:tc>
        <w:tc>
          <w:tcPr>
            <w:tcW w:type="dxa" w:w="7400"/>
            <w:shd w:fill="EAF1F8" w:val="clear"/>
            <w:tcMar>
              <w:top w:type="dxa" w:w="100"/>
              <w:left w:type="dxa" w:w="120"/>
              <w:bottom w:type="dxa" w:w="100"/>
              <w:right w:type="dxa" w:w="120"/>
            </w:tcMar>
          </w:tcPr>
          <w:p>
            <w:r>
              <w:rPr>
                <w:b w:val="false"/>
                <w:bCs w:val="false"/>
              </w:rPr>
              <w:t xml:space="preserve">AWS setup and basics; select and configure deployment target (e.g. scheduled Lambda or single ECS task)</w:t>
            </w:r>
          </w:p>
        </w:tc>
      </w:tr>
      <w:tr>
        <w:tc>
          <w:tcPr>
            <w:tcW w:type="dxa" w:w="2200"/>
            <w:tcMar>
              <w:top w:type="dxa" w:w="100"/>
              <w:left w:type="dxa" w:w="120"/>
              <w:bottom w:type="dxa" w:w="100"/>
              <w:right w:type="dxa" w:w="120"/>
            </w:tcMar>
          </w:tcPr>
          <w:p>
            <w:r>
              <w:rPr>
                <w:b w:val="false"/>
                <w:bCs w:val="false"/>
              </w:rPr>
              <w:t xml:space="preserve">9–11</w:t>
            </w:r>
          </w:p>
        </w:tc>
        <w:tc>
          <w:tcPr>
            <w:tcW w:type="dxa" w:w="7400"/>
            <w:tcMar>
              <w:top w:type="dxa" w:w="100"/>
              <w:left w:type="dxa" w:w="120"/>
              <w:bottom w:type="dxa" w:w="100"/>
              <w:right w:type="dxa" w:w="120"/>
            </w:tcMar>
          </w:tcPr>
          <w:p>
            <w:r>
              <w:rPr>
                <w:b w:val="false"/>
                <w:bCs w:val="false"/>
              </w:rPr>
              <w:t xml:space="preserve">Dashboard build (Streamlit): risk scores, portfolio risk concentration, generated summary</w:t>
            </w:r>
          </w:p>
        </w:tc>
      </w:tr>
      <w:tr>
        <w:tc>
          <w:tcPr>
            <w:tcW w:type="dxa" w:w="2200"/>
            <w:shd w:fill="EAF1F8" w:val="clear"/>
            <w:tcMar>
              <w:top w:type="dxa" w:w="100"/>
              <w:left w:type="dxa" w:w="120"/>
              <w:bottom w:type="dxa" w:w="100"/>
              <w:right w:type="dxa" w:w="120"/>
            </w:tcMar>
          </w:tcPr>
          <w:p>
            <w:r>
              <w:rPr>
                <w:b w:val="false"/>
                <w:bCs w:val="false"/>
              </w:rPr>
              <w:t xml:space="preserve">12</w:t>
            </w:r>
          </w:p>
        </w:tc>
        <w:tc>
          <w:tcPr>
            <w:tcW w:type="dxa" w:w="7400"/>
            <w:shd w:fill="EAF1F8" w:val="clear"/>
            <w:tcMar>
              <w:top w:type="dxa" w:w="100"/>
              <w:left w:type="dxa" w:w="120"/>
              <w:bottom w:type="dxa" w:w="100"/>
              <w:right w:type="dxa" w:w="120"/>
            </w:tcMar>
          </w:tcPr>
          <w:p>
            <w:r>
              <w:rPr>
                <w:b w:val="false"/>
                <w:bCs w:val="false"/>
              </w:rPr>
              <w:t xml:space="preserve">End-to-end testing, deployment, documentation</w:t>
            </w:r>
          </w:p>
        </w:tc>
      </w:tr>
      <w:tr>
        <w:tc>
          <w:tcPr>
            <w:tcW w:type="dxa" w:w="2200"/>
            <w:tcMar>
              <w:top w:type="dxa" w:w="100"/>
              <w:left w:type="dxa" w:w="120"/>
              <w:bottom w:type="dxa" w:w="100"/>
              <w:right w:type="dxa" w:w="120"/>
            </w:tcMar>
          </w:tcPr>
          <w:p>
            <w:r>
              <w:rPr>
                <w:b w:val="false"/>
                <w:bCs w:val="false"/>
              </w:rPr>
              <w:t xml:space="preserve">13</w:t>
            </w:r>
          </w:p>
        </w:tc>
        <w:tc>
          <w:tcPr>
            <w:tcW w:type="dxa" w:w="7400"/>
            <w:tcMar>
              <w:top w:type="dxa" w:w="100"/>
              <w:left w:type="dxa" w:w="120"/>
              <w:bottom w:type="dxa" w:w="100"/>
              <w:right w:type="dxa" w:w="120"/>
            </w:tcMar>
          </w:tcPr>
          <w:p>
            <w:r>
              <w:rPr>
                <w:b w:val="false"/>
                <w:bCs w:val="false"/>
              </w:rPr>
              <w:t xml:space="preserve">Final report and presentation</w:t>
            </w:r>
          </w:p>
        </w:tc>
      </w:tr>
    </w:tbl>
    <w:p>
      <w:pPr>
        <w:pStyle w:val="Heading1"/>
        <w:spacing w:after="160" w:before="320"/>
      </w:pPr>
      <w:r>
        <w:t xml:space="preserve">8.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4E79" w:val="clear"/>
            <w:tcMar>
              <w:top w:type="dxa" w:w="100"/>
              <w:left w:type="dxa" w:w="120"/>
              <w:bottom w:type="dxa" w:w="100"/>
              <w:right w:type="dxa" w:w="120"/>
            </w:tcMar>
          </w:tcPr>
          <w:p>
            <w:r>
              <w:rPr>
                <w:b/>
                <w:bCs/>
                <w:color w:val="FFFFFF"/>
              </w:rPr>
              <w:t xml:space="preserve">Layer</w:t>
            </w:r>
          </w:p>
        </w:tc>
        <w:tc>
          <w:tcPr>
            <w:tcW w:type="dxa" w:w="7200"/>
            <w:shd w:fill="1F4E79" w:val="clear"/>
            <w:tcMar>
              <w:top w:type="dxa" w:w="100"/>
              <w:left w:type="dxa" w:w="120"/>
              <w:bottom w:type="dxa" w:w="100"/>
              <w:right w:type="dxa" w:w="120"/>
            </w:tcMar>
          </w:tcPr>
          <w:p>
            <w:r>
              <w:rPr>
                <w:b/>
                <w:bCs/>
                <w:color w:val="FFFFFF"/>
              </w:rPr>
              <w:t xml:space="preserve">Tooling</w:t>
            </w:r>
          </w:p>
        </w:tc>
      </w:tr>
      <w:tr>
        <w:tc>
          <w:tcPr>
            <w:tcW w:type="dxa" w:w="2400"/>
            <w:tcMar>
              <w:top w:type="dxa" w:w="100"/>
              <w:left w:type="dxa" w:w="120"/>
              <w:bottom w:type="dxa" w:w="100"/>
              <w:right w:type="dxa" w:w="120"/>
            </w:tcMar>
          </w:tcPr>
          <w:p>
            <w:r>
              <w:rPr>
                <w:b w:val="false"/>
                <w:bCs w:val="false"/>
              </w:rPr>
              <w:t xml:space="preserve">Data ingestion</w:t>
            </w:r>
          </w:p>
        </w:tc>
        <w:tc>
          <w:tcPr>
            <w:tcW w:type="dxa" w:w="7200"/>
            <w:tcMar>
              <w:top w:type="dxa" w:w="100"/>
              <w:left w:type="dxa" w:w="120"/>
              <w:bottom w:type="dxa" w:w="100"/>
              <w:right w:type="dxa" w:w="120"/>
            </w:tcMar>
          </w:tcPr>
          <w:p>
            <w:r>
              <w:rPr>
                <w:b w:val="false"/>
                <w:bCs w:val="false"/>
              </w:rPr>
              <w:t xml:space="preserve">Python, pandas; public PAYG/loan dataset; FinAccess survey extracts</w:t>
            </w:r>
          </w:p>
        </w:tc>
      </w:tr>
      <w:tr>
        <w:tc>
          <w:tcPr>
            <w:tcW w:type="dxa" w:w="2400"/>
            <w:shd w:fill="EAF1F8" w:val="clear"/>
            <w:tcMar>
              <w:top w:type="dxa" w:w="100"/>
              <w:left w:type="dxa" w:w="120"/>
              <w:bottom w:type="dxa" w:w="100"/>
              <w:right w:type="dxa" w:w="120"/>
            </w:tcMar>
          </w:tcPr>
          <w:p>
            <w:r>
              <w:rPr>
                <w:b w:val="false"/>
                <w:bCs w:val="false"/>
              </w:rPr>
              <w:t xml:space="preserve">Modeling</w:t>
            </w:r>
          </w:p>
        </w:tc>
        <w:tc>
          <w:tcPr>
            <w:tcW w:type="dxa" w:w="7200"/>
            <w:shd w:fill="EAF1F8" w:val="clear"/>
            <w:tcMar>
              <w:top w:type="dxa" w:w="100"/>
              <w:left w:type="dxa" w:w="120"/>
              <w:bottom w:type="dxa" w:w="100"/>
              <w:right w:type="dxa" w:w="120"/>
            </w:tcMar>
          </w:tcPr>
          <w:p>
            <w:r>
              <w:rPr>
                <w:b w:val="false"/>
                <w:bCs w:val="false"/>
              </w:rPr>
              <w:t xml:space="preserve">scikit-learn, XGBoost/LightGBM, SHAP for explainability</w:t>
            </w:r>
          </w:p>
        </w:tc>
      </w:tr>
      <w:tr>
        <w:tc>
          <w:tcPr>
            <w:tcW w:type="dxa" w:w="2400"/>
            <w:tcMar>
              <w:top w:type="dxa" w:w="100"/>
              <w:left w:type="dxa" w:w="120"/>
              <w:bottom w:type="dxa" w:w="100"/>
              <w:right w:type="dxa" w:w="120"/>
            </w:tcMar>
          </w:tcPr>
          <w:p>
            <w:r>
              <w:rPr>
                <w:b w:val="false"/>
                <w:bCs w:val="false"/>
              </w:rPr>
              <w:t xml:space="preserve">AI add-on</w:t>
            </w:r>
          </w:p>
        </w:tc>
        <w:tc>
          <w:tcPr>
            <w:tcW w:type="dxa" w:w="7200"/>
            <w:tcMar>
              <w:top w:type="dxa" w:w="100"/>
              <w:left w:type="dxa" w:w="120"/>
              <w:bottom w:type="dxa" w:w="100"/>
              <w:right w:type="dxa" w:w="120"/>
            </w:tcMar>
          </w:tcPr>
          <w:p>
            <w:r>
              <w:rPr>
                <w:b w:val="false"/>
                <w:bCs w:val="false"/>
              </w:rPr>
              <w:t xml:space="preserve">A single LLM API call (e.g. Claude or Gemini API) to draft a templated summary from model outputs</w:t>
            </w:r>
          </w:p>
        </w:tc>
      </w:tr>
      <w:tr>
        <w:tc>
          <w:tcPr>
            <w:tcW w:type="dxa" w:w="2400"/>
            <w:shd w:fill="EAF1F8" w:val="clear"/>
            <w:tcMar>
              <w:top w:type="dxa" w:w="100"/>
              <w:left w:type="dxa" w:w="120"/>
              <w:bottom w:type="dxa" w:w="100"/>
              <w:right w:type="dxa" w:w="120"/>
            </w:tcMar>
          </w:tcPr>
          <w:p>
            <w:r>
              <w:rPr>
                <w:b w:val="false"/>
                <w:bCs w:val="false"/>
              </w:rPr>
              <w:t xml:space="preserve">Storage</w:t>
            </w:r>
          </w:p>
        </w:tc>
        <w:tc>
          <w:tcPr>
            <w:tcW w:type="dxa" w:w="7200"/>
            <w:shd w:fill="EAF1F8" w:val="clear"/>
            <w:tcMar>
              <w:top w:type="dxa" w:w="100"/>
              <w:left w:type="dxa" w:w="120"/>
              <w:bottom w:type="dxa" w:w="100"/>
              <w:right w:type="dxa" w:w="120"/>
            </w:tcMar>
          </w:tcPr>
          <w:p>
            <w:r>
              <w:rPr>
                <w:b w:val="false"/>
                <w:bCs w:val="false"/>
              </w:rPr>
              <w:t xml:space="preserve">SQLite (dev) / PostgreSQL (deployed)</w:t>
            </w:r>
          </w:p>
        </w:tc>
      </w:tr>
      <w:tr>
        <w:tc>
          <w:tcPr>
            <w:tcW w:type="dxa" w:w="2400"/>
            <w:tcMar>
              <w:top w:type="dxa" w:w="100"/>
              <w:left w:type="dxa" w:w="120"/>
              <w:bottom w:type="dxa" w:w="100"/>
              <w:right w:type="dxa" w:w="120"/>
            </w:tcMar>
          </w:tcPr>
          <w:p>
            <w:r>
              <w:rPr>
                <w:b w:val="false"/>
                <w:bCs w:val="false"/>
              </w:rPr>
              <w:t xml:space="preserve">Deployment</w:t>
            </w:r>
          </w:p>
        </w:tc>
        <w:tc>
          <w:tcPr>
            <w:tcW w:type="dxa" w:w="7200"/>
            <w:tcMar>
              <w:top w:type="dxa" w:w="100"/>
              <w:left w:type="dxa" w:w="120"/>
              <w:bottom w:type="dxa" w:w="100"/>
              <w:right w:type="dxa" w:w="120"/>
            </w:tcMar>
          </w:tcPr>
          <w:p>
            <w:r>
              <w:rPr>
                <w:b w:val="false"/>
                <w:bCs w:val="false"/>
              </w:rPr>
              <w:t xml:space="preserve">Docker; AWS (Lambda or ECS Fargate, S3 for storage/logs as needed)</w:t>
            </w:r>
          </w:p>
        </w:tc>
      </w:tr>
      <w:tr>
        <w:tc>
          <w:tcPr>
            <w:tcW w:type="dxa" w:w="2400"/>
            <w:shd w:fill="EAF1F8" w:val="clear"/>
            <w:tcMar>
              <w:top w:type="dxa" w:w="100"/>
              <w:left w:type="dxa" w:w="120"/>
              <w:bottom w:type="dxa" w:w="100"/>
              <w:right w:type="dxa" w:w="120"/>
            </w:tcMar>
          </w:tcPr>
          <w:p>
            <w:r>
              <w:rPr>
                <w:b w:val="false"/>
                <w:bCs w:val="false"/>
              </w:rPr>
              <w:t xml:space="preserve">Dashboard</w:t>
            </w:r>
          </w:p>
        </w:tc>
        <w:tc>
          <w:tcPr>
            <w:tcW w:type="dxa" w:w="7200"/>
            <w:shd w:fill="EAF1F8" w:val="clear"/>
            <w:tcMar>
              <w:top w:type="dxa" w:w="100"/>
              <w:left w:type="dxa" w:w="120"/>
              <w:bottom w:type="dxa" w:w="100"/>
              <w:right w:type="dxa" w:w="120"/>
            </w:tcMar>
          </w:tcPr>
          <w:p>
            <w:r>
              <w:rPr>
                <w:b w:val="false"/>
                <w:bCs w:val="false"/>
              </w:rPr>
              <w:t xml:space="preserve">Streamlit</w:t>
            </w:r>
          </w:p>
        </w:tc>
      </w:tr>
    </w:tbl>
    <w:p>
      <w:pPr>
        <w:pStyle w:val="Heading1"/>
        <w:spacing w:after="160" w:before="320"/>
      </w:pPr>
      <w:r>
        <w:t xml:space="preserve">9. Expected Deliverables</w:t>
      </w:r>
    </w:p>
    <w:p>
      <w:pPr>
        <w:pStyle w:val="ListParagraph"/>
        <w:numPr>
          <w:ilvl w:val="0"/>
          <w:numId w:val="2"/>
        </w:numPr>
        <w:spacing w:after="80"/>
      </w:pPr>
      <w:r>
        <w:t xml:space="preserve">Semester 1: working data pipeline, engineered feature set, exploratory analysis, written report, and presentation.</w:t>
      </w:r>
    </w:p>
    <w:p>
      <w:pPr>
        <w:pStyle w:val="ListParagraph"/>
        <w:numPr>
          <w:ilvl w:val="0"/>
          <w:numId w:val="2"/>
        </w:numPr>
        <w:spacing w:after="80"/>
      </w:pPr>
      <w:r>
        <w:t xml:space="preserve">Semester 2: trained and evaluated risk model, explainability layer, containerized and deployed application with a functional dashboard, final report, and presentation.</w:t>
      </w:r>
    </w:p>
    <w:p>
      <w:pPr>
        <w:pStyle w:val="ListParagraph"/>
        <w:numPr>
          <w:ilvl w:val="0"/>
          <w:numId w:val="2"/>
        </w:numPr>
        <w:spacing w:after="80"/>
      </w:pPr>
      <w:r>
        <w:t xml:space="preserve">A public code repository documenting the full build, suitable for inclusion in a personal portfolio and for discussion in job applications to impact-investment and green-fintech employers.</w:t>
      </w:r>
    </w:p>
    <w:p>
      <w:pPr>
        <w:pStyle w:val="Heading1"/>
        <w:spacing w:after="160" w:before="320"/>
      </w:pPr>
      <w:r>
        <w:t xml:space="preserve">Appendix A — Future Extensions (Personal, Post-Submission)</w:t>
      </w:r>
    </w:p>
    <w:p>
      <w:pPr>
        <w:spacing w:after="160"/>
      </w:pPr>
      <w:r>
        <w:t xml:space="preserve">The following are deliberately excluded from the graded scope to protect deliverability, but are candidates for continued personal development after the course:</w:t>
      </w:r>
    </w:p>
    <w:p>
      <w:pPr>
        <w:pStyle w:val="ListParagraph"/>
        <w:numPr>
          <w:ilvl w:val="0"/>
          <w:numId w:val="2"/>
        </w:numPr>
        <w:spacing w:after="80"/>
      </w:pPr>
      <w:r>
        <w:t xml:space="preserve">A full project-finance model (IRR, DSCR) fed dynamically by the model's default-probability output, with Monte Carlo stress-testing of currency and macroeconomic shocks.</w:t>
      </w:r>
    </w:p>
    <w:p>
      <w:pPr>
        <w:pStyle w:val="ListParagraph"/>
        <w:numPr>
          <w:ilvl w:val="0"/>
          <w:numId w:val="2"/>
        </w:numPr>
        <w:spacing w:after="80"/>
      </w:pPr>
      <w:r>
        <w:t xml:space="preserve">A Retrieval-Augmented Generation (RAG) pipeline for extracting structured data from unstructured project/loan documents.</w:t>
      </w:r>
    </w:p>
    <w:p>
      <w:pPr>
        <w:pStyle w:val="ListParagraph"/>
        <w:numPr>
          <w:ilvl w:val="0"/>
          <w:numId w:val="2"/>
        </w:numPr>
        <w:spacing w:after="80"/>
      </w:pPr>
      <w:r>
        <w:t xml:space="preserve">Professional certifications (e.g. CFI's FMVA, CFA Investment Foundations, or GARP's Sustainability &amp; Climate Risk certificate), pursued on an independent timeline rather than tied to the capstone.</w:t>
      </w:r>
    </w:p>
    <w:p>
      <w:pPr>
        <w:pStyle w:val="ListParagraph"/>
        <w:numPr>
          <w:ilvl w:val="0"/>
          <w:numId w:val="2"/>
        </w:numPr>
        <w:spacing w:after="80"/>
      </w:pPr>
      <w:r>
        <w:t xml:space="preserve">Real-time data ingestion and automated portfolio-risk alerts.</w:t>
      </w:r>
    </w:p>
    <w:p>
      <w:pPr>
        <w:pStyle w:val="ListParagraph"/>
        <w:numPr>
          <w:ilvl w:val="0"/>
          <w:numId w:val="2"/>
        </w:numPr>
        <w:spacing w:after="80"/>
      </w:pPr>
      <w:r>
        <w:t xml:space="preserve">A more elaborate multi-service AWS architecture (API Gateway, authentication, 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2026-09-08T10:37:02.703Z</dcterms:created>
  <dcterms:modified xsi:type="dcterms:W3CDTF">2026-09-08T10:37:02.716Z</dcterms:modified>
</cp:coreProperties>
</file>

<file path=docProps/custom.xml><?xml version="1.0" encoding="utf-8"?>
<Properties xmlns="http://schemas.openxmlformats.org/officeDocument/2006/custom-properties" xmlns:vt="http://schemas.openxmlformats.org/officeDocument/2006/docPropsVTypes"/>
</file>